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2ADCB">
      <w:pPr>
        <w:spacing w:line="253" w:lineRule="auto"/>
        <w:rPr>
          <w:rFonts w:ascii="Arial"/>
          <w:color w:val="auto"/>
          <w:spacing w:val="0"/>
          <w:w w:val="100"/>
          <w:position w:val="0"/>
          <w:sz w:val="21"/>
          <w:highlight w:val="none"/>
        </w:rPr>
      </w:pPr>
    </w:p>
    <w:p w14:paraId="030E8ADB">
      <w:pPr>
        <w:spacing w:line="254" w:lineRule="auto"/>
        <w:rPr>
          <w:rFonts w:ascii="Arial"/>
          <w:color w:val="auto"/>
          <w:spacing w:val="0"/>
          <w:w w:val="100"/>
          <w:position w:val="0"/>
          <w:sz w:val="21"/>
          <w:highlight w:val="none"/>
        </w:rPr>
      </w:pPr>
    </w:p>
    <w:p w14:paraId="180C35F3">
      <w:pPr>
        <w:pStyle w:val="6"/>
        <w:spacing w:before="195" w:line="226" w:lineRule="auto"/>
        <w:jc w:val="center"/>
        <w:rPr>
          <w:rFonts w:hint="eastAsia" w:ascii="黑体" w:hAnsi="黑体" w:eastAsia="黑体" w:cs="黑体"/>
          <w:snapToGrid w:val="0"/>
          <w:color w:val="auto"/>
          <w:kern w:val="0"/>
          <w:sz w:val="56"/>
          <w:szCs w:val="56"/>
          <w:highlight w:val="none"/>
          <w:lang w:val="en-US" w:eastAsia="zh-CN" w:bidi="ar-SA"/>
        </w:rPr>
      </w:pPr>
      <w:r>
        <w:rPr>
          <w:rFonts w:hint="eastAsia" w:ascii="黑体" w:hAnsi="黑体" w:eastAsia="黑体" w:cs="黑体"/>
          <w:snapToGrid w:val="0"/>
          <w:color w:val="auto"/>
          <w:kern w:val="0"/>
          <w:sz w:val="56"/>
          <w:szCs w:val="56"/>
          <w:highlight w:val="none"/>
          <w:lang w:val="en-US" w:eastAsia="zh-CN" w:bidi="ar-SA"/>
        </w:rPr>
        <w:t>S37金湖至仪征高速公路金湖至天长段及天长支线工程可行性研究、初步设计、施工图设计及咨询服务项目</w:t>
      </w:r>
    </w:p>
    <w:p w14:paraId="57787C86">
      <w:pPr>
        <w:pStyle w:val="6"/>
        <w:spacing w:before="218" w:line="226" w:lineRule="auto"/>
        <w:ind w:left="1964"/>
        <w:rPr>
          <w:color w:val="auto"/>
          <w:spacing w:val="0"/>
          <w:w w:val="100"/>
          <w:position w:val="0"/>
          <w:highlight w:val="none"/>
        </w:rPr>
      </w:pPr>
    </w:p>
    <w:p w14:paraId="4D1E5827">
      <w:pPr>
        <w:pStyle w:val="6"/>
        <w:spacing w:before="218" w:line="226" w:lineRule="auto"/>
        <w:ind w:left="1964"/>
        <w:rPr>
          <w:color w:val="auto"/>
          <w:spacing w:val="0"/>
          <w:w w:val="100"/>
          <w:position w:val="0"/>
          <w:highlight w:val="none"/>
        </w:rPr>
      </w:pPr>
    </w:p>
    <w:p w14:paraId="52682239">
      <w:pPr>
        <w:pStyle w:val="6"/>
        <w:spacing w:before="218" w:line="226" w:lineRule="auto"/>
        <w:ind w:left="1964"/>
        <w:rPr>
          <w:color w:val="auto"/>
          <w:spacing w:val="0"/>
          <w:w w:val="100"/>
          <w:position w:val="0"/>
          <w:highlight w:val="none"/>
        </w:rPr>
      </w:pPr>
      <w:r>
        <w:rPr>
          <w:color w:val="auto"/>
          <w:spacing w:val="0"/>
          <w:w w:val="100"/>
          <w:position w:val="0"/>
          <w:highlight w:val="none"/>
        </w:rPr>
        <w:t>（招标编号：</w:t>
      </w:r>
      <w:r>
        <w:rPr>
          <w:rFonts w:hint="eastAsia"/>
          <w:color w:val="auto"/>
          <w:spacing w:val="0"/>
          <w:w w:val="100"/>
          <w:position w:val="0"/>
          <w:highlight w:val="none"/>
          <w:u w:val="single" w:color="auto"/>
          <w:lang w:val="en-US" w:eastAsia="zh-CN"/>
        </w:rPr>
        <w:t xml:space="preserve">   2026DFABZ00674   </w:t>
      </w:r>
      <w:r>
        <w:rPr>
          <w:color w:val="auto"/>
          <w:spacing w:val="0"/>
          <w:w w:val="100"/>
          <w:position w:val="0"/>
          <w:highlight w:val="none"/>
        </w:rPr>
        <w:t>）</w:t>
      </w:r>
    </w:p>
    <w:p w14:paraId="447A2642">
      <w:pPr>
        <w:spacing w:line="261" w:lineRule="auto"/>
        <w:rPr>
          <w:rFonts w:ascii="Arial"/>
          <w:color w:val="auto"/>
          <w:spacing w:val="0"/>
          <w:w w:val="100"/>
          <w:position w:val="0"/>
          <w:sz w:val="21"/>
          <w:highlight w:val="none"/>
        </w:rPr>
      </w:pPr>
    </w:p>
    <w:p w14:paraId="3ADA7BE5">
      <w:pPr>
        <w:spacing w:line="261" w:lineRule="auto"/>
        <w:rPr>
          <w:rFonts w:ascii="Arial"/>
          <w:color w:val="auto"/>
          <w:spacing w:val="0"/>
          <w:w w:val="100"/>
          <w:position w:val="0"/>
          <w:sz w:val="21"/>
          <w:highlight w:val="none"/>
        </w:rPr>
      </w:pPr>
    </w:p>
    <w:p w14:paraId="63852AFC">
      <w:pPr>
        <w:spacing w:line="261" w:lineRule="auto"/>
        <w:rPr>
          <w:rFonts w:ascii="Arial"/>
          <w:color w:val="auto"/>
          <w:spacing w:val="0"/>
          <w:w w:val="100"/>
          <w:position w:val="0"/>
          <w:sz w:val="21"/>
          <w:highlight w:val="none"/>
        </w:rPr>
      </w:pPr>
    </w:p>
    <w:p w14:paraId="5FE966EC">
      <w:pPr>
        <w:spacing w:line="261" w:lineRule="auto"/>
        <w:rPr>
          <w:rFonts w:ascii="Arial"/>
          <w:color w:val="auto"/>
          <w:spacing w:val="0"/>
          <w:w w:val="100"/>
          <w:position w:val="0"/>
          <w:sz w:val="21"/>
          <w:highlight w:val="none"/>
        </w:rPr>
      </w:pPr>
    </w:p>
    <w:p w14:paraId="407BDB91">
      <w:pPr>
        <w:spacing w:line="261" w:lineRule="auto"/>
        <w:rPr>
          <w:rFonts w:ascii="Arial"/>
          <w:color w:val="auto"/>
          <w:spacing w:val="0"/>
          <w:w w:val="100"/>
          <w:position w:val="0"/>
          <w:sz w:val="21"/>
          <w:highlight w:val="none"/>
        </w:rPr>
      </w:pPr>
    </w:p>
    <w:p w14:paraId="057B0F07">
      <w:pPr>
        <w:spacing w:line="261" w:lineRule="auto"/>
        <w:rPr>
          <w:rFonts w:ascii="Arial"/>
          <w:color w:val="auto"/>
          <w:spacing w:val="0"/>
          <w:w w:val="100"/>
          <w:position w:val="0"/>
          <w:sz w:val="21"/>
          <w:highlight w:val="none"/>
        </w:rPr>
      </w:pPr>
    </w:p>
    <w:p w14:paraId="18B246F2">
      <w:pPr>
        <w:spacing w:line="261" w:lineRule="auto"/>
        <w:rPr>
          <w:rFonts w:ascii="Arial"/>
          <w:color w:val="auto"/>
          <w:spacing w:val="0"/>
          <w:w w:val="100"/>
          <w:position w:val="0"/>
          <w:sz w:val="21"/>
          <w:highlight w:val="none"/>
        </w:rPr>
      </w:pPr>
    </w:p>
    <w:p w14:paraId="1D31EB89">
      <w:pPr>
        <w:pStyle w:val="6"/>
        <w:spacing w:before="231" w:line="224" w:lineRule="auto"/>
        <w:ind w:left="1666"/>
        <w:rPr>
          <w:b/>
          <w:bCs/>
          <w:color w:val="auto"/>
          <w:spacing w:val="0"/>
          <w:w w:val="100"/>
          <w:position w:val="0"/>
          <w:sz w:val="71"/>
          <w:szCs w:val="71"/>
          <w:highlight w:val="none"/>
        </w:rPr>
      </w:pPr>
      <w:r>
        <w:rPr>
          <w:b/>
          <w:bCs/>
          <w:color w:val="auto"/>
          <w:spacing w:val="0"/>
          <w:w w:val="100"/>
          <w:position w:val="0"/>
          <w:sz w:val="71"/>
          <w:szCs w:val="71"/>
          <w:highlight w:val="none"/>
        </w:rPr>
        <w:t>招</w:t>
      </w:r>
      <w:r>
        <w:rPr>
          <w:color w:val="auto"/>
          <w:spacing w:val="0"/>
          <w:w w:val="100"/>
          <w:position w:val="0"/>
          <w:sz w:val="71"/>
          <w:szCs w:val="71"/>
          <w:highlight w:val="none"/>
        </w:rPr>
        <w:t xml:space="preserve">  </w:t>
      </w:r>
      <w:r>
        <w:rPr>
          <w:b/>
          <w:bCs/>
          <w:color w:val="auto"/>
          <w:spacing w:val="0"/>
          <w:w w:val="100"/>
          <w:position w:val="0"/>
          <w:sz w:val="71"/>
          <w:szCs w:val="71"/>
          <w:highlight w:val="none"/>
        </w:rPr>
        <w:t>标</w:t>
      </w:r>
      <w:r>
        <w:rPr>
          <w:color w:val="auto"/>
          <w:spacing w:val="0"/>
          <w:w w:val="100"/>
          <w:position w:val="0"/>
          <w:sz w:val="71"/>
          <w:szCs w:val="71"/>
          <w:highlight w:val="none"/>
        </w:rPr>
        <w:t xml:space="preserve">  </w:t>
      </w:r>
      <w:r>
        <w:rPr>
          <w:b/>
          <w:bCs/>
          <w:color w:val="auto"/>
          <w:spacing w:val="0"/>
          <w:w w:val="100"/>
          <w:position w:val="0"/>
          <w:sz w:val="71"/>
          <w:szCs w:val="71"/>
          <w:highlight w:val="none"/>
        </w:rPr>
        <w:t>文</w:t>
      </w:r>
      <w:r>
        <w:rPr>
          <w:color w:val="auto"/>
          <w:spacing w:val="0"/>
          <w:w w:val="100"/>
          <w:position w:val="0"/>
          <w:sz w:val="71"/>
          <w:szCs w:val="71"/>
          <w:highlight w:val="none"/>
        </w:rPr>
        <w:t xml:space="preserve">  </w:t>
      </w:r>
      <w:r>
        <w:rPr>
          <w:b/>
          <w:bCs/>
          <w:color w:val="auto"/>
          <w:spacing w:val="0"/>
          <w:w w:val="100"/>
          <w:position w:val="0"/>
          <w:sz w:val="71"/>
          <w:szCs w:val="71"/>
          <w:highlight w:val="none"/>
        </w:rPr>
        <w:t>件</w:t>
      </w:r>
    </w:p>
    <w:p w14:paraId="7C238485">
      <w:pPr>
        <w:pStyle w:val="6"/>
        <w:spacing w:before="231" w:line="224" w:lineRule="auto"/>
        <w:ind w:left="1666"/>
        <w:rPr>
          <w:b/>
          <w:bCs/>
          <w:color w:val="auto"/>
          <w:spacing w:val="0"/>
          <w:w w:val="100"/>
          <w:position w:val="0"/>
          <w:sz w:val="71"/>
          <w:szCs w:val="71"/>
          <w:highlight w:val="none"/>
        </w:rPr>
      </w:pPr>
    </w:p>
    <w:p w14:paraId="204BDD9F">
      <w:pPr>
        <w:spacing w:line="250" w:lineRule="auto"/>
        <w:rPr>
          <w:rFonts w:ascii="Arial"/>
          <w:color w:val="auto"/>
          <w:spacing w:val="0"/>
          <w:w w:val="100"/>
          <w:position w:val="0"/>
          <w:sz w:val="21"/>
          <w:highlight w:val="none"/>
        </w:rPr>
      </w:pPr>
    </w:p>
    <w:p w14:paraId="5813AB3C">
      <w:pPr>
        <w:spacing w:line="250" w:lineRule="auto"/>
        <w:rPr>
          <w:rFonts w:ascii="Arial"/>
          <w:color w:val="auto"/>
          <w:spacing w:val="0"/>
          <w:w w:val="100"/>
          <w:position w:val="0"/>
          <w:sz w:val="21"/>
          <w:highlight w:val="none"/>
        </w:rPr>
      </w:pPr>
    </w:p>
    <w:p w14:paraId="7901668F">
      <w:pPr>
        <w:spacing w:line="250" w:lineRule="auto"/>
        <w:rPr>
          <w:rFonts w:ascii="Arial"/>
          <w:color w:val="auto"/>
          <w:spacing w:val="0"/>
          <w:w w:val="100"/>
          <w:position w:val="0"/>
          <w:sz w:val="21"/>
          <w:highlight w:val="none"/>
        </w:rPr>
      </w:pPr>
    </w:p>
    <w:p w14:paraId="790698DD">
      <w:pPr>
        <w:spacing w:line="250" w:lineRule="auto"/>
        <w:rPr>
          <w:rFonts w:ascii="Arial"/>
          <w:color w:val="auto"/>
          <w:spacing w:val="0"/>
          <w:w w:val="100"/>
          <w:position w:val="0"/>
          <w:sz w:val="21"/>
          <w:highlight w:val="none"/>
        </w:rPr>
      </w:pPr>
    </w:p>
    <w:p w14:paraId="4A9DEC68">
      <w:pPr>
        <w:spacing w:line="250" w:lineRule="auto"/>
        <w:rPr>
          <w:rFonts w:hint="default" w:ascii="Arial" w:eastAsia="宋体"/>
          <w:color w:val="auto"/>
          <w:spacing w:val="0"/>
          <w:w w:val="100"/>
          <w:position w:val="0"/>
          <w:sz w:val="21"/>
          <w:highlight w:val="none"/>
          <w:lang w:val="en-US" w:eastAsia="zh-CN"/>
        </w:rPr>
      </w:pPr>
    </w:p>
    <w:p w14:paraId="5E6CBC70">
      <w:pPr>
        <w:spacing w:line="250" w:lineRule="auto"/>
        <w:rPr>
          <w:rFonts w:ascii="Arial"/>
          <w:color w:val="auto"/>
          <w:spacing w:val="0"/>
          <w:w w:val="100"/>
          <w:position w:val="0"/>
          <w:sz w:val="21"/>
          <w:highlight w:val="none"/>
        </w:rPr>
      </w:pPr>
    </w:p>
    <w:p w14:paraId="2DA4FD03">
      <w:pPr>
        <w:pStyle w:val="6"/>
        <w:spacing w:before="101" w:line="227" w:lineRule="auto"/>
        <w:ind w:left="1297"/>
        <w:rPr>
          <w:color w:val="auto"/>
          <w:spacing w:val="0"/>
          <w:w w:val="100"/>
          <w:position w:val="0"/>
          <w:highlight w:val="none"/>
        </w:rPr>
      </w:pPr>
    </w:p>
    <w:p w14:paraId="72101F11">
      <w:pPr>
        <w:pStyle w:val="6"/>
        <w:spacing w:before="101" w:line="227" w:lineRule="auto"/>
        <w:ind w:left="1297"/>
        <w:rPr>
          <w:color w:val="auto"/>
          <w:spacing w:val="0"/>
          <w:w w:val="100"/>
          <w:position w:val="0"/>
          <w:highlight w:val="none"/>
        </w:rPr>
      </w:pPr>
    </w:p>
    <w:p w14:paraId="1ADA6CAF">
      <w:pPr>
        <w:keepNext w:val="0"/>
        <w:keepLines w:val="0"/>
        <w:pageBreakBefore w:val="0"/>
        <w:widowControl/>
        <w:kinsoku w:val="0"/>
        <w:wordWrap/>
        <w:overflowPunct/>
        <w:topLinePunct w:val="0"/>
        <w:autoSpaceDE w:val="0"/>
        <w:autoSpaceDN w:val="0"/>
        <w:bidi w:val="0"/>
        <w:snapToGrid w:val="0"/>
        <w:spacing w:line="800" w:lineRule="exact"/>
        <w:ind w:right="0" w:firstLine="320" w:firstLineChars="100"/>
        <w:jc w:val="both"/>
        <w:textAlignment w:val="baseline"/>
        <w:rPr>
          <w:rFonts w:hint="eastAsia" w:ascii="宋体"/>
          <w:b/>
          <w:color w:val="auto"/>
          <w:sz w:val="32"/>
          <w:szCs w:val="32"/>
          <w:highlight w:val="none"/>
          <w:lang w:val="en-US" w:eastAsia="zh-CN"/>
        </w:rPr>
      </w:pPr>
      <w:r>
        <w:rPr>
          <w:rFonts w:hint="eastAsia" w:ascii="宋体"/>
          <w:b/>
          <w:color w:val="auto"/>
          <w:sz w:val="32"/>
          <w:szCs w:val="32"/>
          <w:highlight w:val="none"/>
          <w:lang w:val="en-US" w:eastAsia="zh-CN"/>
        </w:rPr>
        <w:t>招 标 人：</w:t>
      </w:r>
      <w:r>
        <w:rPr>
          <w:rFonts w:hint="eastAsia" w:ascii="宋体"/>
          <w:b/>
          <w:color w:val="auto"/>
          <w:sz w:val="32"/>
          <w:szCs w:val="32"/>
          <w:highlight w:val="none"/>
          <w:u w:val="single"/>
          <w:lang w:val="en-US" w:eastAsia="zh-CN"/>
        </w:rPr>
        <w:t xml:space="preserve">      滁州市交通运输局        </w:t>
      </w:r>
      <w:r>
        <w:rPr>
          <w:rFonts w:hint="eastAsia" w:ascii="宋体"/>
          <w:b/>
          <w:color w:val="auto"/>
          <w:sz w:val="32"/>
          <w:szCs w:val="32"/>
          <w:highlight w:val="none"/>
          <w:lang w:val="en-US" w:eastAsia="zh-CN"/>
        </w:rPr>
        <w:t>（盖单位章）</w:t>
      </w:r>
    </w:p>
    <w:p w14:paraId="2542ECF8">
      <w:pPr>
        <w:keepNext w:val="0"/>
        <w:keepLines w:val="0"/>
        <w:pageBreakBefore w:val="0"/>
        <w:widowControl/>
        <w:kinsoku w:val="0"/>
        <w:wordWrap/>
        <w:overflowPunct/>
        <w:topLinePunct w:val="0"/>
        <w:autoSpaceDE w:val="0"/>
        <w:autoSpaceDN w:val="0"/>
        <w:bidi w:val="0"/>
        <w:snapToGrid w:val="0"/>
        <w:spacing w:line="800" w:lineRule="exact"/>
        <w:ind w:right="0"/>
        <w:jc w:val="center"/>
        <w:textAlignment w:val="baseline"/>
        <w:rPr>
          <w:rFonts w:hint="eastAsia" w:ascii="宋体"/>
          <w:b/>
          <w:color w:val="auto"/>
          <w:sz w:val="32"/>
          <w:szCs w:val="32"/>
          <w:highlight w:val="none"/>
          <w:lang w:val="en-US" w:eastAsia="zh-CN"/>
        </w:rPr>
      </w:pPr>
      <w:r>
        <w:rPr>
          <w:rFonts w:hint="eastAsia" w:ascii="宋体"/>
          <w:b/>
          <w:color w:val="auto"/>
          <w:sz w:val="32"/>
          <w:szCs w:val="32"/>
          <w:highlight w:val="none"/>
          <w:lang w:val="en-US" w:eastAsia="zh-CN"/>
        </w:rPr>
        <w:t>代理机构：</w:t>
      </w:r>
      <w:r>
        <w:rPr>
          <w:rFonts w:hint="eastAsia" w:ascii="宋体"/>
          <w:b/>
          <w:color w:val="auto"/>
          <w:sz w:val="32"/>
          <w:szCs w:val="32"/>
          <w:highlight w:val="none"/>
          <w:u w:val="single"/>
          <w:lang w:val="en-US" w:eastAsia="zh-CN"/>
        </w:rPr>
        <w:t>滁州市城投工程咨询管理有限公司</w:t>
      </w:r>
      <w:r>
        <w:rPr>
          <w:rFonts w:hint="eastAsia" w:ascii="宋体"/>
          <w:b/>
          <w:color w:val="auto"/>
          <w:sz w:val="32"/>
          <w:szCs w:val="32"/>
          <w:highlight w:val="none"/>
          <w:lang w:val="en-US" w:eastAsia="zh-CN"/>
        </w:rPr>
        <w:t>（盖单位章）</w:t>
      </w:r>
    </w:p>
    <w:p w14:paraId="4CA6CDAF">
      <w:pPr>
        <w:keepNext w:val="0"/>
        <w:keepLines w:val="0"/>
        <w:pageBreakBefore w:val="0"/>
        <w:widowControl/>
        <w:kinsoku w:val="0"/>
        <w:wordWrap/>
        <w:overflowPunct/>
        <w:topLinePunct w:val="0"/>
        <w:autoSpaceDE w:val="0"/>
        <w:autoSpaceDN w:val="0"/>
        <w:bidi w:val="0"/>
        <w:snapToGrid w:val="0"/>
        <w:spacing w:line="800" w:lineRule="exact"/>
        <w:ind w:right="0"/>
        <w:jc w:val="center"/>
        <w:textAlignment w:val="baseline"/>
        <w:rPr>
          <w:rFonts w:hint="eastAsia" w:ascii="宋体"/>
          <w:b/>
          <w:color w:val="auto"/>
          <w:sz w:val="32"/>
          <w:szCs w:val="32"/>
          <w:highlight w:val="none"/>
          <w:lang w:val="en-US" w:eastAsia="zh-CN"/>
        </w:rPr>
      </w:pPr>
      <w:r>
        <w:rPr>
          <w:rFonts w:hint="eastAsia" w:ascii="宋体"/>
          <w:b/>
          <w:color w:val="auto"/>
          <w:sz w:val="32"/>
          <w:szCs w:val="32"/>
          <w:highlight w:val="none"/>
          <w:lang w:val="en-US" w:eastAsia="zh-CN"/>
        </w:rPr>
        <w:t>2026 年 8 月</w:t>
      </w:r>
    </w:p>
    <w:p w14:paraId="07F90784">
      <w:pPr>
        <w:keepNext w:val="0"/>
        <w:keepLines w:val="0"/>
        <w:pageBreakBefore w:val="0"/>
        <w:widowControl/>
        <w:kinsoku w:val="0"/>
        <w:wordWrap/>
        <w:overflowPunct/>
        <w:topLinePunct w:val="0"/>
        <w:autoSpaceDE w:val="0"/>
        <w:autoSpaceDN w:val="0"/>
        <w:bidi w:val="0"/>
        <w:snapToGrid w:val="0"/>
        <w:spacing w:line="800" w:lineRule="exact"/>
        <w:ind w:right="0"/>
        <w:jc w:val="center"/>
        <w:textAlignment w:val="baseline"/>
        <w:rPr>
          <w:rFonts w:hint="eastAsia" w:ascii="宋体"/>
          <w:b/>
          <w:color w:val="auto"/>
          <w:sz w:val="32"/>
          <w:szCs w:val="32"/>
          <w:highlight w:val="none"/>
          <w:lang w:val="en-US" w:eastAsia="zh-CN"/>
        </w:rPr>
        <w:sectPr>
          <w:pgSz w:w="11900" w:h="16843"/>
          <w:pgMar w:top="1378" w:right="1417" w:bottom="1208" w:left="1417" w:header="1366" w:footer="1003" w:gutter="0"/>
          <w:cols w:space="0" w:num="1"/>
          <w:rtlGutter w:val="0"/>
          <w:docGrid w:linePitch="0" w:charSpace="0"/>
        </w:sectPr>
      </w:pPr>
    </w:p>
    <w:p w14:paraId="7B77C900">
      <w:pPr>
        <w:spacing w:line="262" w:lineRule="auto"/>
        <w:rPr>
          <w:rFonts w:ascii="Arial"/>
          <w:color w:val="auto"/>
          <w:spacing w:val="0"/>
          <w:w w:val="100"/>
          <w:position w:val="0"/>
          <w:sz w:val="21"/>
          <w:highlight w:val="none"/>
        </w:rPr>
      </w:pPr>
    </w:p>
    <w:p w14:paraId="5126332A">
      <w:pPr>
        <w:spacing w:line="263" w:lineRule="auto"/>
        <w:rPr>
          <w:rFonts w:ascii="Arial"/>
          <w:color w:val="auto"/>
          <w:spacing w:val="0"/>
          <w:w w:val="100"/>
          <w:position w:val="0"/>
          <w:sz w:val="21"/>
          <w:highlight w:val="none"/>
        </w:rPr>
      </w:pPr>
    </w:p>
    <w:p w14:paraId="29B25F67">
      <w:pPr>
        <w:pStyle w:val="6"/>
        <w:spacing w:before="169" w:line="219" w:lineRule="auto"/>
        <w:ind w:left="2906"/>
        <w:rPr>
          <w:color w:val="auto"/>
          <w:spacing w:val="0"/>
          <w:w w:val="100"/>
          <w:position w:val="0"/>
          <w:sz w:val="52"/>
          <w:szCs w:val="52"/>
          <w:highlight w:val="none"/>
        </w:rPr>
      </w:pPr>
      <w:r>
        <w:rPr>
          <w:b/>
          <w:bCs/>
          <w:color w:val="auto"/>
          <w:spacing w:val="0"/>
          <w:w w:val="100"/>
          <w:position w:val="0"/>
          <w:sz w:val="52"/>
          <w:szCs w:val="52"/>
          <w:highlight w:val="none"/>
        </w:rPr>
        <w:t>总</w:t>
      </w:r>
      <w:r>
        <w:rPr>
          <w:color w:val="auto"/>
          <w:spacing w:val="0"/>
          <w:w w:val="100"/>
          <w:position w:val="0"/>
          <w:sz w:val="52"/>
          <w:szCs w:val="52"/>
          <w:highlight w:val="none"/>
        </w:rPr>
        <w:t xml:space="preserve">  </w:t>
      </w:r>
      <w:r>
        <w:rPr>
          <w:b/>
          <w:bCs/>
          <w:color w:val="auto"/>
          <w:spacing w:val="0"/>
          <w:w w:val="100"/>
          <w:position w:val="0"/>
          <w:sz w:val="52"/>
          <w:szCs w:val="52"/>
          <w:highlight w:val="none"/>
        </w:rPr>
        <w:t>目</w:t>
      </w:r>
      <w:r>
        <w:rPr>
          <w:color w:val="auto"/>
          <w:spacing w:val="0"/>
          <w:w w:val="100"/>
          <w:position w:val="0"/>
          <w:sz w:val="52"/>
          <w:szCs w:val="52"/>
          <w:highlight w:val="none"/>
        </w:rPr>
        <w:t xml:space="preserve">  </w:t>
      </w:r>
      <w:r>
        <w:rPr>
          <w:b/>
          <w:bCs/>
          <w:color w:val="auto"/>
          <w:spacing w:val="0"/>
          <w:w w:val="100"/>
          <w:position w:val="0"/>
          <w:sz w:val="52"/>
          <w:szCs w:val="52"/>
          <w:highlight w:val="none"/>
        </w:rPr>
        <w:t>录</w:t>
      </w:r>
    </w:p>
    <w:p w14:paraId="3A81C2B0">
      <w:pPr>
        <w:spacing w:line="377" w:lineRule="auto"/>
        <w:rPr>
          <w:rFonts w:ascii="Arial"/>
          <w:color w:val="auto"/>
          <w:spacing w:val="0"/>
          <w:w w:val="100"/>
          <w:position w:val="0"/>
          <w:sz w:val="21"/>
          <w:highlight w:val="none"/>
        </w:rPr>
      </w:pPr>
    </w:p>
    <w:p w14:paraId="0D83A8EF">
      <w:pPr>
        <w:spacing w:before="117" w:line="220" w:lineRule="auto"/>
        <w:ind w:left="3652"/>
        <w:rPr>
          <w:rFonts w:ascii="宋体" w:hAnsi="宋体" w:eastAsia="宋体" w:cs="宋体"/>
          <w:color w:val="auto"/>
          <w:spacing w:val="0"/>
          <w:w w:val="100"/>
          <w:position w:val="0"/>
          <w:sz w:val="36"/>
          <w:szCs w:val="36"/>
          <w:highlight w:val="none"/>
        </w:rPr>
      </w:pPr>
      <w:r>
        <w:rPr>
          <w:rFonts w:ascii="宋体" w:hAnsi="宋体" w:eastAsia="宋体" w:cs="宋体"/>
          <w:b/>
          <w:bCs/>
          <w:color w:val="auto"/>
          <w:spacing w:val="0"/>
          <w:w w:val="100"/>
          <w:position w:val="0"/>
          <w:sz w:val="36"/>
          <w:szCs w:val="36"/>
          <w:highlight w:val="none"/>
        </w:rPr>
        <w:t>第一卷</w:t>
      </w:r>
    </w:p>
    <w:p w14:paraId="172FC9B6">
      <w:pPr>
        <w:spacing w:line="329" w:lineRule="auto"/>
        <w:rPr>
          <w:rFonts w:ascii="Arial"/>
          <w:color w:val="auto"/>
          <w:spacing w:val="0"/>
          <w:w w:val="100"/>
          <w:position w:val="0"/>
          <w:sz w:val="21"/>
          <w:highlight w:val="none"/>
        </w:rPr>
      </w:pPr>
    </w:p>
    <w:sdt>
      <w:sdtPr>
        <w:rPr>
          <w:rFonts w:ascii="黑体" w:hAnsi="黑体" w:eastAsia="黑体" w:cs="黑体"/>
          <w:color w:val="auto"/>
          <w:spacing w:val="0"/>
          <w:w w:val="100"/>
          <w:position w:val="0"/>
          <w:sz w:val="24"/>
          <w:szCs w:val="24"/>
          <w:highlight w:val="none"/>
        </w:rPr>
        <w:id w:val="147478638"/>
        <w:docPartObj>
          <w:docPartGallery w:val="Table of Contents"/>
          <w:docPartUnique/>
        </w:docPartObj>
      </w:sdtPr>
      <w:sdtEndPr>
        <w:rPr>
          <w:rFonts w:ascii="Times New Roman" w:hAnsi="Times New Roman" w:eastAsia="Times New Roman" w:cs="Times New Roman"/>
          <w:color w:val="auto"/>
          <w:spacing w:val="0"/>
          <w:w w:val="100"/>
          <w:position w:val="0"/>
          <w:sz w:val="24"/>
          <w:szCs w:val="24"/>
          <w:highlight w:val="none"/>
        </w:rPr>
      </w:sdtEndPr>
      <w:sdtContent>
        <w:p w14:paraId="70F9D821">
          <w:pPr>
            <w:pStyle w:val="6"/>
            <w:tabs>
              <w:tab w:val="right" w:leader="dot" w:pos="8635"/>
            </w:tabs>
            <w:spacing w:before="78" w:line="198" w:lineRule="auto"/>
            <w:ind w:left="38"/>
            <w:rPr>
              <w:rFonts w:ascii="Times New Roman" w:hAnsi="Times New Roman" w:eastAsia="Times New Roman" w:cs="Times New Roman"/>
              <w:color w:val="auto"/>
              <w:spacing w:val="0"/>
              <w:w w:val="100"/>
              <w:position w:val="0"/>
              <w:sz w:val="24"/>
              <w:szCs w:val="24"/>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"bookmark1" </w:instrText>
          </w:r>
          <w:r>
            <w:rPr>
              <w:color w:val="auto"/>
              <w:spacing w:val="0"/>
              <w:w w:val="100"/>
              <w:position w:val="0"/>
              <w:highlight w:val="none"/>
            </w:rPr>
            <w:fldChar w:fldCharType="separate"/>
          </w:r>
          <w:r>
            <w:rPr>
              <w:color w:val="auto"/>
              <w:spacing w:val="0"/>
              <w:w w:val="100"/>
              <w:position w:val="0"/>
              <w:sz w:val="24"/>
              <w:szCs w:val="24"/>
              <w:highlight w:val="none"/>
            </w:rPr>
            <w:t xml:space="preserve">第一章  招标公告 </w:t>
          </w:r>
          <w:r>
            <w:rPr>
              <w:color w:val="auto"/>
              <w:spacing w:val="0"/>
              <w:w w:val="100"/>
              <w:position w:val="0"/>
              <w:sz w:val="24"/>
              <w:szCs w:val="24"/>
              <w:highlight w:val="none"/>
            </w:rPr>
            <w:tab/>
          </w:r>
          <w:r>
            <w:rPr>
              <w:color w:val="auto"/>
              <w:spacing w:val="0"/>
              <w:w w:val="100"/>
              <w:position w:val="0"/>
              <w:sz w:val="24"/>
              <w:szCs w:val="24"/>
              <w:highlight w:val="none"/>
            </w:rPr>
            <w:t xml:space="preserve"> </w:t>
          </w:r>
          <w:r>
            <w:rPr>
              <w:rFonts w:hint="eastAsia" w:ascii="Times New Roman" w:hAnsi="Times New Roman" w:eastAsia="宋体" w:cs="Times New Roman"/>
              <w:color w:val="auto"/>
              <w:spacing w:val="0"/>
              <w:w w:val="100"/>
              <w:position w:val="0"/>
              <w:sz w:val="24"/>
              <w:szCs w:val="24"/>
              <w:highlight w:val="none"/>
              <w:lang w:val="en-US" w:eastAsia="zh-CN"/>
            </w:rPr>
            <w:t>1</w:t>
          </w:r>
          <w:r>
            <w:rPr>
              <w:rFonts w:ascii="Times New Roman" w:hAnsi="Times New Roman" w:eastAsia="Times New Roman" w:cs="Times New Roman"/>
              <w:color w:val="auto"/>
              <w:spacing w:val="0"/>
              <w:w w:val="100"/>
              <w:position w:val="0"/>
              <w:sz w:val="24"/>
              <w:szCs w:val="24"/>
              <w:highlight w:val="none"/>
            </w:rPr>
            <w:fldChar w:fldCharType="end"/>
          </w:r>
        </w:p>
        <w:p w14:paraId="3E0A3E46">
          <w:pPr>
            <w:pStyle w:val="6"/>
            <w:tabs>
              <w:tab w:val="right" w:leader="dot" w:pos="8635"/>
            </w:tabs>
            <w:spacing w:before="201" w:line="198" w:lineRule="auto"/>
            <w:ind w:left="38"/>
            <w:rPr>
              <w:rFonts w:hint="eastAsia" w:ascii="Times New Roman" w:hAnsi="Times New Roman" w:eastAsia="宋体" w:cs="Times New Roman"/>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"bookmark2" </w:instrText>
          </w:r>
          <w:r>
            <w:rPr>
              <w:color w:val="auto"/>
              <w:spacing w:val="0"/>
              <w:w w:val="100"/>
              <w:position w:val="0"/>
              <w:highlight w:val="none"/>
            </w:rPr>
            <w:fldChar w:fldCharType="separate"/>
          </w:r>
          <w:r>
            <w:rPr>
              <w:color w:val="auto"/>
              <w:spacing w:val="0"/>
              <w:w w:val="100"/>
              <w:position w:val="0"/>
              <w:sz w:val="24"/>
              <w:szCs w:val="24"/>
              <w:highlight w:val="none"/>
            </w:rPr>
            <w:t xml:space="preserve">第二章  投标人须知 </w:t>
          </w:r>
          <w:r>
            <w:rPr>
              <w:color w:val="auto"/>
              <w:spacing w:val="0"/>
              <w:w w:val="100"/>
              <w:position w:val="0"/>
              <w:sz w:val="24"/>
              <w:szCs w:val="24"/>
              <w:highlight w:val="none"/>
            </w:rPr>
            <w:tab/>
          </w:r>
          <w:r>
            <w:rPr>
              <w:color w:val="auto"/>
              <w:spacing w:val="0"/>
              <w:w w:val="100"/>
              <w:position w:val="0"/>
              <w:sz w:val="24"/>
              <w:szCs w:val="24"/>
              <w:highlight w:val="none"/>
            </w:rPr>
            <w:t xml:space="preserve"> </w:t>
          </w:r>
          <w:r>
            <w:rPr>
              <w:rFonts w:hint="eastAsia" w:ascii="Times New Roman" w:hAnsi="Times New Roman" w:eastAsia="宋体" w:cs="Times New Roman"/>
              <w:color w:val="auto"/>
              <w:spacing w:val="0"/>
              <w:w w:val="100"/>
              <w:position w:val="0"/>
              <w:sz w:val="24"/>
              <w:szCs w:val="24"/>
              <w:highlight w:val="none"/>
              <w:lang w:val="en-US" w:eastAsia="zh-CN"/>
            </w:rPr>
            <w:t>1</w:t>
          </w:r>
          <w:r>
            <w:rPr>
              <w:rFonts w:ascii="Times New Roman" w:hAnsi="Times New Roman" w:eastAsia="Times New Roman" w:cs="Times New Roman"/>
              <w:color w:val="auto"/>
              <w:spacing w:val="0"/>
              <w:w w:val="100"/>
              <w:position w:val="0"/>
              <w:sz w:val="24"/>
              <w:szCs w:val="24"/>
              <w:highlight w:val="none"/>
            </w:rPr>
            <w:fldChar w:fldCharType="end"/>
          </w:r>
          <w:r>
            <w:rPr>
              <w:rFonts w:hint="eastAsia" w:ascii="Times New Roman" w:hAnsi="Times New Roman" w:eastAsia="宋体" w:cs="Times New Roman"/>
              <w:color w:val="auto"/>
              <w:spacing w:val="0"/>
              <w:w w:val="100"/>
              <w:position w:val="0"/>
              <w:sz w:val="24"/>
              <w:szCs w:val="24"/>
              <w:highlight w:val="none"/>
              <w:lang w:val="en-US" w:eastAsia="zh-CN"/>
            </w:rPr>
            <w:t>2</w:t>
          </w:r>
        </w:p>
        <w:p w14:paraId="3E37352E">
          <w:pPr>
            <w:pStyle w:val="6"/>
            <w:tabs>
              <w:tab w:val="right" w:leader="dot" w:pos="8635"/>
            </w:tabs>
            <w:spacing w:before="201" w:line="198" w:lineRule="auto"/>
            <w:ind w:left="38"/>
            <w:rPr>
              <w:rFonts w:hint="default" w:ascii="Times New Roman" w:hAnsi="Times New Roman" w:eastAsia="宋体" w:cs="Times New Roman"/>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"bookmark3" </w:instrText>
          </w:r>
          <w:r>
            <w:rPr>
              <w:color w:val="auto"/>
              <w:spacing w:val="0"/>
              <w:w w:val="100"/>
              <w:position w:val="0"/>
              <w:highlight w:val="none"/>
            </w:rPr>
            <w:fldChar w:fldCharType="separate"/>
          </w:r>
          <w:r>
            <w:rPr>
              <w:color w:val="auto"/>
              <w:spacing w:val="0"/>
              <w:w w:val="100"/>
              <w:position w:val="0"/>
              <w:sz w:val="24"/>
              <w:szCs w:val="24"/>
              <w:highlight w:val="none"/>
            </w:rPr>
            <w:t xml:space="preserve">第三章  评标办法 </w:t>
          </w:r>
          <w:r>
            <w:rPr>
              <w:color w:val="auto"/>
              <w:spacing w:val="0"/>
              <w:w w:val="100"/>
              <w:position w:val="0"/>
              <w:sz w:val="24"/>
              <w:szCs w:val="24"/>
              <w:highlight w:val="none"/>
            </w:rPr>
            <w:tab/>
          </w:r>
          <w:r>
            <w:rPr>
              <w:color w:val="auto"/>
              <w:spacing w:val="0"/>
              <w:w w:val="100"/>
              <w:position w:val="0"/>
              <w:sz w:val="24"/>
              <w:szCs w:val="24"/>
              <w:highlight w:val="none"/>
            </w:rPr>
            <w:t xml:space="preserve"> </w:t>
          </w:r>
          <w:r>
            <w:rPr>
              <w:rFonts w:ascii="Times New Roman" w:hAnsi="Times New Roman" w:eastAsia="Times New Roman" w:cs="Times New Roman"/>
              <w:color w:val="auto"/>
              <w:spacing w:val="0"/>
              <w:w w:val="100"/>
              <w:position w:val="0"/>
              <w:sz w:val="24"/>
              <w:szCs w:val="24"/>
              <w:highlight w:val="none"/>
            </w:rPr>
            <w:fldChar w:fldCharType="end"/>
          </w:r>
          <w:r>
            <w:rPr>
              <w:rFonts w:hint="eastAsia" w:ascii="Times New Roman" w:hAnsi="Times New Roman" w:eastAsia="宋体" w:cs="Times New Roman"/>
              <w:color w:val="auto"/>
              <w:spacing w:val="0"/>
              <w:w w:val="100"/>
              <w:position w:val="0"/>
              <w:sz w:val="24"/>
              <w:szCs w:val="24"/>
              <w:highlight w:val="none"/>
              <w:lang w:val="en-US" w:eastAsia="zh-CN"/>
            </w:rPr>
            <w:t>49</w:t>
          </w:r>
        </w:p>
        <w:p w14:paraId="53DB0D1C">
          <w:pPr>
            <w:pStyle w:val="6"/>
            <w:tabs>
              <w:tab w:val="right" w:leader="dot" w:pos="8635"/>
            </w:tabs>
            <w:spacing w:before="200" w:line="233" w:lineRule="auto"/>
            <w:ind w:left="38"/>
            <w:rPr>
              <w:rFonts w:ascii="Times New Roman" w:hAnsi="Times New Roman" w:eastAsia="Times New Roman" w:cs="Times New Roman"/>
              <w:color w:val="auto"/>
              <w:spacing w:val="0"/>
              <w:w w:val="100"/>
              <w:position w:val="0"/>
              <w:sz w:val="24"/>
              <w:szCs w:val="24"/>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"bookmark4" </w:instrText>
          </w:r>
          <w:r>
            <w:rPr>
              <w:color w:val="auto"/>
              <w:spacing w:val="0"/>
              <w:w w:val="100"/>
              <w:position w:val="0"/>
              <w:highlight w:val="none"/>
            </w:rPr>
            <w:fldChar w:fldCharType="separate"/>
          </w:r>
          <w:r>
            <w:rPr>
              <w:color w:val="auto"/>
              <w:spacing w:val="0"/>
              <w:w w:val="100"/>
              <w:position w:val="0"/>
              <w:sz w:val="24"/>
              <w:szCs w:val="24"/>
              <w:highlight w:val="none"/>
            </w:rPr>
            <w:t xml:space="preserve">第四章  合同条款及格式 </w:t>
          </w:r>
          <w:r>
            <w:rPr>
              <w:color w:val="auto"/>
              <w:spacing w:val="0"/>
              <w:w w:val="100"/>
              <w:position w:val="0"/>
              <w:sz w:val="24"/>
              <w:szCs w:val="24"/>
              <w:highlight w:val="none"/>
            </w:rPr>
            <w:tab/>
          </w:r>
          <w:r>
            <w:rPr>
              <w:color w:val="auto"/>
              <w:spacing w:val="0"/>
              <w:w w:val="100"/>
              <w:position w:val="0"/>
              <w:sz w:val="24"/>
              <w:szCs w:val="24"/>
              <w:highlight w:val="none"/>
            </w:rPr>
            <w:t xml:space="preserve"> </w:t>
          </w:r>
          <w:r>
            <w:rPr>
              <w:rFonts w:ascii="Times New Roman" w:hAnsi="Times New Roman" w:eastAsia="Times New Roman" w:cs="Times New Roman"/>
              <w:color w:val="auto"/>
              <w:spacing w:val="0"/>
              <w:w w:val="100"/>
              <w:position w:val="0"/>
              <w:sz w:val="24"/>
              <w:szCs w:val="24"/>
              <w:highlight w:val="none"/>
            </w:rPr>
            <w:t>6</w:t>
          </w:r>
          <w:r>
            <w:rPr>
              <w:rFonts w:hint="eastAsia" w:ascii="Times New Roman" w:hAnsi="Times New Roman" w:eastAsia="宋体" w:cs="Times New Roman"/>
              <w:color w:val="auto"/>
              <w:spacing w:val="0"/>
              <w:w w:val="100"/>
              <w:position w:val="0"/>
              <w:sz w:val="24"/>
              <w:szCs w:val="24"/>
              <w:highlight w:val="none"/>
              <w:lang w:val="en-US" w:eastAsia="zh-CN"/>
            </w:rPr>
            <w:t>7</w:t>
          </w:r>
          <w:r>
            <w:rPr>
              <w:rFonts w:ascii="Times New Roman" w:hAnsi="Times New Roman" w:eastAsia="Times New Roman" w:cs="Times New Roman"/>
              <w:color w:val="auto"/>
              <w:spacing w:val="0"/>
              <w:w w:val="100"/>
              <w:position w:val="0"/>
              <w:sz w:val="24"/>
              <w:szCs w:val="24"/>
              <w:highlight w:val="none"/>
            </w:rPr>
            <w:fldChar w:fldCharType="end"/>
          </w:r>
        </w:p>
        <w:p w14:paraId="672EA279">
          <w:pPr>
            <w:spacing w:line="467" w:lineRule="auto"/>
            <w:rPr>
              <w:rFonts w:ascii="Arial"/>
              <w:color w:val="auto"/>
              <w:spacing w:val="0"/>
              <w:w w:val="100"/>
              <w:position w:val="0"/>
              <w:sz w:val="21"/>
              <w:highlight w:val="none"/>
            </w:rPr>
          </w:pPr>
        </w:p>
        <w:p w14:paraId="739068BA">
          <w:pPr>
            <w:spacing w:before="118" w:line="220" w:lineRule="auto"/>
            <w:ind w:left="3652"/>
            <w:rPr>
              <w:rFonts w:ascii="宋体" w:hAnsi="宋体" w:eastAsia="宋体" w:cs="宋体"/>
              <w:color w:val="auto"/>
              <w:spacing w:val="0"/>
              <w:w w:val="100"/>
              <w:position w:val="0"/>
              <w:sz w:val="36"/>
              <w:szCs w:val="36"/>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"bookmark5" </w:instrText>
          </w:r>
          <w:r>
            <w:rPr>
              <w:color w:val="auto"/>
              <w:spacing w:val="0"/>
              <w:w w:val="100"/>
              <w:position w:val="0"/>
              <w:highlight w:val="none"/>
            </w:rPr>
            <w:fldChar w:fldCharType="separate"/>
          </w:r>
          <w:r>
            <w:rPr>
              <w:rFonts w:ascii="宋体" w:hAnsi="宋体" w:eastAsia="宋体" w:cs="宋体"/>
              <w:b/>
              <w:bCs/>
              <w:color w:val="auto"/>
              <w:spacing w:val="0"/>
              <w:w w:val="100"/>
              <w:position w:val="0"/>
              <w:sz w:val="36"/>
              <w:szCs w:val="36"/>
              <w:highlight w:val="none"/>
            </w:rPr>
            <w:t>第二卷</w:t>
          </w:r>
          <w:r>
            <w:rPr>
              <w:rFonts w:ascii="宋体" w:hAnsi="宋体" w:eastAsia="宋体" w:cs="宋体"/>
              <w:b/>
              <w:bCs/>
              <w:color w:val="auto"/>
              <w:spacing w:val="0"/>
              <w:w w:val="100"/>
              <w:position w:val="0"/>
              <w:sz w:val="36"/>
              <w:szCs w:val="36"/>
              <w:highlight w:val="none"/>
            </w:rPr>
            <w:fldChar w:fldCharType="end"/>
          </w:r>
        </w:p>
        <w:p w14:paraId="6F3DE6FB">
          <w:pPr>
            <w:pStyle w:val="6"/>
            <w:tabs>
              <w:tab w:val="right" w:leader="dot" w:pos="8635"/>
            </w:tabs>
            <w:spacing w:before="296" w:line="232" w:lineRule="auto"/>
            <w:ind w:left="38"/>
            <w:rPr>
              <w:rFonts w:hint="eastAsia" w:ascii="Times New Roman" w:hAnsi="Times New Roman" w:eastAsia="宋体" w:cs="Times New Roman"/>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"bookmark6" </w:instrText>
          </w:r>
          <w:r>
            <w:rPr>
              <w:color w:val="auto"/>
              <w:spacing w:val="0"/>
              <w:w w:val="100"/>
              <w:position w:val="0"/>
              <w:highlight w:val="none"/>
            </w:rPr>
            <w:fldChar w:fldCharType="separate"/>
          </w:r>
          <w:r>
            <w:rPr>
              <w:color w:val="auto"/>
              <w:spacing w:val="0"/>
              <w:w w:val="100"/>
              <w:position w:val="0"/>
              <w:sz w:val="24"/>
              <w:szCs w:val="24"/>
              <w:highlight w:val="none"/>
            </w:rPr>
            <w:t xml:space="preserve">第五章  发包人要求 </w:t>
          </w:r>
          <w:r>
            <w:rPr>
              <w:color w:val="auto"/>
              <w:spacing w:val="0"/>
              <w:w w:val="100"/>
              <w:position w:val="0"/>
              <w:sz w:val="24"/>
              <w:szCs w:val="24"/>
              <w:highlight w:val="none"/>
            </w:rPr>
            <w:tab/>
          </w:r>
          <w:r>
            <w:rPr>
              <w:color w:val="auto"/>
              <w:spacing w:val="0"/>
              <w:w w:val="100"/>
              <w:position w:val="0"/>
              <w:sz w:val="24"/>
              <w:szCs w:val="24"/>
              <w:highlight w:val="none"/>
            </w:rPr>
            <w:t xml:space="preserve"> </w:t>
          </w:r>
          <w:r>
            <w:rPr>
              <w:rFonts w:ascii="Times New Roman" w:hAnsi="Times New Roman" w:eastAsia="Times New Roman" w:cs="Times New Roman"/>
              <w:color w:val="auto"/>
              <w:spacing w:val="0"/>
              <w:w w:val="100"/>
              <w:position w:val="0"/>
              <w:sz w:val="24"/>
              <w:szCs w:val="24"/>
              <w:highlight w:val="none"/>
            </w:rPr>
            <w:t>1</w:t>
          </w:r>
          <w:r>
            <w:rPr>
              <w:rFonts w:hint="eastAsia" w:ascii="Times New Roman" w:hAnsi="Times New Roman" w:eastAsia="宋体" w:cs="Times New Roman"/>
              <w:color w:val="auto"/>
              <w:spacing w:val="0"/>
              <w:w w:val="100"/>
              <w:position w:val="0"/>
              <w:sz w:val="24"/>
              <w:szCs w:val="24"/>
              <w:highlight w:val="none"/>
              <w:lang w:val="en-US" w:eastAsia="zh-CN"/>
            </w:rPr>
            <w:t>2</w:t>
          </w:r>
          <w:r>
            <w:rPr>
              <w:rFonts w:ascii="Times New Roman" w:hAnsi="Times New Roman" w:eastAsia="Times New Roman" w:cs="Times New Roman"/>
              <w:color w:val="auto"/>
              <w:spacing w:val="0"/>
              <w:w w:val="100"/>
              <w:position w:val="0"/>
              <w:sz w:val="24"/>
              <w:szCs w:val="24"/>
              <w:highlight w:val="none"/>
            </w:rPr>
            <w:fldChar w:fldCharType="end"/>
          </w:r>
          <w:r>
            <w:rPr>
              <w:rFonts w:hint="eastAsia" w:ascii="Times New Roman" w:hAnsi="Times New Roman" w:eastAsia="宋体" w:cs="Times New Roman"/>
              <w:color w:val="auto"/>
              <w:spacing w:val="0"/>
              <w:w w:val="100"/>
              <w:position w:val="0"/>
              <w:sz w:val="24"/>
              <w:szCs w:val="24"/>
              <w:highlight w:val="none"/>
              <w:lang w:val="en-US" w:eastAsia="zh-CN"/>
            </w:rPr>
            <w:t>5</w:t>
          </w:r>
        </w:p>
        <w:p w14:paraId="12BA377D">
          <w:pPr>
            <w:spacing w:line="466" w:lineRule="auto"/>
            <w:rPr>
              <w:rFonts w:ascii="Arial"/>
              <w:color w:val="auto"/>
              <w:spacing w:val="0"/>
              <w:w w:val="100"/>
              <w:position w:val="0"/>
              <w:sz w:val="21"/>
              <w:highlight w:val="none"/>
            </w:rPr>
          </w:pPr>
        </w:p>
        <w:p w14:paraId="52833D0B">
          <w:pPr>
            <w:spacing w:before="117" w:line="220" w:lineRule="auto"/>
            <w:ind w:left="3652"/>
            <w:rPr>
              <w:rFonts w:ascii="宋体" w:hAnsi="宋体" w:eastAsia="宋体" w:cs="宋体"/>
              <w:color w:val="auto"/>
              <w:spacing w:val="0"/>
              <w:w w:val="100"/>
              <w:position w:val="0"/>
              <w:sz w:val="36"/>
              <w:szCs w:val="36"/>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"bookmark7" </w:instrText>
          </w:r>
          <w:r>
            <w:rPr>
              <w:color w:val="auto"/>
              <w:spacing w:val="0"/>
              <w:w w:val="100"/>
              <w:position w:val="0"/>
              <w:highlight w:val="none"/>
            </w:rPr>
            <w:fldChar w:fldCharType="separate"/>
          </w:r>
          <w:r>
            <w:rPr>
              <w:rFonts w:ascii="宋体" w:hAnsi="宋体" w:eastAsia="宋体" w:cs="宋体"/>
              <w:b/>
              <w:bCs/>
              <w:color w:val="auto"/>
              <w:spacing w:val="0"/>
              <w:w w:val="100"/>
              <w:position w:val="0"/>
              <w:sz w:val="36"/>
              <w:szCs w:val="36"/>
              <w:highlight w:val="none"/>
            </w:rPr>
            <w:t>第三卷</w:t>
          </w:r>
          <w:r>
            <w:rPr>
              <w:rFonts w:ascii="宋体" w:hAnsi="宋体" w:eastAsia="宋体" w:cs="宋体"/>
              <w:b/>
              <w:bCs/>
              <w:color w:val="auto"/>
              <w:spacing w:val="0"/>
              <w:w w:val="100"/>
              <w:position w:val="0"/>
              <w:sz w:val="36"/>
              <w:szCs w:val="36"/>
              <w:highlight w:val="none"/>
            </w:rPr>
            <w:fldChar w:fldCharType="end"/>
          </w:r>
        </w:p>
        <w:p w14:paraId="06717ED0">
          <w:pPr>
            <w:spacing w:line="357" w:lineRule="auto"/>
            <w:rPr>
              <w:rFonts w:ascii="Arial"/>
              <w:color w:val="auto"/>
              <w:spacing w:val="0"/>
              <w:w w:val="100"/>
              <w:position w:val="0"/>
              <w:sz w:val="21"/>
              <w:highlight w:val="none"/>
            </w:rPr>
          </w:pPr>
        </w:p>
        <w:p w14:paraId="7D7DB313">
          <w:pPr>
            <w:pStyle w:val="6"/>
            <w:tabs>
              <w:tab w:val="right" w:leader="dot" w:pos="8635"/>
            </w:tabs>
            <w:spacing w:before="79" w:line="233" w:lineRule="auto"/>
            <w:ind w:left="38"/>
            <w:rPr>
              <w:rFonts w:ascii="Times New Roman" w:hAnsi="Times New Roman" w:eastAsia="Times New Roman" w:cs="Times New Roman"/>
              <w:color w:val="auto"/>
              <w:spacing w:val="0"/>
              <w:w w:val="100"/>
              <w:position w:val="0"/>
              <w:sz w:val="24"/>
              <w:szCs w:val="24"/>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"bookmark8" </w:instrText>
          </w:r>
          <w:r>
            <w:rPr>
              <w:color w:val="auto"/>
              <w:spacing w:val="0"/>
              <w:w w:val="100"/>
              <w:position w:val="0"/>
              <w:highlight w:val="none"/>
            </w:rPr>
            <w:fldChar w:fldCharType="separate"/>
          </w:r>
          <w:r>
            <w:rPr>
              <w:color w:val="auto"/>
              <w:spacing w:val="0"/>
              <w:w w:val="100"/>
              <w:position w:val="0"/>
              <w:sz w:val="24"/>
              <w:szCs w:val="24"/>
              <w:highlight w:val="none"/>
            </w:rPr>
            <w:t xml:space="preserve">第六章  投标文件格式 </w:t>
          </w:r>
          <w:r>
            <w:rPr>
              <w:color w:val="auto"/>
              <w:spacing w:val="0"/>
              <w:w w:val="100"/>
              <w:position w:val="0"/>
              <w:sz w:val="24"/>
              <w:szCs w:val="24"/>
              <w:highlight w:val="none"/>
            </w:rPr>
            <w:tab/>
          </w:r>
          <w:r>
            <w:rPr>
              <w:color w:val="auto"/>
              <w:spacing w:val="0"/>
              <w:w w:val="100"/>
              <w:position w:val="0"/>
              <w:sz w:val="24"/>
              <w:szCs w:val="24"/>
              <w:highlight w:val="none"/>
            </w:rPr>
            <w:t xml:space="preserve"> </w:t>
          </w:r>
          <w:r>
            <w:rPr>
              <w:rFonts w:ascii="Times New Roman" w:hAnsi="Times New Roman" w:eastAsia="Times New Roman" w:cs="Times New Roman"/>
              <w:color w:val="auto"/>
              <w:spacing w:val="0"/>
              <w:w w:val="100"/>
              <w:position w:val="0"/>
              <w:sz w:val="24"/>
              <w:szCs w:val="24"/>
              <w:highlight w:val="none"/>
            </w:rPr>
            <w:t>1</w:t>
          </w:r>
          <w:r>
            <w:rPr>
              <w:rFonts w:hint="eastAsia" w:ascii="Times New Roman" w:hAnsi="Times New Roman" w:eastAsia="宋体" w:cs="Times New Roman"/>
              <w:color w:val="auto"/>
              <w:spacing w:val="0"/>
              <w:w w:val="100"/>
              <w:position w:val="0"/>
              <w:sz w:val="24"/>
              <w:szCs w:val="24"/>
              <w:highlight w:val="none"/>
              <w:lang w:val="en-US" w:eastAsia="zh-CN"/>
            </w:rPr>
            <w:t>3</w:t>
          </w:r>
          <w:r>
            <w:rPr>
              <w:rFonts w:ascii="Times New Roman" w:hAnsi="Times New Roman" w:eastAsia="Times New Roman" w:cs="Times New Roman"/>
              <w:color w:val="auto"/>
              <w:spacing w:val="0"/>
              <w:w w:val="100"/>
              <w:position w:val="0"/>
              <w:sz w:val="24"/>
              <w:szCs w:val="24"/>
              <w:highlight w:val="none"/>
            </w:rPr>
            <w:fldChar w:fldCharType="end"/>
          </w:r>
          <w:r>
            <w:rPr>
              <w:rFonts w:hint="eastAsia" w:ascii="Times New Roman" w:hAnsi="Times New Roman" w:eastAsia="宋体" w:cs="Times New Roman"/>
              <w:color w:val="auto"/>
              <w:spacing w:val="0"/>
              <w:w w:val="100"/>
              <w:position w:val="0"/>
              <w:sz w:val="24"/>
              <w:szCs w:val="24"/>
              <w:highlight w:val="none"/>
              <w:lang w:val="en-US" w:eastAsia="zh-CN"/>
            </w:rPr>
            <w:t>3</w:t>
          </w:r>
        </w:p>
      </w:sdtContent>
    </w:sdt>
    <w:p w14:paraId="2D07991D">
      <w:pPr>
        <w:spacing w:line="233" w:lineRule="auto"/>
        <w:rPr>
          <w:rFonts w:ascii="Times New Roman" w:hAnsi="Times New Roman" w:eastAsia="Times New Roman" w:cs="Times New Roman"/>
          <w:color w:val="auto"/>
          <w:spacing w:val="0"/>
          <w:w w:val="100"/>
          <w:position w:val="0"/>
          <w:sz w:val="24"/>
          <w:szCs w:val="24"/>
          <w:highlight w:val="none"/>
        </w:rPr>
        <w:sectPr>
          <w:headerReference r:id="rId5" w:type="default"/>
          <w:pgSz w:w="11900" w:h="16843"/>
          <w:pgMar w:top="1378" w:right="1417" w:bottom="1208" w:left="1417" w:header="1366" w:footer="1003" w:gutter="0"/>
          <w:cols w:space="0" w:num="1"/>
          <w:rtlGutter w:val="0"/>
          <w:docGrid w:linePitch="0" w:charSpace="0"/>
        </w:sectPr>
      </w:pPr>
    </w:p>
    <w:sdt>
      <w:sdtPr>
        <w:rPr>
          <w:rFonts w:ascii="黑体" w:hAnsi="黑体" w:eastAsia="黑体" w:cs="黑体"/>
          <w:color w:val="auto"/>
          <w:spacing w:val="0"/>
          <w:w w:val="100"/>
          <w:position w:val="0"/>
          <w:sz w:val="52"/>
          <w:szCs w:val="52"/>
          <w:highlight w:val="none"/>
        </w:rPr>
        <w:id w:val="147475738"/>
        <w:docPartObj>
          <w:docPartGallery w:val="Table of Contents"/>
          <w:docPartUnique/>
        </w:docPartObj>
      </w:sdtPr>
      <w:sdtEndPr>
        <w:rPr>
          <w:rFonts w:ascii="宋体" w:hAnsi="宋体" w:eastAsia="宋体" w:cs="宋体"/>
          <w:color w:val="auto"/>
          <w:spacing w:val="0"/>
          <w:w w:val="100"/>
          <w:position w:val="0"/>
          <w:sz w:val="24"/>
          <w:szCs w:val="24"/>
          <w:highlight w:val="none"/>
        </w:rPr>
      </w:sdtEndPr>
      <w:sdtContent>
        <w:p w14:paraId="4652678F">
          <w:pPr>
            <w:pStyle w:val="6"/>
            <w:spacing w:before="169" w:line="219" w:lineRule="auto"/>
            <w:ind w:left="3484"/>
            <w:rPr>
              <w:color w:val="auto"/>
              <w:spacing w:val="0"/>
              <w:w w:val="100"/>
              <w:position w:val="0"/>
              <w:sz w:val="52"/>
              <w:szCs w:val="52"/>
              <w:highlight w:val="none"/>
            </w:rPr>
          </w:pPr>
          <w:r>
            <w:rPr>
              <w:b/>
              <w:bCs/>
              <w:color w:val="auto"/>
              <w:spacing w:val="0"/>
              <w:w w:val="100"/>
              <w:position w:val="0"/>
              <w:sz w:val="52"/>
              <w:szCs w:val="52"/>
              <w:highlight w:val="none"/>
            </w:rPr>
            <w:t>目</w:t>
          </w:r>
          <w:r>
            <w:rPr>
              <w:color w:val="auto"/>
              <w:spacing w:val="0"/>
              <w:w w:val="100"/>
              <w:position w:val="0"/>
              <w:sz w:val="52"/>
              <w:szCs w:val="52"/>
              <w:highlight w:val="none"/>
            </w:rPr>
            <w:t xml:space="preserve">  </w:t>
          </w:r>
          <w:r>
            <w:rPr>
              <w:b/>
              <w:bCs/>
              <w:color w:val="auto"/>
              <w:spacing w:val="0"/>
              <w:w w:val="100"/>
              <w:position w:val="0"/>
              <w:sz w:val="52"/>
              <w:szCs w:val="52"/>
              <w:highlight w:val="none"/>
            </w:rPr>
            <w:t>录</w:t>
          </w:r>
        </w:p>
        <w:p w14:paraId="1F32F638">
          <w:pPr>
            <w:spacing w:before="265" w:line="220" w:lineRule="auto"/>
            <w:ind w:left="3741"/>
            <w:rPr>
              <w:rFonts w:ascii="宋体" w:hAnsi="宋体" w:eastAsia="宋体" w:cs="宋体"/>
              <w:color w:val="auto"/>
              <w:spacing w:val="0"/>
              <w:w w:val="100"/>
              <w:position w:val="0"/>
              <w:sz w:val="30"/>
              <w:szCs w:val="30"/>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"bookmark9" </w:instrText>
          </w:r>
          <w:r>
            <w:rPr>
              <w:color w:val="auto"/>
              <w:spacing w:val="0"/>
              <w:w w:val="100"/>
              <w:position w:val="0"/>
              <w:highlight w:val="none"/>
            </w:rPr>
            <w:fldChar w:fldCharType="separate"/>
          </w:r>
          <w:r>
            <w:rPr>
              <w:rFonts w:ascii="宋体" w:hAnsi="宋体" w:eastAsia="宋体" w:cs="宋体"/>
              <w:b/>
              <w:bCs/>
              <w:color w:val="auto"/>
              <w:spacing w:val="0"/>
              <w:w w:val="100"/>
              <w:position w:val="0"/>
              <w:sz w:val="30"/>
              <w:szCs w:val="30"/>
              <w:highlight w:val="none"/>
            </w:rPr>
            <w:t>第一卷</w:t>
          </w:r>
          <w:r>
            <w:rPr>
              <w:rFonts w:ascii="宋体" w:hAnsi="宋体" w:eastAsia="宋体" w:cs="宋体"/>
              <w:b/>
              <w:bCs/>
              <w:color w:val="auto"/>
              <w:spacing w:val="0"/>
              <w:w w:val="100"/>
              <w:position w:val="0"/>
              <w:sz w:val="30"/>
              <w:szCs w:val="30"/>
              <w:highlight w:val="none"/>
            </w:rPr>
            <w:fldChar w:fldCharType="end"/>
          </w:r>
        </w:p>
        <w:p w14:paraId="66C32C07">
          <w:pPr>
            <w:spacing w:line="377" w:lineRule="auto"/>
            <w:rPr>
              <w:rFonts w:ascii="Arial"/>
              <w:color w:val="auto"/>
              <w:spacing w:val="0"/>
              <w:w w:val="100"/>
              <w:position w:val="0"/>
              <w:sz w:val="21"/>
              <w:highlight w:val="none"/>
            </w:rPr>
          </w:pPr>
        </w:p>
        <w:p w14:paraId="260CBDF8">
          <w:pPr>
            <w:tabs>
              <w:tab w:val="right" w:leader="dot" w:pos="8285"/>
            </w:tabs>
            <w:spacing w:before="78" w:line="185" w:lineRule="auto"/>
            <w:ind w:left="38"/>
            <w:rPr>
              <w:rFonts w:ascii="宋体" w:hAnsi="宋体" w:eastAsia="宋体" w:cs="宋体"/>
              <w:color w:val="auto"/>
              <w:spacing w:val="0"/>
              <w:w w:val="100"/>
              <w:position w:val="0"/>
              <w:sz w:val="24"/>
              <w:szCs w:val="24"/>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"bookmark10" </w:instrText>
          </w:r>
          <w:r>
            <w:rPr>
              <w:color w:val="auto"/>
              <w:spacing w:val="0"/>
              <w:w w:val="100"/>
              <w:position w:val="0"/>
              <w:highlight w:val="none"/>
            </w:rPr>
            <w:fldChar w:fldCharType="separate"/>
          </w:r>
          <w:r>
            <w:rPr>
              <w:rFonts w:ascii="宋体" w:hAnsi="宋体" w:eastAsia="宋体" w:cs="宋体"/>
              <w:b/>
              <w:bCs/>
              <w:color w:val="auto"/>
              <w:spacing w:val="0"/>
              <w:w w:val="100"/>
              <w:position w:val="0"/>
              <w:sz w:val="24"/>
              <w:szCs w:val="24"/>
              <w:highlight w:val="none"/>
            </w:rPr>
            <w:t>第一章</w:t>
          </w:r>
          <w:r>
            <w:rPr>
              <w:rFonts w:ascii="宋体" w:hAnsi="宋体" w:eastAsia="宋体" w:cs="宋体"/>
              <w:color w:val="auto"/>
              <w:spacing w:val="0"/>
              <w:w w:val="100"/>
              <w:position w:val="0"/>
              <w:sz w:val="24"/>
              <w:szCs w:val="24"/>
              <w:highlight w:val="none"/>
            </w:rPr>
            <w:t xml:space="preserve">  </w:t>
          </w:r>
          <w:r>
            <w:rPr>
              <w:rFonts w:ascii="宋体" w:hAnsi="宋体" w:eastAsia="宋体" w:cs="宋体"/>
              <w:b/>
              <w:bCs/>
              <w:color w:val="auto"/>
              <w:spacing w:val="0"/>
              <w:w w:val="100"/>
              <w:position w:val="0"/>
              <w:sz w:val="24"/>
              <w:szCs w:val="24"/>
              <w:highlight w:val="none"/>
            </w:rPr>
            <w:t>招标公告</w:t>
          </w:r>
          <w:r>
            <w:rPr>
              <w:rFonts w:ascii="宋体" w:hAnsi="宋体" w:eastAsia="宋体" w:cs="宋体"/>
              <w:color w:val="auto"/>
              <w:spacing w:val="0"/>
              <w:w w:val="100"/>
              <w:position w:val="0"/>
              <w:sz w:val="24"/>
              <w:szCs w:val="24"/>
              <w:highlight w:val="none"/>
            </w:rPr>
            <w:t xml:space="preserve"> </w:t>
          </w:r>
          <w:r>
            <w:rPr>
              <w:rFonts w:ascii="宋体" w:hAnsi="宋体" w:eastAsia="宋体" w:cs="宋体"/>
              <w:color w:val="auto"/>
              <w:spacing w:val="0"/>
              <w:w w:val="100"/>
              <w:position w:val="0"/>
              <w:sz w:val="24"/>
              <w:szCs w:val="24"/>
              <w:highlight w:val="none"/>
              <w14:textOutline w14:w="4356" w14:cap="flat" w14:cmpd="sng">
                <w14:solidFill>
                  <w14:srgbClr w14:val="000000"/>
                </w14:solidFill>
                <w14:prstDash w14:val="solid"/>
                <w14:miter w14:val="0"/>
              </w14:textOutline>
            </w:rPr>
            <w:tab/>
          </w:r>
          <w:r>
            <w:rPr>
              <w:rFonts w:ascii="宋体" w:hAnsi="宋体" w:eastAsia="宋体" w:cs="宋体"/>
              <w:color w:val="auto"/>
              <w:spacing w:val="0"/>
              <w:w w:val="100"/>
              <w:position w:val="0"/>
              <w:sz w:val="24"/>
              <w:szCs w:val="24"/>
              <w:highlight w:val="none"/>
            </w:rPr>
            <w:t xml:space="preserve"> </w:t>
          </w:r>
          <w:r>
            <w:rPr>
              <w:rFonts w:hint="eastAsia" w:ascii="宋体" w:hAnsi="宋体" w:eastAsia="宋体" w:cs="宋体"/>
              <w:b/>
              <w:bCs/>
              <w:color w:val="auto"/>
              <w:spacing w:val="0"/>
              <w:w w:val="100"/>
              <w:position w:val="0"/>
              <w:sz w:val="24"/>
              <w:szCs w:val="24"/>
              <w:highlight w:val="none"/>
              <w:lang w:val="en-US" w:eastAsia="zh-CN"/>
            </w:rPr>
            <w:t>1</w:t>
          </w:r>
          <w:r>
            <w:rPr>
              <w:rFonts w:ascii="宋体" w:hAnsi="宋体" w:eastAsia="宋体" w:cs="宋体"/>
              <w:b/>
              <w:bCs/>
              <w:color w:val="auto"/>
              <w:spacing w:val="0"/>
              <w:w w:val="100"/>
              <w:position w:val="0"/>
              <w:sz w:val="24"/>
              <w:szCs w:val="24"/>
              <w:highlight w:val="none"/>
            </w:rPr>
            <w:fldChar w:fldCharType="end"/>
          </w:r>
        </w:p>
        <w:p w14:paraId="7A6BD04C">
          <w:pPr>
            <w:spacing w:line="246" w:lineRule="auto"/>
            <w:rPr>
              <w:rFonts w:ascii="Arial"/>
              <w:color w:val="auto"/>
              <w:spacing w:val="0"/>
              <w:w w:val="100"/>
              <w:position w:val="0"/>
              <w:sz w:val="21"/>
              <w:highlight w:val="none"/>
            </w:rPr>
          </w:pPr>
        </w:p>
        <w:p w14:paraId="34EFBD67">
          <w:pPr>
            <w:tabs>
              <w:tab w:val="right" w:leader="dot" w:pos="8285"/>
            </w:tabs>
            <w:spacing w:before="78" w:line="185" w:lineRule="auto"/>
            <w:ind w:left="38"/>
            <w:rPr>
              <w:rFonts w:hint="eastAsia" w:ascii="宋体" w:hAnsi="宋体" w:eastAsia="宋体" w:cs="宋体"/>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"bookmark11" </w:instrText>
          </w:r>
          <w:r>
            <w:rPr>
              <w:color w:val="auto"/>
              <w:spacing w:val="0"/>
              <w:w w:val="100"/>
              <w:position w:val="0"/>
              <w:highlight w:val="none"/>
            </w:rPr>
            <w:fldChar w:fldCharType="separate"/>
          </w:r>
          <w:r>
            <w:rPr>
              <w:rFonts w:ascii="宋体" w:hAnsi="宋体" w:eastAsia="宋体" w:cs="宋体"/>
              <w:b/>
              <w:bCs/>
              <w:color w:val="auto"/>
              <w:spacing w:val="0"/>
              <w:w w:val="100"/>
              <w:position w:val="0"/>
              <w:sz w:val="24"/>
              <w:szCs w:val="24"/>
              <w:highlight w:val="none"/>
            </w:rPr>
            <w:t>第二章</w:t>
          </w:r>
          <w:r>
            <w:rPr>
              <w:rFonts w:ascii="宋体" w:hAnsi="宋体" w:eastAsia="宋体" w:cs="宋体"/>
              <w:color w:val="auto"/>
              <w:spacing w:val="0"/>
              <w:w w:val="100"/>
              <w:position w:val="0"/>
              <w:sz w:val="24"/>
              <w:szCs w:val="24"/>
              <w:highlight w:val="none"/>
            </w:rPr>
            <w:t xml:space="preserve">  </w:t>
          </w:r>
          <w:r>
            <w:rPr>
              <w:rFonts w:ascii="宋体" w:hAnsi="宋体" w:eastAsia="宋体" w:cs="宋体"/>
              <w:b/>
              <w:bCs/>
              <w:color w:val="auto"/>
              <w:spacing w:val="0"/>
              <w:w w:val="100"/>
              <w:position w:val="0"/>
              <w:sz w:val="24"/>
              <w:szCs w:val="24"/>
              <w:highlight w:val="none"/>
            </w:rPr>
            <w:t>投标人须知</w:t>
          </w:r>
          <w:r>
            <w:rPr>
              <w:rFonts w:ascii="宋体" w:hAnsi="宋体" w:eastAsia="宋体" w:cs="宋体"/>
              <w:color w:val="auto"/>
              <w:spacing w:val="0"/>
              <w:w w:val="100"/>
              <w:position w:val="0"/>
              <w:sz w:val="24"/>
              <w:szCs w:val="24"/>
              <w:highlight w:val="none"/>
            </w:rPr>
            <w:t xml:space="preserve"> </w:t>
          </w:r>
          <w:r>
            <w:rPr>
              <w:rFonts w:ascii="宋体" w:hAnsi="宋体" w:eastAsia="宋体" w:cs="宋体"/>
              <w:color w:val="auto"/>
              <w:spacing w:val="0"/>
              <w:w w:val="100"/>
              <w:position w:val="0"/>
              <w:sz w:val="24"/>
              <w:szCs w:val="24"/>
              <w:highlight w:val="none"/>
              <w14:textOutline w14:w="4356" w14:cap="flat" w14:cmpd="sng">
                <w14:solidFill>
                  <w14:srgbClr w14:val="000000"/>
                </w14:solidFill>
                <w14:prstDash w14:val="solid"/>
                <w14:miter w14:val="0"/>
              </w14:textOutline>
            </w:rPr>
            <w:tab/>
          </w:r>
          <w:r>
            <w:rPr>
              <w:rFonts w:ascii="宋体" w:hAnsi="宋体" w:eastAsia="宋体" w:cs="宋体"/>
              <w:color w:val="auto"/>
              <w:spacing w:val="0"/>
              <w:w w:val="100"/>
              <w:position w:val="0"/>
              <w:sz w:val="24"/>
              <w:szCs w:val="24"/>
              <w:highlight w:val="none"/>
            </w:rPr>
            <w:t xml:space="preserve"> </w:t>
          </w:r>
          <w:r>
            <w:rPr>
              <w:rFonts w:hint="eastAsia" w:ascii="宋体" w:hAnsi="宋体" w:eastAsia="宋体" w:cs="宋体"/>
              <w:b/>
              <w:bCs/>
              <w:color w:val="auto"/>
              <w:spacing w:val="0"/>
              <w:w w:val="100"/>
              <w:position w:val="0"/>
              <w:sz w:val="24"/>
              <w:szCs w:val="24"/>
              <w:highlight w:val="none"/>
              <w:lang w:val="en-US" w:eastAsia="zh-CN"/>
            </w:rPr>
            <w:t>1</w:t>
          </w:r>
          <w:r>
            <w:rPr>
              <w:rFonts w:ascii="宋体" w:hAnsi="宋体" w:eastAsia="宋体" w:cs="宋体"/>
              <w:b/>
              <w:bCs/>
              <w:color w:val="auto"/>
              <w:spacing w:val="0"/>
              <w:w w:val="100"/>
              <w:position w:val="0"/>
              <w:sz w:val="24"/>
              <w:szCs w:val="24"/>
              <w:highlight w:val="none"/>
            </w:rPr>
            <w:fldChar w:fldCharType="end"/>
          </w:r>
          <w:r>
            <w:rPr>
              <w:rFonts w:hint="eastAsia" w:ascii="宋体" w:hAnsi="宋体" w:eastAsia="宋体" w:cs="宋体"/>
              <w:b/>
              <w:bCs/>
              <w:color w:val="auto"/>
              <w:spacing w:val="0"/>
              <w:w w:val="100"/>
              <w:position w:val="0"/>
              <w:sz w:val="24"/>
              <w:szCs w:val="24"/>
              <w:highlight w:val="none"/>
              <w:lang w:val="en-US" w:eastAsia="zh-CN"/>
            </w:rPr>
            <w:t>2</w:t>
          </w:r>
        </w:p>
        <w:p w14:paraId="1BE56B51">
          <w:pPr>
            <w:spacing w:line="246" w:lineRule="auto"/>
            <w:rPr>
              <w:rFonts w:ascii="Arial"/>
              <w:color w:val="auto"/>
              <w:spacing w:val="0"/>
              <w:w w:val="100"/>
              <w:position w:val="0"/>
              <w:sz w:val="21"/>
              <w:highlight w:val="none"/>
            </w:rPr>
          </w:pPr>
        </w:p>
        <w:p w14:paraId="4EBFA368">
          <w:pPr>
            <w:tabs>
              <w:tab w:val="right" w:leader="dot" w:pos="8335"/>
            </w:tabs>
            <w:spacing w:before="78" w:line="185" w:lineRule="auto"/>
            <w:ind w:left="520"/>
            <w:rPr>
              <w:rFonts w:hint="eastAsia" w:ascii="宋体" w:hAnsi="宋体" w:eastAsia="宋体" w:cs="宋体"/>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"bookmark12" </w:instrText>
          </w:r>
          <w:r>
            <w:rPr>
              <w:color w:val="auto"/>
              <w:spacing w:val="0"/>
              <w:w w:val="100"/>
              <w:position w:val="0"/>
              <w:highlight w:val="none"/>
            </w:rPr>
            <w:fldChar w:fldCharType="separate"/>
          </w:r>
          <w:r>
            <w:rPr>
              <w:rFonts w:ascii="宋体" w:hAnsi="宋体" w:eastAsia="宋体" w:cs="宋体"/>
              <w:color w:val="auto"/>
              <w:spacing w:val="0"/>
              <w:w w:val="100"/>
              <w:position w:val="0"/>
              <w:sz w:val="24"/>
              <w:szCs w:val="24"/>
              <w:highlight w:val="none"/>
            </w:rPr>
            <w:t>投标人须知前附表</w:t>
          </w:r>
          <w:r>
            <w:rPr>
              <w:rFonts w:ascii="宋体" w:hAnsi="宋体" w:eastAsia="宋体" w:cs="宋体"/>
              <w:color w:val="auto"/>
              <w:spacing w:val="0"/>
              <w:w w:val="100"/>
              <w:position w:val="0"/>
              <w:sz w:val="24"/>
              <w:szCs w:val="24"/>
              <w:highlight w:val="none"/>
            </w:rPr>
            <w:tab/>
          </w:r>
          <w:r>
            <w:rPr>
              <w:rFonts w:ascii="宋体" w:hAnsi="宋体" w:eastAsia="宋体" w:cs="宋体"/>
              <w:color w:val="auto"/>
              <w:spacing w:val="0"/>
              <w:w w:val="100"/>
              <w:position w:val="0"/>
              <w:sz w:val="24"/>
              <w:szCs w:val="24"/>
              <w:highlight w:val="none"/>
            </w:rPr>
            <w:t xml:space="preserve"> </w:t>
          </w:r>
          <w:r>
            <w:rPr>
              <w:rFonts w:hint="eastAsia" w:ascii="宋体" w:hAnsi="宋体" w:eastAsia="宋体" w:cs="宋体"/>
              <w:color w:val="auto"/>
              <w:spacing w:val="0"/>
              <w:w w:val="100"/>
              <w:position w:val="0"/>
              <w:sz w:val="24"/>
              <w:szCs w:val="24"/>
              <w:highlight w:val="none"/>
              <w:lang w:val="en-US" w:eastAsia="zh-CN"/>
            </w:rPr>
            <w:t>1</w:t>
          </w:r>
          <w:r>
            <w:rPr>
              <w:rFonts w:ascii="宋体" w:hAnsi="宋体" w:eastAsia="宋体" w:cs="宋体"/>
              <w:color w:val="auto"/>
              <w:spacing w:val="0"/>
              <w:w w:val="100"/>
              <w:position w:val="0"/>
              <w:sz w:val="24"/>
              <w:szCs w:val="24"/>
              <w:highlight w:val="none"/>
            </w:rPr>
            <w:fldChar w:fldCharType="end"/>
          </w:r>
          <w:r>
            <w:rPr>
              <w:rFonts w:hint="eastAsia" w:ascii="宋体" w:hAnsi="宋体" w:eastAsia="宋体" w:cs="宋体"/>
              <w:color w:val="auto"/>
              <w:spacing w:val="0"/>
              <w:w w:val="100"/>
              <w:position w:val="0"/>
              <w:sz w:val="24"/>
              <w:szCs w:val="24"/>
              <w:highlight w:val="none"/>
              <w:lang w:val="en-US" w:eastAsia="zh-CN"/>
            </w:rPr>
            <w:t>3</w:t>
          </w:r>
        </w:p>
        <w:p w14:paraId="4D4EA0A5">
          <w:pPr>
            <w:tabs>
              <w:tab w:val="right" w:leader="dot" w:pos="8285"/>
            </w:tabs>
            <w:spacing w:before="228" w:line="185" w:lineRule="auto"/>
            <w:ind w:left="38"/>
            <w:rPr>
              <w:rFonts w:hint="default" w:ascii="宋体" w:hAnsi="宋体" w:eastAsia="宋体" w:cs="宋体"/>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"bookmark18" </w:instrText>
          </w:r>
          <w:r>
            <w:rPr>
              <w:color w:val="auto"/>
              <w:spacing w:val="0"/>
              <w:w w:val="100"/>
              <w:position w:val="0"/>
              <w:highlight w:val="none"/>
            </w:rPr>
            <w:fldChar w:fldCharType="separate"/>
          </w:r>
          <w:r>
            <w:rPr>
              <w:rFonts w:ascii="宋体" w:hAnsi="宋体" w:eastAsia="宋体" w:cs="宋体"/>
              <w:b/>
              <w:bCs/>
              <w:color w:val="auto"/>
              <w:spacing w:val="0"/>
              <w:w w:val="100"/>
              <w:position w:val="0"/>
              <w:sz w:val="24"/>
              <w:szCs w:val="24"/>
              <w:highlight w:val="none"/>
            </w:rPr>
            <w:t>第三章</w:t>
          </w:r>
          <w:r>
            <w:rPr>
              <w:rFonts w:ascii="宋体" w:hAnsi="宋体" w:eastAsia="宋体" w:cs="宋体"/>
              <w:color w:val="auto"/>
              <w:spacing w:val="0"/>
              <w:w w:val="100"/>
              <w:position w:val="0"/>
              <w:sz w:val="24"/>
              <w:szCs w:val="24"/>
              <w:highlight w:val="none"/>
            </w:rPr>
            <w:t xml:space="preserve">  </w:t>
          </w:r>
          <w:r>
            <w:rPr>
              <w:rFonts w:ascii="宋体" w:hAnsi="宋体" w:eastAsia="宋体" w:cs="宋体"/>
              <w:b/>
              <w:bCs/>
              <w:color w:val="auto"/>
              <w:spacing w:val="0"/>
              <w:w w:val="100"/>
              <w:position w:val="0"/>
              <w:sz w:val="24"/>
              <w:szCs w:val="24"/>
              <w:highlight w:val="none"/>
            </w:rPr>
            <w:t>评标办法</w:t>
          </w:r>
          <w:r>
            <w:rPr>
              <w:rFonts w:ascii="宋体" w:hAnsi="宋体" w:eastAsia="宋体" w:cs="宋体"/>
              <w:color w:val="auto"/>
              <w:spacing w:val="0"/>
              <w:w w:val="100"/>
              <w:position w:val="0"/>
              <w:sz w:val="24"/>
              <w:szCs w:val="24"/>
              <w:highlight w:val="none"/>
            </w:rPr>
            <w:t xml:space="preserve"> </w:t>
          </w:r>
          <w:r>
            <w:rPr>
              <w:rFonts w:ascii="宋体" w:hAnsi="宋体" w:eastAsia="宋体" w:cs="宋体"/>
              <w:color w:val="auto"/>
              <w:spacing w:val="0"/>
              <w:w w:val="100"/>
              <w:position w:val="0"/>
              <w:sz w:val="24"/>
              <w:szCs w:val="24"/>
              <w:highlight w:val="none"/>
              <w14:textOutline w14:w="4356" w14:cap="flat" w14:cmpd="sng">
                <w14:solidFill>
                  <w14:srgbClr w14:val="000000"/>
                </w14:solidFill>
                <w14:prstDash w14:val="solid"/>
                <w14:miter w14:val="0"/>
              </w14:textOutline>
            </w:rPr>
            <w:tab/>
          </w:r>
          <w:r>
            <w:rPr>
              <w:rFonts w:ascii="宋体" w:hAnsi="宋体" w:eastAsia="宋体" w:cs="宋体"/>
              <w:color w:val="auto"/>
              <w:spacing w:val="0"/>
              <w:w w:val="100"/>
              <w:position w:val="0"/>
              <w:sz w:val="24"/>
              <w:szCs w:val="24"/>
              <w:highlight w:val="none"/>
            </w:rPr>
            <w:t xml:space="preserve"> </w:t>
          </w:r>
          <w:r>
            <w:rPr>
              <w:rFonts w:ascii="宋体" w:hAnsi="宋体" w:eastAsia="宋体" w:cs="宋体"/>
              <w:b/>
              <w:bCs/>
              <w:color w:val="auto"/>
              <w:spacing w:val="0"/>
              <w:w w:val="100"/>
              <w:position w:val="0"/>
              <w:sz w:val="24"/>
              <w:szCs w:val="24"/>
              <w:highlight w:val="none"/>
            </w:rPr>
            <w:fldChar w:fldCharType="end"/>
          </w:r>
          <w:r>
            <w:rPr>
              <w:rFonts w:hint="eastAsia" w:ascii="宋体" w:hAnsi="宋体" w:eastAsia="宋体" w:cs="宋体"/>
              <w:b/>
              <w:bCs/>
              <w:color w:val="auto"/>
              <w:spacing w:val="0"/>
              <w:w w:val="100"/>
              <w:position w:val="0"/>
              <w:sz w:val="24"/>
              <w:szCs w:val="24"/>
              <w:highlight w:val="none"/>
              <w:lang w:val="en-US" w:eastAsia="zh-CN"/>
            </w:rPr>
            <w:t>49</w:t>
          </w:r>
        </w:p>
        <w:p w14:paraId="4895B747">
          <w:pPr>
            <w:spacing w:line="246" w:lineRule="auto"/>
            <w:rPr>
              <w:rFonts w:ascii="Arial"/>
              <w:color w:val="auto"/>
              <w:spacing w:val="0"/>
              <w:w w:val="100"/>
              <w:position w:val="0"/>
              <w:sz w:val="21"/>
              <w:highlight w:val="none"/>
            </w:rPr>
          </w:pPr>
        </w:p>
        <w:p w14:paraId="36509C82">
          <w:pPr>
            <w:tabs>
              <w:tab w:val="right" w:leader="dot" w:pos="8335"/>
            </w:tabs>
            <w:spacing w:before="79" w:line="185" w:lineRule="auto"/>
            <w:ind w:left="520"/>
            <w:rPr>
              <w:rFonts w:hint="default" w:ascii="宋体" w:hAnsi="宋体" w:eastAsia="宋体" w:cs="宋体"/>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"bookmark19" </w:instrText>
          </w:r>
          <w:r>
            <w:rPr>
              <w:color w:val="auto"/>
              <w:spacing w:val="0"/>
              <w:w w:val="100"/>
              <w:position w:val="0"/>
              <w:highlight w:val="none"/>
            </w:rPr>
            <w:fldChar w:fldCharType="separate"/>
          </w:r>
          <w:r>
            <w:rPr>
              <w:rFonts w:ascii="宋体" w:hAnsi="宋体" w:eastAsia="宋体" w:cs="宋体"/>
              <w:color w:val="auto"/>
              <w:spacing w:val="0"/>
              <w:w w:val="100"/>
              <w:position w:val="0"/>
              <w:sz w:val="24"/>
              <w:szCs w:val="24"/>
              <w:highlight w:val="none"/>
            </w:rPr>
            <w:t xml:space="preserve">01标段： </w:t>
          </w:r>
          <w:r>
            <w:rPr>
              <w:rFonts w:ascii="宋体" w:hAnsi="宋体" w:eastAsia="宋体" w:cs="宋体"/>
              <w:color w:val="auto"/>
              <w:spacing w:val="0"/>
              <w:w w:val="100"/>
              <w:position w:val="0"/>
              <w:sz w:val="24"/>
              <w:szCs w:val="24"/>
              <w:highlight w:val="none"/>
            </w:rPr>
            <w:tab/>
          </w:r>
          <w:r>
            <w:rPr>
              <w:rFonts w:ascii="宋体" w:hAnsi="宋体" w:eastAsia="宋体" w:cs="宋体"/>
              <w:color w:val="auto"/>
              <w:spacing w:val="0"/>
              <w:w w:val="100"/>
              <w:position w:val="0"/>
              <w:sz w:val="24"/>
              <w:szCs w:val="24"/>
              <w:highlight w:val="none"/>
            </w:rPr>
            <w:t xml:space="preserve"> </w:t>
          </w:r>
          <w:r>
            <w:rPr>
              <w:rFonts w:ascii="宋体" w:hAnsi="宋体" w:eastAsia="宋体" w:cs="宋体"/>
              <w:color w:val="auto"/>
              <w:spacing w:val="0"/>
              <w:w w:val="100"/>
              <w:position w:val="0"/>
              <w:sz w:val="24"/>
              <w:szCs w:val="24"/>
              <w:highlight w:val="none"/>
            </w:rPr>
            <w:fldChar w:fldCharType="end"/>
          </w:r>
          <w:r>
            <w:rPr>
              <w:rFonts w:hint="eastAsia" w:ascii="宋体" w:hAnsi="宋体" w:eastAsia="宋体" w:cs="宋体"/>
              <w:color w:val="auto"/>
              <w:spacing w:val="0"/>
              <w:w w:val="100"/>
              <w:position w:val="0"/>
              <w:sz w:val="24"/>
              <w:szCs w:val="24"/>
              <w:highlight w:val="none"/>
              <w:lang w:val="en-US" w:eastAsia="zh-CN"/>
            </w:rPr>
            <w:t>50</w:t>
          </w:r>
        </w:p>
        <w:p w14:paraId="3D1736A7">
          <w:pPr>
            <w:tabs>
              <w:tab w:val="right" w:leader="dot" w:pos="8335"/>
            </w:tabs>
            <w:spacing w:before="225" w:line="185" w:lineRule="auto"/>
            <w:ind w:left="520"/>
            <w:rPr>
              <w:rFonts w:ascii="宋体" w:hAnsi="宋体" w:eastAsia="宋体" w:cs="宋体"/>
              <w:color w:val="auto"/>
              <w:spacing w:val="0"/>
              <w:w w:val="100"/>
              <w:position w:val="0"/>
              <w:sz w:val="24"/>
              <w:szCs w:val="24"/>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"bookmark20" </w:instrText>
          </w:r>
          <w:r>
            <w:rPr>
              <w:color w:val="auto"/>
              <w:spacing w:val="0"/>
              <w:w w:val="100"/>
              <w:position w:val="0"/>
              <w:highlight w:val="none"/>
            </w:rPr>
            <w:fldChar w:fldCharType="separate"/>
          </w:r>
          <w:r>
            <w:rPr>
              <w:rFonts w:ascii="宋体" w:hAnsi="宋体" w:eastAsia="宋体" w:cs="宋体"/>
              <w:color w:val="auto"/>
              <w:spacing w:val="0"/>
              <w:w w:val="100"/>
              <w:position w:val="0"/>
              <w:sz w:val="24"/>
              <w:szCs w:val="24"/>
              <w:highlight w:val="none"/>
            </w:rPr>
            <w:t xml:space="preserve">02标段： </w:t>
          </w:r>
          <w:r>
            <w:rPr>
              <w:rFonts w:ascii="宋体" w:hAnsi="宋体" w:eastAsia="宋体" w:cs="宋体"/>
              <w:color w:val="auto"/>
              <w:spacing w:val="0"/>
              <w:w w:val="100"/>
              <w:position w:val="0"/>
              <w:sz w:val="24"/>
              <w:szCs w:val="24"/>
              <w:highlight w:val="none"/>
            </w:rPr>
            <w:tab/>
          </w:r>
          <w:r>
            <w:rPr>
              <w:rFonts w:ascii="宋体" w:hAnsi="宋体" w:eastAsia="宋体" w:cs="宋体"/>
              <w:color w:val="auto"/>
              <w:spacing w:val="0"/>
              <w:w w:val="100"/>
              <w:position w:val="0"/>
              <w:sz w:val="24"/>
              <w:szCs w:val="24"/>
              <w:highlight w:val="none"/>
            </w:rPr>
            <w:t xml:space="preserve"> 5</w:t>
          </w:r>
          <w:r>
            <w:rPr>
              <w:rFonts w:hint="eastAsia" w:ascii="宋体" w:hAnsi="宋体" w:eastAsia="宋体" w:cs="宋体"/>
              <w:color w:val="auto"/>
              <w:spacing w:val="0"/>
              <w:w w:val="100"/>
              <w:position w:val="0"/>
              <w:sz w:val="24"/>
              <w:szCs w:val="24"/>
              <w:highlight w:val="none"/>
              <w:lang w:val="en-US" w:eastAsia="zh-CN"/>
            </w:rPr>
            <w:t>7</w:t>
          </w:r>
          <w:r>
            <w:rPr>
              <w:rFonts w:ascii="宋体" w:hAnsi="宋体" w:eastAsia="宋体" w:cs="宋体"/>
              <w:color w:val="auto"/>
              <w:spacing w:val="0"/>
              <w:w w:val="100"/>
              <w:position w:val="0"/>
              <w:sz w:val="24"/>
              <w:szCs w:val="24"/>
              <w:highlight w:val="none"/>
            </w:rPr>
            <w:fldChar w:fldCharType="end"/>
          </w:r>
        </w:p>
        <w:p w14:paraId="63D84E6D">
          <w:pPr>
            <w:tabs>
              <w:tab w:val="right" w:leader="dot" w:pos="8285"/>
            </w:tabs>
            <w:spacing w:before="227" w:line="185" w:lineRule="auto"/>
            <w:ind w:left="38"/>
            <w:rPr>
              <w:rFonts w:hint="eastAsia" w:ascii="宋体" w:hAnsi="宋体" w:eastAsia="宋体" w:cs="宋体"/>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"bookmark21" </w:instrText>
          </w:r>
          <w:r>
            <w:rPr>
              <w:color w:val="auto"/>
              <w:spacing w:val="0"/>
              <w:w w:val="100"/>
              <w:position w:val="0"/>
              <w:highlight w:val="none"/>
            </w:rPr>
            <w:fldChar w:fldCharType="separate"/>
          </w:r>
          <w:r>
            <w:rPr>
              <w:rFonts w:ascii="宋体" w:hAnsi="宋体" w:eastAsia="宋体" w:cs="宋体"/>
              <w:b/>
              <w:bCs/>
              <w:color w:val="auto"/>
              <w:spacing w:val="0"/>
              <w:w w:val="100"/>
              <w:position w:val="0"/>
              <w:sz w:val="24"/>
              <w:szCs w:val="24"/>
              <w:highlight w:val="none"/>
            </w:rPr>
            <w:t>第四章</w:t>
          </w:r>
          <w:r>
            <w:rPr>
              <w:rFonts w:ascii="宋体" w:hAnsi="宋体" w:eastAsia="宋体" w:cs="宋体"/>
              <w:color w:val="auto"/>
              <w:spacing w:val="0"/>
              <w:w w:val="100"/>
              <w:position w:val="0"/>
              <w:sz w:val="24"/>
              <w:szCs w:val="24"/>
              <w:highlight w:val="none"/>
            </w:rPr>
            <w:t xml:space="preserve">  </w:t>
          </w:r>
          <w:r>
            <w:rPr>
              <w:rFonts w:ascii="宋体" w:hAnsi="宋体" w:eastAsia="宋体" w:cs="宋体"/>
              <w:b/>
              <w:bCs/>
              <w:color w:val="auto"/>
              <w:spacing w:val="0"/>
              <w:w w:val="100"/>
              <w:position w:val="0"/>
              <w:sz w:val="24"/>
              <w:szCs w:val="24"/>
              <w:highlight w:val="none"/>
            </w:rPr>
            <w:t>合同条款及格式</w:t>
          </w:r>
          <w:r>
            <w:rPr>
              <w:rFonts w:ascii="宋体" w:hAnsi="宋体" w:eastAsia="宋体" w:cs="宋体"/>
              <w:color w:val="auto"/>
              <w:spacing w:val="0"/>
              <w:w w:val="100"/>
              <w:position w:val="0"/>
              <w:sz w:val="24"/>
              <w:szCs w:val="24"/>
              <w:highlight w:val="none"/>
            </w:rPr>
            <w:t xml:space="preserve"> </w:t>
          </w:r>
          <w:r>
            <w:rPr>
              <w:rFonts w:ascii="宋体" w:hAnsi="宋体" w:eastAsia="宋体" w:cs="宋体"/>
              <w:color w:val="auto"/>
              <w:spacing w:val="0"/>
              <w:w w:val="100"/>
              <w:position w:val="0"/>
              <w:sz w:val="24"/>
              <w:szCs w:val="24"/>
              <w:highlight w:val="none"/>
              <w14:textOutline w14:w="4356" w14:cap="flat" w14:cmpd="sng">
                <w14:solidFill>
                  <w14:srgbClr w14:val="000000"/>
                </w14:solidFill>
                <w14:prstDash w14:val="solid"/>
                <w14:miter w14:val="0"/>
              </w14:textOutline>
            </w:rPr>
            <w:tab/>
          </w:r>
          <w:r>
            <w:rPr>
              <w:rFonts w:ascii="宋体" w:hAnsi="宋体" w:eastAsia="宋体" w:cs="宋体"/>
              <w:color w:val="auto"/>
              <w:spacing w:val="0"/>
              <w:w w:val="100"/>
              <w:position w:val="0"/>
              <w:sz w:val="24"/>
              <w:szCs w:val="24"/>
              <w:highlight w:val="none"/>
            </w:rPr>
            <w:t xml:space="preserve"> </w:t>
          </w:r>
          <w:r>
            <w:rPr>
              <w:rFonts w:hint="eastAsia" w:ascii="宋体" w:hAnsi="宋体" w:eastAsia="宋体" w:cs="宋体"/>
              <w:b/>
              <w:bCs/>
              <w:color w:val="auto"/>
              <w:spacing w:val="0"/>
              <w:w w:val="100"/>
              <w:position w:val="0"/>
              <w:sz w:val="24"/>
              <w:szCs w:val="24"/>
              <w:highlight w:val="none"/>
              <w:lang w:val="en-US" w:eastAsia="zh-CN"/>
            </w:rPr>
            <w:t>6</w:t>
          </w:r>
          <w:r>
            <w:rPr>
              <w:rFonts w:ascii="宋体" w:hAnsi="宋体" w:eastAsia="宋体" w:cs="宋体"/>
              <w:b/>
              <w:bCs/>
              <w:color w:val="auto"/>
              <w:spacing w:val="0"/>
              <w:w w:val="100"/>
              <w:position w:val="0"/>
              <w:sz w:val="24"/>
              <w:szCs w:val="24"/>
              <w:highlight w:val="none"/>
            </w:rPr>
            <w:fldChar w:fldCharType="end"/>
          </w:r>
          <w:r>
            <w:rPr>
              <w:rFonts w:hint="eastAsia" w:ascii="宋体" w:hAnsi="宋体" w:eastAsia="宋体" w:cs="宋体"/>
              <w:b/>
              <w:bCs/>
              <w:color w:val="auto"/>
              <w:spacing w:val="0"/>
              <w:w w:val="100"/>
              <w:position w:val="0"/>
              <w:sz w:val="24"/>
              <w:szCs w:val="24"/>
              <w:highlight w:val="none"/>
              <w:lang w:val="en-US" w:eastAsia="zh-CN"/>
            </w:rPr>
            <w:t>7</w:t>
          </w:r>
        </w:p>
        <w:p w14:paraId="644A1E31">
          <w:pPr>
            <w:spacing w:line="246" w:lineRule="auto"/>
            <w:rPr>
              <w:rFonts w:ascii="Arial"/>
              <w:color w:val="auto"/>
              <w:spacing w:val="0"/>
              <w:w w:val="100"/>
              <w:position w:val="0"/>
              <w:sz w:val="21"/>
              <w:highlight w:val="none"/>
            </w:rPr>
          </w:pPr>
        </w:p>
        <w:p w14:paraId="7D168E18">
          <w:pPr>
            <w:tabs>
              <w:tab w:val="right" w:leader="dot" w:pos="8335"/>
            </w:tabs>
            <w:spacing w:before="79" w:line="185" w:lineRule="auto"/>
            <w:ind w:left="518"/>
            <w:rPr>
              <w:rFonts w:hint="eastAsia" w:ascii="宋体" w:hAnsi="宋体" w:eastAsia="宋体" w:cs="宋体"/>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"bookmark22" </w:instrText>
          </w:r>
          <w:r>
            <w:rPr>
              <w:color w:val="auto"/>
              <w:spacing w:val="0"/>
              <w:w w:val="100"/>
              <w:position w:val="0"/>
              <w:highlight w:val="none"/>
            </w:rPr>
            <w:fldChar w:fldCharType="separate"/>
          </w:r>
          <w:r>
            <w:rPr>
              <w:rFonts w:ascii="宋体" w:hAnsi="宋体" w:eastAsia="宋体" w:cs="宋体"/>
              <w:color w:val="auto"/>
              <w:spacing w:val="0"/>
              <w:w w:val="100"/>
              <w:position w:val="0"/>
              <w:sz w:val="24"/>
              <w:szCs w:val="24"/>
              <w:highlight w:val="none"/>
            </w:rPr>
            <w:t>第一节  通用合同条款</w:t>
          </w:r>
          <w:r>
            <w:rPr>
              <w:rFonts w:ascii="宋体" w:hAnsi="宋体" w:eastAsia="宋体" w:cs="宋体"/>
              <w:color w:val="auto"/>
              <w:spacing w:val="0"/>
              <w:w w:val="100"/>
              <w:position w:val="0"/>
              <w:sz w:val="24"/>
              <w:szCs w:val="24"/>
              <w:highlight w:val="none"/>
            </w:rPr>
            <w:tab/>
          </w:r>
          <w:r>
            <w:rPr>
              <w:rFonts w:ascii="宋体" w:hAnsi="宋体" w:eastAsia="宋体" w:cs="宋体"/>
              <w:color w:val="auto"/>
              <w:spacing w:val="0"/>
              <w:w w:val="100"/>
              <w:position w:val="0"/>
              <w:sz w:val="24"/>
              <w:szCs w:val="24"/>
              <w:highlight w:val="none"/>
            </w:rPr>
            <w:t xml:space="preserve"> </w:t>
          </w:r>
          <w:r>
            <w:rPr>
              <w:rFonts w:hint="eastAsia" w:ascii="宋体" w:hAnsi="宋体" w:eastAsia="宋体" w:cs="宋体"/>
              <w:color w:val="auto"/>
              <w:spacing w:val="0"/>
              <w:w w:val="100"/>
              <w:position w:val="0"/>
              <w:sz w:val="24"/>
              <w:szCs w:val="24"/>
              <w:highlight w:val="none"/>
              <w:lang w:val="en-US" w:eastAsia="zh-CN"/>
            </w:rPr>
            <w:t>6</w:t>
          </w:r>
          <w:r>
            <w:rPr>
              <w:rFonts w:ascii="宋体" w:hAnsi="宋体" w:eastAsia="宋体" w:cs="宋体"/>
              <w:color w:val="auto"/>
              <w:spacing w:val="0"/>
              <w:w w:val="100"/>
              <w:position w:val="0"/>
              <w:sz w:val="24"/>
              <w:szCs w:val="24"/>
              <w:highlight w:val="none"/>
            </w:rPr>
            <w:fldChar w:fldCharType="end"/>
          </w:r>
          <w:r>
            <w:rPr>
              <w:rFonts w:hint="eastAsia" w:ascii="宋体" w:hAnsi="宋体" w:eastAsia="宋体" w:cs="宋体"/>
              <w:color w:val="auto"/>
              <w:spacing w:val="0"/>
              <w:w w:val="100"/>
              <w:position w:val="0"/>
              <w:sz w:val="24"/>
              <w:szCs w:val="24"/>
              <w:highlight w:val="none"/>
              <w:lang w:val="en-US" w:eastAsia="zh-CN"/>
            </w:rPr>
            <w:t>8</w:t>
          </w:r>
        </w:p>
        <w:p w14:paraId="3E96795B">
          <w:pPr>
            <w:tabs>
              <w:tab w:val="right" w:leader="dot" w:pos="8335"/>
            </w:tabs>
            <w:spacing w:before="227" w:line="185" w:lineRule="auto"/>
            <w:ind w:left="518"/>
            <w:rPr>
              <w:rFonts w:ascii="宋体" w:hAnsi="宋体" w:eastAsia="宋体" w:cs="宋体"/>
              <w:color w:val="auto"/>
              <w:spacing w:val="0"/>
              <w:w w:val="100"/>
              <w:position w:val="0"/>
              <w:sz w:val="24"/>
              <w:szCs w:val="24"/>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"bookmark23" </w:instrText>
          </w:r>
          <w:r>
            <w:rPr>
              <w:color w:val="auto"/>
              <w:spacing w:val="0"/>
              <w:w w:val="100"/>
              <w:position w:val="0"/>
              <w:highlight w:val="none"/>
            </w:rPr>
            <w:fldChar w:fldCharType="separate"/>
          </w:r>
          <w:r>
            <w:rPr>
              <w:rFonts w:ascii="宋体" w:hAnsi="宋体" w:eastAsia="宋体" w:cs="宋体"/>
              <w:color w:val="auto"/>
              <w:spacing w:val="0"/>
              <w:w w:val="100"/>
              <w:position w:val="0"/>
              <w:sz w:val="24"/>
              <w:szCs w:val="24"/>
              <w:highlight w:val="none"/>
            </w:rPr>
            <w:t xml:space="preserve">第二节  </w:t>
          </w:r>
          <w:r>
            <w:rPr>
              <w:rFonts w:hint="eastAsia" w:ascii="宋体" w:hAnsi="宋体" w:eastAsia="宋体" w:cs="宋体"/>
              <w:color w:val="auto"/>
              <w:spacing w:val="0"/>
              <w:w w:val="100"/>
              <w:position w:val="0"/>
              <w:sz w:val="24"/>
              <w:szCs w:val="24"/>
              <w:highlight w:val="none"/>
              <w:lang w:val="en-US" w:eastAsia="zh-CN"/>
            </w:rPr>
            <w:t>01标段</w:t>
          </w:r>
          <w:r>
            <w:rPr>
              <w:rFonts w:ascii="宋体" w:hAnsi="宋体" w:eastAsia="宋体" w:cs="宋体"/>
              <w:color w:val="auto"/>
              <w:spacing w:val="0"/>
              <w:w w:val="100"/>
              <w:position w:val="0"/>
              <w:sz w:val="24"/>
              <w:szCs w:val="24"/>
              <w:highlight w:val="none"/>
            </w:rPr>
            <w:t>专用合同条款</w:t>
          </w:r>
          <w:r>
            <w:rPr>
              <w:rFonts w:ascii="宋体" w:hAnsi="宋体" w:eastAsia="宋体" w:cs="宋体"/>
              <w:color w:val="auto"/>
              <w:spacing w:val="0"/>
              <w:w w:val="100"/>
              <w:position w:val="0"/>
              <w:sz w:val="24"/>
              <w:szCs w:val="24"/>
              <w:highlight w:val="none"/>
            </w:rPr>
            <w:tab/>
          </w:r>
          <w:r>
            <w:rPr>
              <w:rFonts w:ascii="宋体" w:hAnsi="宋体" w:eastAsia="宋体" w:cs="宋体"/>
              <w:color w:val="auto"/>
              <w:spacing w:val="0"/>
              <w:w w:val="100"/>
              <w:position w:val="0"/>
              <w:sz w:val="24"/>
              <w:szCs w:val="24"/>
              <w:highlight w:val="none"/>
            </w:rPr>
            <w:t xml:space="preserve"> 9</w:t>
          </w:r>
          <w:r>
            <w:rPr>
              <w:rFonts w:hint="eastAsia" w:ascii="宋体" w:hAnsi="宋体" w:eastAsia="宋体" w:cs="宋体"/>
              <w:color w:val="auto"/>
              <w:spacing w:val="0"/>
              <w:w w:val="100"/>
              <w:position w:val="0"/>
              <w:sz w:val="24"/>
              <w:szCs w:val="24"/>
              <w:highlight w:val="none"/>
              <w:lang w:val="en-US" w:eastAsia="zh-CN"/>
            </w:rPr>
            <w:t>7</w:t>
          </w:r>
          <w:r>
            <w:rPr>
              <w:rFonts w:ascii="宋体" w:hAnsi="宋体" w:eastAsia="宋体" w:cs="宋体"/>
              <w:color w:val="auto"/>
              <w:spacing w:val="0"/>
              <w:w w:val="100"/>
              <w:position w:val="0"/>
              <w:sz w:val="24"/>
              <w:szCs w:val="24"/>
              <w:highlight w:val="none"/>
            </w:rPr>
            <w:fldChar w:fldCharType="end"/>
          </w:r>
        </w:p>
        <w:p w14:paraId="394E7945">
          <w:pPr>
            <w:tabs>
              <w:tab w:val="right" w:leader="dot" w:pos="8335"/>
            </w:tabs>
            <w:spacing w:before="225" w:line="185" w:lineRule="auto"/>
            <w:ind w:left="518"/>
            <w:rPr>
              <w:rFonts w:hint="eastAsia" w:ascii="宋体" w:hAnsi="宋体" w:eastAsia="宋体" w:cs="宋体"/>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"bookmark24" </w:instrText>
          </w:r>
          <w:r>
            <w:rPr>
              <w:color w:val="auto"/>
              <w:spacing w:val="0"/>
              <w:w w:val="100"/>
              <w:position w:val="0"/>
              <w:highlight w:val="none"/>
            </w:rPr>
            <w:fldChar w:fldCharType="separate"/>
          </w:r>
          <w:r>
            <w:rPr>
              <w:rFonts w:ascii="宋体" w:hAnsi="宋体" w:eastAsia="宋体" w:cs="宋体"/>
              <w:color w:val="auto"/>
              <w:spacing w:val="0"/>
              <w:w w:val="100"/>
              <w:position w:val="0"/>
              <w:sz w:val="24"/>
              <w:szCs w:val="24"/>
              <w:highlight w:val="none"/>
            </w:rPr>
            <w:t xml:space="preserve">第二节  </w:t>
          </w:r>
          <w:r>
            <w:rPr>
              <w:rFonts w:hint="eastAsia" w:ascii="宋体" w:hAnsi="宋体" w:eastAsia="宋体" w:cs="宋体"/>
              <w:color w:val="auto"/>
              <w:spacing w:val="0"/>
              <w:w w:val="100"/>
              <w:position w:val="0"/>
              <w:sz w:val="24"/>
              <w:szCs w:val="24"/>
              <w:highlight w:val="none"/>
              <w:lang w:val="en-US" w:eastAsia="zh-CN"/>
            </w:rPr>
            <w:t>02标段</w:t>
          </w:r>
          <w:r>
            <w:rPr>
              <w:rFonts w:ascii="宋体" w:hAnsi="宋体" w:eastAsia="宋体" w:cs="宋体"/>
              <w:color w:val="auto"/>
              <w:spacing w:val="0"/>
              <w:w w:val="100"/>
              <w:position w:val="0"/>
              <w:sz w:val="24"/>
              <w:szCs w:val="24"/>
              <w:highlight w:val="none"/>
            </w:rPr>
            <w:t>专用合同条款</w:t>
          </w:r>
          <w:r>
            <w:rPr>
              <w:rFonts w:ascii="宋体" w:hAnsi="宋体" w:eastAsia="宋体" w:cs="宋体"/>
              <w:color w:val="auto"/>
              <w:spacing w:val="0"/>
              <w:w w:val="100"/>
              <w:position w:val="0"/>
              <w:sz w:val="24"/>
              <w:szCs w:val="24"/>
              <w:highlight w:val="none"/>
            </w:rPr>
            <w:tab/>
          </w:r>
          <w:r>
            <w:rPr>
              <w:rFonts w:ascii="宋体" w:hAnsi="宋体" w:eastAsia="宋体" w:cs="宋体"/>
              <w:color w:val="auto"/>
              <w:spacing w:val="0"/>
              <w:w w:val="100"/>
              <w:position w:val="0"/>
              <w:sz w:val="24"/>
              <w:szCs w:val="24"/>
              <w:highlight w:val="none"/>
            </w:rPr>
            <w:t xml:space="preserve"> 1</w:t>
          </w:r>
          <w:r>
            <w:rPr>
              <w:rFonts w:hint="eastAsia" w:ascii="宋体" w:hAnsi="宋体" w:eastAsia="宋体" w:cs="宋体"/>
              <w:color w:val="auto"/>
              <w:spacing w:val="0"/>
              <w:w w:val="100"/>
              <w:position w:val="0"/>
              <w:sz w:val="24"/>
              <w:szCs w:val="24"/>
              <w:highlight w:val="none"/>
              <w:lang w:val="en-US" w:eastAsia="zh-CN"/>
            </w:rPr>
            <w:t>0</w:t>
          </w:r>
          <w:r>
            <w:rPr>
              <w:rFonts w:ascii="宋体" w:hAnsi="宋体" w:eastAsia="宋体" w:cs="宋体"/>
              <w:color w:val="auto"/>
              <w:spacing w:val="0"/>
              <w:w w:val="100"/>
              <w:position w:val="0"/>
              <w:sz w:val="24"/>
              <w:szCs w:val="24"/>
              <w:highlight w:val="none"/>
            </w:rPr>
            <w:fldChar w:fldCharType="end"/>
          </w:r>
          <w:r>
            <w:rPr>
              <w:rFonts w:hint="eastAsia" w:ascii="宋体" w:hAnsi="宋体" w:eastAsia="宋体" w:cs="宋体"/>
              <w:color w:val="auto"/>
              <w:spacing w:val="0"/>
              <w:w w:val="100"/>
              <w:position w:val="0"/>
              <w:sz w:val="24"/>
              <w:szCs w:val="24"/>
              <w:highlight w:val="none"/>
              <w:lang w:val="en-US" w:eastAsia="zh-CN"/>
            </w:rPr>
            <w:t>8</w:t>
          </w:r>
        </w:p>
        <w:p w14:paraId="2429702C">
          <w:pPr>
            <w:tabs>
              <w:tab w:val="right" w:leader="dot" w:pos="8335"/>
            </w:tabs>
            <w:spacing w:before="228" w:line="185" w:lineRule="auto"/>
            <w:ind w:left="518"/>
            <w:rPr>
              <w:rFonts w:hint="default" w:ascii="宋体" w:hAnsi="宋体" w:eastAsia="宋体" w:cs="宋体"/>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"bookmark25" </w:instrText>
          </w:r>
          <w:r>
            <w:rPr>
              <w:color w:val="auto"/>
              <w:spacing w:val="0"/>
              <w:w w:val="100"/>
              <w:position w:val="0"/>
              <w:highlight w:val="none"/>
            </w:rPr>
            <w:fldChar w:fldCharType="separate"/>
          </w:r>
          <w:r>
            <w:rPr>
              <w:rFonts w:ascii="宋体" w:hAnsi="宋体" w:eastAsia="宋体" w:cs="宋体"/>
              <w:color w:val="auto"/>
              <w:spacing w:val="0"/>
              <w:w w:val="100"/>
              <w:position w:val="0"/>
              <w:sz w:val="24"/>
              <w:szCs w:val="24"/>
              <w:highlight w:val="none"/>
            </w:rPr>
            <w:t>第三节  合同附件格式</w:t>
          </w:r>
          <w:r>
            <w:rPr>
              <w:rFonts w:ascii="宋体" w:hAnsi="宋体" w:eastAsia="宋体" w:cs="宋体"/>
              <w:color w:val="auto"/>
              <w:spacing w:val="0"/>
              <w:w w:val="100"/>
              <w:position w:val="0"/>
              <w:sz w:val="24"/>
              <w:szCs w:val="24"/>
              <w:highlight w:val="none"/>
            </w:rPr>
            <w:tab/>
          </w:r>
          <w:r>
            <w:rPr>
              <w:rFonts w:ascii="宋体" w:hAnsi="宋体" w:eastAsia="宋体" w:cs="宋体"/>
              <w:color w:val="auto"/>
              <w:spacing w:val="0"/>
              <w:w w:val="100"/>
              <w:position w:val="0"/>
              <w:sz w:val="24"/>
              <w:szCs w:val="24"/>
              <w:highlight w:val="none"/>
            </w:rPr>
            <w:t xml:space="preserve"> 1</w:t>
          </w:r>
          <w:r>
            <w:rPr>
              <w:rFonts w:ascii="宋体" w:hAnsi="宋体" w:eastAsia="宋体" w:cs="宋体"/>
              <w:color w:val="auto"/>
              <w:spacing w:val="0"/>
              <w:w w:val="100"/>
              <w:position w:val="0"/>
              <w:sz w:val="24"/>
              <w:szCs w:val="24"/>
              <w:highlight w:val="none"/>
            </w:rPr>
            <w:fldChar w:fldCharType="end"/>
          </w:r>
          <w:r>
            <w:rPr>
              <w:rFonts w:hint="eastAsia" w:ascii="宋体" w:hAnsi="宋体" w:eastAsia="宋体" w:cs="宋体"/>
              <w:color w:val="auto"/>
              <w:spacing w:val="0"/>
              <w:w w:val="100"/>
              <w:position w:val="0"/>
              <w:sz w:val="24"/>
              <w:szCs w:val="24"/>
              <w:highlight w:val="none"/>
              <w:lang w:val="en-US" w:eastAsia="zh-CN"/>
            </w:rPr>
            <w:t>16</w:t>
          </w:r>
        </w:p>
        <w:p w14:paraId="118916F6">
          <w:pPr>
            <w:spacing w:line="373" w:lineRule="auto"/>
            <w:rPr>
              <w:rFonts w:ascii="Arial"/>
              <w:color w:val="auto"/>
              <w:spacing w:val="0"/>
              <w:w w:val="100"/>
              <w:position w:val="0"/>
              <w:sz w:val="21"/>
              <w:highlight w:val="none"/>
            </w:rPr>
          </w:pPr>
        </w:p>
        <w:p w14:paraId="1BCE5D2F">
          <w:pPr>
            <w:spacing w:before="99" w:line="185" w:lineRule="auto"/>
            <w:ind w:left="3741"/>
            <w:rPr>
              <w:rFonts w:ascii="宋体" w:hAnsi="宋体" w:eastAsia="宋体" w:cs="宋体"/>
              <w:color w:val="auto"/>
              <w:spacing w:val="0"/>
              <w:w w:val="100"/>
              <w:position w:val="0"/>
              <w:sz w:val="30"/>
              <w:szCs w:val="30"/>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"bookmark26" </w:instrText>
          </w:r>
          <w:r>
            <w:rPr>
              <w:color w:val="auto"/>
              <w:spacing w:val="0"/>
              <w:w w:val="100"/>
              <w:position w:val="0"/>
              <w:highlight w:val="none"/>
            </w:rPr>
            <w:fldChar w:fldCharType="separate"/>
          </w:r>
          <w:r>
            <w:rPr>
              <w:rFonts w:ascii="宋体" w:hAnsi="宋体" w:eastAsia="宋体" w:cs="宋体"/>
              <w:b/>
              <w:bCs/>
              <w:color w:val="auto"/>
              <w:spacing w:val="0"/>
              <w:w w:val="100"/>
              <w:position w:val="0"/>
              <w:sz w:val="30"/>
              <w:szCs w:val="30"/>
              <w:highlight w:val="none"/>
            </w:rPr>
            <w:t>第二卷</w:t>
          </w:r>
          <w:r>
            <w:rPr>
              <w:rFonts w:ascii="宋体" w:hAnsi="宋体" w:eastAsia="宋体" w:cs="宋体"/>
              <w:b/>
              <w:bCs/>
              <w:color w:val="auto"/>
              <w:spacing w:val="0"/>
              <w:w w:val="100"/>
              <w:position w:val="0"/>
              <w:sz w:val="30"/>
              <w:szCs w:val="30"/>
              <w:highlight w:val="none"/>
            </w:rPr>
            <w:fldChar w:fldCharType="end"/>
          </w:r>
        </w:p>
        <w:p w14:paraId="62808412">
          <w:pPr>
            <w:spacing w:line="433" w:lineRule="auto"/>
            <w:rPr>
              <w:rFonts w:ascii="Arial"/>
              <w:color w:val="auto"/>
              <w:spacing w:val="0"/>
              <w:w w:val="100"/>
              <w:position w:val="0"/>
              <w:sz w:val="21"/>
              <w:highlight w:val="none"/>
            </w:rPr>
          </w:pPr>
        </w:p>
        <w:p w14:paraId="6E3A4442">
          <w:pPr>
            <w:tabs>
              <w:tab w:val="right" w:leader="dot" w:pos="8285"/>
            </w:tabs>
            <w:spacing w:before="78" w:line="185" w:lineRule="auto"/>
            <w:ind w:left="38"/>
            <w:rPr>
              <w:rFonts w:hint="eastAsia" w:ascii="宋体" w:hAnsi="宋体" w:eastAsia="宋体" w:cs="宋体"/>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"bookmark27" </w:instrText>
          </w:r>
          <w:r>
            <w:rPr>
              <w:color w:val="auto"/>
              <w:spacing w:val="0"/>
              <w:w w:val="100"/>
              <w:position w:val="0"/>
              <w:highlight w:val="none"/>
            </w:rPr>
            <w:fldChar w:fldCharType="separate"/>
          </w:r>
          <w:r>
            <w:rPr>
              <w:rFonts w:ascii="宋体" w:hAnsi="宋体" w:eastAsia="宋体" w:cs="宋体"/>
              <w:b/>
              <w:bCs/>
              <w:color w:val="auto"/>
              <w:spacing w:val="0"/>
              <w:w w:val="100"/>
              <w:position w:val="0"/>
              <w:sz w:val="24"/>
              <w:szCs w:val="24"/>
              <w:highlight w:val="none"/>
            </w:rPr>
            <w:t>第五章</w:t>
          </w:r>
          <w:r>
            <w:rPr>
              <w:rFonts w:ascii="宋体" w:hAnsi="宋体" w:eastAsia="宋体" w:cs="宋体"/>
              <w:color w:val="auto"/>
              <w:spacing w:val="0"/>
              <w:w w:val="100"/>
              <w:position w:val="0"/>
              <w:sz w:val="24"/>
              <w:szCs w:val="24"/>
              <w:highlight w:val="none"/>
            </w:rPr>
            <w:t xml:space="preserve">  </w:t>
          </w:r>
          <w:r>
            <w:rPr>
              <w:rFonts w:ascii="宋体" w:hAnsi="宋体" w:eastAsia="宋体" w:cs="宋体"/>
              <w:b/>
              <w:bCs/>
              <w:color w:val="auto"/>
              <w:spacing w:val="0"/>
              <w:w w:val="100"/>
              <w:position w:val="0"/>
              <w:sz w:val="24"/>
              <w:szCs w:val="24"/>
              <w:highlight w:val="none"/>
            </w:rPr>
            <w:t>发包人要求</w:t>
          </w:r>
          <w:r>
            <w:rPr>
              <w:rFonts w:ascii="宋体" w:hAnsi="宋体" w:eastAsia="宋体" w:cs="宋体"/>
              <w:color w:val="auto"/>
              <w:spacing w:val="0"/>
              <w:w w:val="100"/>
              <w:position w:val="0"/>
              <w:sz w:val="24"/>
              <w:szCs w:val="24"/>
              <w:highlight w:val="none"/>
            </w:rPr>
            <w:t xml:space="preserve"> </w:t>
          </w:r>
          <w:r>
            <w:rPr>
              <w:rFonts w:ascii="宋体" w:hAnsi="宋体" w:eastAsia="宋体" w:cs="宋体"/>
              <w:color w:val="auto"/>
              <w:spacing w:val="0"/>
              <w:w w:val="100"/>
              <w:position w:val="0"/>
              <w:sz w:val="24"/>
              <w:szCs w:val="24"/>
              <w:highlight w:val="none"/>
              <w14:textOutline w14:w="4356" w14:cap="flat" w14:cmpd="sng">
                <w14:solidFill>
                  <w14:srgbClr w14:val="000000"/>
                </w14:solidFill>
                <w14:prstDash w14:val="solid"/>
                <w14:miter w14:val="0"/>
              </w14:textOutline>
            </w:rPr>
            <w:tab/>
          </w:r>
          <w:r>
            <w:rPr>
              <w:rFonts w:ascii="宋体" w:hAnsi="宋体" w:eastAsia="宋体" w:cs="宋体"/>
              <w:color w:val="auto"/>
              <w:spacing w:val="0"/>
              <w:w w:val="100"/>
              <w:position w:val="0"/>
              <w:sz w:val="24"/>
              <w:szCs w:val="24"/>
              <w:highlight w:val="none"/>
            </w:rPr>
            <w:t xml:space="preserve"> </w:t>
          </w:r>
          <w:r>
            <w:rPr>
              <w:rFonts w:hint="eastAsia" w:ascii="宋体" w:hAnsi="宋体" w:eastAsia="宋体" w:cs="宋体"/>
              <w:color w:val="auto"/>
              <w:spacing w:val="0"/>
              <w:w w:val="100"/>
              <w:position w:val="0"/>
              <w:sz w:val="24"/>
              <w:szCs w:val="24"/>
              <w:highlight w:val="none"/>
              <w:lang w:val="en-US" w:eastAsia="zh-CN"/>
            </w:rPr>
            <w:t>12</w:t>
          </w:r>
          <w:r>
            <w:rPr>
              <w:rFonts w:ascii="宋体" w:hAnsi="宋体" w:eastAsia="宋体" w:cs="宋体"/>
              <w:b/>
              <w:bCs/>
              <w:color w:val="auto"/>
              <w:spacing w:val="0"/>
              <w:w w:val="100"/>
              <w:position w:val="0"/>
              <w:sz w:val="24"/>
              <w:szCs w:val="24"/>
              <w:highlight w:val="none"/>
            </w:rPr>
            <w:fldChar w:fldCharType="end"/>
          </w:r>
          <w:r>
            <w:rPr>
              <w:rFonts w:hint="eastAsia" w:ascii="宋体" w:hAnsi="宋体" w:eastAsia="宋体" w:cs="宋体"/>
              <w:b/>
              <w:bCs/>
              <w:color w:val="auto"/>
              <w:spacing w:val="0"/>
              <w:w w:val="100"/>
              <w:position w:val="0"/>
              <w:sz w:val="24"/>
              <w:szCs w:val="24"/>
              <w:highlight w:val="none"/>
              <w:lang w:val="en-US" w:eastAsia="zh-CN"/>
            </w:rPr>
            <w:t>5</w:t>
          </w:r>
        </w:p>
        <w:p w14:paraId="738A32BD">
          <w:pPr>
            <w:spacing w:line="376" w:lineRule="auto"/>
            <w:rPr>
              <w:rFonts w:ascii="Arial"/>
              <w:color w:val="auto"/>
              <w:spacing w:val="0"/>
              <w:w w:val="100"/>
              <w:position w:val="0"/>
              <w:sz w:val="21"/>
              <w:highlight w:val="none"/>
            </w:rPr>
          </w:pPr>
        </w:p>
        <w:p w14:paraId="4A1B4A29">
          <w:pPr>
            <w:spacing w:before="98" w:line="185" w:lineRule="auto"/>
            <w:ind w:left="3741"/>
            <w:rPr>
              <w:rFonts w:ascii="宋体" w:hAnsi="宋体" w:eastAsia="宋体" w:cs="宋体"/>
              <w:color w:val="auto"/>
              <w:spacing w:val="0"/>
              <w:w w:val="100"/>
              <w:position w:val="0"/>
              <w:sz w:val="30"/>
              <w:szCs w:val="30"/>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\l "bookmark28" </w:instrText>
          </w:r>
          <w:r>
            <w:rPr>
              <w:color w:val="auto"/>
              <w:spacing w:val="0"/>
              <w:w w:val="100"/>
              <w:position w:val="0"/>
              <w:highlight w:val="none"/>
            </w:rPr>
            <w:fldChar w:fldCharType="separate"/>
          </w:r>
          <w:r>
            <w:rPr>
              <w:rFonts w:ascii="宋体" w:hAnsi="宋体" w:eastAsia="宋体" w:cs="宋体"/>
              <w:b/>
              <w:bCs/>
              <w:color w:val="auto"/>
              <w:spacing w:val="0"/>
              <w:w w:val="100"/>
              <w:position w:val="0"/>
              <w:sz w:val="30"/>
              <w:szCs w:val="30"/>
              <w:highlight w:val="none"/>
            </w:rPr>
            <w:t>第三卷</w:t>
          </w:r>
          <w:r>
            <w:rPr>
              <w:rFonts w:ascii="宋体" w:hAnsi="宋体" w:eastAsia="宋体" w:cs="宋体"/>
              <w:b/>
              <w:bCs/>
              <w:color w:val="auto"/>
              <w:spacing w:val="0"/>
              <w:w w:val="100"/>
              <w:position w:val="0"/>
              <w:sz w:val="30"/>
              <w:szCs w:val="30"/>
              <w:highlight w:val="none"/>
            </w:rPr>
            <w:fldChar w:fldCharType="end"/>
          </w:r>
        </w:p>
        <w:p w14:paraId="6FCCB8D5">
          <w:pPr>
            <w:spacing w:line="433" w:lineRule="auto"/>
            <w:rPr>
              <w:rFonts w:ascii="Arial"/>
              <w:color w:val="auto"/>
              <w:spacing w:val="0"/>
              <w:w w:val="100"/>
              <w:position w:val="0"/>
              <w:sz w:val="21"/>
              <w:highlight w:val="none"/>
            </w:rPr>
          </w:pPr>
        </w:p>
        <w:p w14:paraId="247A0876">
          <w:pPr>
            <w:tabs>
              <w:tab w:val="right" w:leader="dot" w:pos="8285"/>
            </w:tabs>
            <w:spacing w:before="79" w:line="185" w:lineRule="auto"/>
            <w:ind w:left="38"/>
            <w:rPr>
              <w:rFonts w:hint="default" w:ascii="宋体" w:hAnsi="宋体" w:eastAsia="宋体" w:cs="宋体"/>
              <w:color w:val="auto"/>
              <w:spacing w:val="0"/>
              <w:w w:val="100"/>
              <w:position w:val="0"/>
              <w:sz w:val="24"/>
              <w:szCs w:val="24"/>
              <w:highlight w:val="none"/>
              <w:lang w:val="en-US" w:eastAsia="zh-CN"/>
            </w:rPr>
          </w:pPr>
          <w:r>
            <w:rPr>
              <w:color w:val="auto"/>
              <w:spacing w:val="0"/>
              <w:w w:val="100"/>
              <w:position w:val="0"/>
              <w:highlight w:val="none"/>
            </w:rPr>
            <w:fldChar w:fldCharType="begin"/>
          </w:r>
          <w:r>
            <w:rPr>
              <w:color w:val="auto"/>
              <w:spacing w:val="0"/>
              <w:w w:val="100"/>
              <w:position w:val="0"/>
              <w:highlight w:val="none"/>
            </w:rPr>
            <w:instrText xml:space="preserve"> HYPERLINK \l "bookmark29" </w:instrText>
          </w:r>
          <w:r>
            <w:rPr>
              <w:color w:val="auto"/>
              <w:spacing w:val="0"/>
              <w:w w:val="100"/>
              <w:position w:val="0"/>
              <w:highlight w:val="none"/>
            </w:rPr>
            <w:fldChar w:fldCharType="separate"/>
          </w:r>
          <w:r>
            <w:rPr>
              <w:rFonts w:ascii="宋体" w:hAnsi="宋体" w:eastAsia="宋体" w:cs="宋体"/>
              <w:b/>
              <w:bCs/>
              <w:color w:val="auto"/>
              <w:spacing w:val="0"/>
              <w:w w:val="100"/>
              <w:position w:val="0"/>
              <w:sz w:val="24"/>
              <w:szCs w:val="24"/>
              <w:highlight w:val="none"/>
            </w:rPr>
            <w:t>第六章</w:t>
          </w:r>
          <w:r>
            <w:rPr>
              <w:rFonts w:ascii="宋体" w:hAnsi="宋体" w:eastAsia="宋体" w:cs="宋体"/>
              <w:color w:val="auto"/>
              <w:spacing w:val="0"/>
              <w:w w:val="100"/>
              <w:position w:val="0"/>
              <w:sz w:val="24"/>
              <w:szCs w:val="24"/>
              <w:highlight w:val="none"/>
            </w:rPr>
            <w:t xml:space="preserve">  </w:t>
          </w:r>
          <w:r>
            <w:rPr>
              <w:rFonts w:ascii="宋体" w:hAnsi="宋体" w:eastAsia="宋体" w:cs="宋体"/>
              <w:b/>
              <w:bCs/>
              <w:color w:val="auto"/>
              <w:spacing w:val="0"/>
              <w:w w:val="100"/>
              <w:position w:val="0"/>
              <w:sz w:val="24"/>
              <w:szCs w:val="24"/>
              <w:highlight w:val="none"/>
            </w:rPr>
            <w:t>投标文件格式</w:t>
          </w:r>
          <w:r>
            <w:rPr>
              <w:rFonts w:ascii="宋体" w:hAnsi="宋体" w:eastAsia="宋体" w:cs="宋体"/>
              <w:color w:val="auto"/>
              <w:spacing w:val="0"/>
              <w:w w:val="100"/>
              <w:position w:val="0"/>
              <w:sz w:val="24"/>
              <w:szCs w:val="24"/>
              <w:highlight w:val="none"/>
            </w:rPr>
            <w:t xml:space="preserve"> </w:t>
          </w:r>
          <w:r>
            <w:rPr>
              <w:rFonts w:ascii="宋体" w:hAnsi="宋体" w:eastAsia="宋体" w:cs="宋体"/>
              <w:color w:val="auto"/>
              <w:spacing w:val="0"/>
              <w:w w:val="100"/>
              <w:position w:val="0"/>
              <w:sz w:val="24"/>
              <w:szCs w:val="24"/>
              <w:highlight w:val="none"/>
              <w14:textOutline w14:w="4356" w14:cap="flat" w14:cmpd="sng">
                <w14:solidFill>
                  <w14:srgbClr w14:val="000000"/>
                </w14:solidFill>
                <w14:prstDash w14:val="solid"/>
                <w14:miter w14:val="0"/>
              </w14:textOutline>
            </w:rPr>
            <w:tab/>
          </w:r>
          <w:r>
            <w:rPr>
              <w:rFonts w:ascii="宋体" w:hAnsi="宋体" w:eastAsia="宋体" w:cs="宋体"/>
              <w:color w:val="auto"/>
              <w:spacing w:val="0"/>
              <w:w w:val="100"/>
              <w:position w:val="0"/>
              <w:sz w:val="24"/>
              <w:szCs w:val="24"/>
              <w:highlight w:val="none"/>
            </w:rPr>
            <w:t xml:space="preserve"> </w:t>
          </w:r>
          <w:r>
            <w:rPr>
              <w:rFonts w:ascii="宋体" w:hAnsi="宋体" w:eastAsia="宋体" w:cs="宋体"/>
              <w:b/>
              <w:bCs/>
              <w:color w:val="auto"/>
              <w:spacing w:val="0"/>
              <w:w w:val="100"/>
              <w:position w:val="0"/>
              <w:sz w:val="24"/>
              <w:szCs w:val="24"/>
              <w:highlight w:val="none"/>
            </w:rPr>
            <w:t>1</w:t>
          </w:r>
          <w:r>
            <w:rPr>
              <w:rFonts w:ascii="宋体" w:hAnsi="宋体" w:eastAsia="宋体" w:cs="宋体"/>
              <w:b/>
              <w:bCs/>
              <w:color w:val="auto"/>
              <w:spacing w:val="0"/>
              <w:w w:val="100"/>
              <w:position w:val="0"/>
              <w:sz w:val="24"/>
              <w:szCs w:val="24"/>
              <w:highlight w:val="none"/>
            </w:rPr>
            <w:fldChar w:fldCharType="end"/>
          </w:r>
          <w:r>
            <w:rPr>
              <w:rFonts w:hint="eastAsia" w:ascii="宋体" w:hAnsi="宋体" w:eastAsia="宋体" w:cs="宋体"/>
              <w:b/>
              <w:bCs/>
              <w:color w:val="auto"/>
              <w:spacing w:val="0"/>
              <w:w w:val="100"/>
              <w:position w:val="0"/>
              <w:sz w:val="24"/>
              <w:szCs w:val="24"/>
              <w:highlight w:val="none"/>
              <w:lang w:val="en-US" w:eastAsia="zh-CN"/>
            </w:rPr>
            <w:t>33</w:t>
          </w:r>
        </w:p>
        <w:p w14:paraId="51D095AB">
          <w:pPr>
            <w:spacing w:line="246" w:lineRule="auto"/>
            <w:rPr>
              <w:rFonts w:ascii="Arial"/>
              <w:color w:val="auto"/>
              <w:spacing w:val="0"/>
              <w:w w:val="100"/>
              <w:position w:val="0"/>
              <w:sz w:val="21"/>
              <w:highlight w:val="none"/>
            </w:rPr>
          </w:pPr>
        </w:p>
        <w:p w14:paraId="04863846">
          <w:pPr>
            <w:spacing w:line="219" w:lineRule="auto"/>
            <w:rPr>
              <w:rFonts w:ascii="宋体" w:hAnsi="宋体" w:eastAsia="宋体" w:cs="宋体"/>
              <w:color w:val="auto"/>
              <w:spacing w:val="0"/>
              <w:w w:val="100"/>
              <w:position w:val="0"/>
              <w:sz w:val="24"/>
              <w:szCs w:val="24"/>
              <w:highlight w:val="none"/>
            </w:rPr>
            <w:sectPr>
              <w:headerReference r:id="rId6" w:type="default"/>
              <w:pgSz w:w="11900" w:h="16843"/>
              <w:pgMar w:top="1378" w:right="1417" w:bottom="1208" w:left="1417" w:header="1366" w:footer="1003" w:gutter="0"/>
              <w:cols w:space="0" w:num="1"/>
              <w:rtlGutter w:val="0"/>
              <w:docGrid w:linePitch="0" w:charSpace="0"/>
            </w:sectPr>
          </w:pPr>
        </w:p>
      </w:sdtContent>
    </w:sdt>
    <w:p w14:paraId="16F70B2A">
      <w:pPr>
        <w:spacing w:line="250" w:lineRule="auto"/>
        <w:rPr>
          <w:rFonts w:ascii="Arial"/>
          <w:color w:val="auto"/>
          <w:spacing w:val="0"/>
          <w:w w:val="100"/>
          <w:position w:val="0"/>
          <w:sz w:val="21"/>
          <w:highlight w:val="none"/>
        </w:rPr>
      </w:pPr>
    </w:p>
    <w:p w14:paraId="322ED9E8">
      <w:pPr>
        <w:spacing w:line="250" w:lineRule="auto"/>
        <w:rPr>
          <w:rFonts w:ascii="Arial"/>
          <w:color w:val="auto"/>
          <w:spacing w:val="0"/>
          <w:w w:val="100"/>
          <w:position w:val="0"/>
          <w:sz w:val="21"/>
          <w:highlight w:val="none"/>
        </w:rPr>
      </w:pPr>
    </w:p>
    <w:p w14:paraId="5B0D53C3">
      <w:pPr>
        <w:spacing w:line="250" w:lineRule="auto"/>
        <w:rPr>
          <w:rFonts w:ascii="Arial"/>
          <w:color w:val="auto"/>
          <w:spacing w:val="0"/>
          <w:w w:val="100"/>
          <w:position w:val="0"/>
          <w:sz w:val="21"/>
          <w:highlight w:val="none"/>
        </w:rPr>
      </w:pPr>
    </w:p>
    <w:p w14:paraId="5D54D4A9">
      <w:pPr>
        <w:spacing w:line="250" w:lineRule="auto"/>
        <w:rPr>
          <w:rFonts w:ascii="Arial"/>
          <w:color w:val="auto"/>
          <w:spacing w:val="0"/>
          <w:w w:val="100"/>
          <w:position w:val="0"/>
          <w:sz w:val="21"/>
          <w:highlight w:val="none"/>
        </w:rPr>
      </w:pPr>
    </w:p>
    <w:p w14:paraId="68DBF350">
      <w:pPr>
        <w:spacing w:line="250" w:lineRule="auto"/>
        <w:rPr>
          <w:rFonts w:ascii="Arial"/>
          <w:color w:val="auto"/>
          <w:spacing w:val="0"/>
          <w:w w:val="100"/>
          <w:position w:val="0"/>
          <w:sz w:val="21"/>
          <w:highlight w:val="none"/>
        </w:rPr>
      </w:pPr>
    </w:p>
    <w:p w14:paraId="67CEBAE1">
      <w:pPr>
        <w:spacing w:line="250" w:lineRule="auto"/>
        <w:rPr>
          <w:rFonts w:ascii="Arial"/>
          <w:color w:val="auto"/>
          <w:spacing w:val="0"/>
          <w:w w:val="100"/>
          <w:position w:val="0"/>
          <w:sz w:val="21"/>
          <w:highlight w:val="none"/>
        </w:rPr>
      </w:pPr>
    </w:p>
    <w:p w14:paraId="6F8F19B9">
      <w:pPr>
        <w:spacing w:line="250" w:lineRule="auto"/>
        <w:rPr>
          <w:rFonts w:ascii="Arial"/>
          <w:color w:val="auto"/>
          <w:spacing w:val="0"/>
          <w:w w:val="100"/>
          <w:position w:val="0"/>
          <w:sz w:val="21"/>
          <w:highlight w:val="none"/>
        </w:rPr>
      </w:pPr>
    </w:p>
    <w:p w14:paraId="5CF42C19">
      <w:pPr>
        <w:spacing w:line="250" w:lineRule="auto"/>
        <w:rPr>
          <w:rFonts w:ascii="Arial"/>
          <w:color w:val="auto"/>
          <w:spacing w:val="0"/>
          <w:w w:val="100"/>
          <w:position w:val="0"/>
          <w:sz w:val="21"/>
          <w:highlight w:val="none"/>
        </w:rPr>
      </w:pPr>
    </w:p>
    <w:p w14:paraId="3C1E453F">
      <w:pPr>
        <w:spacing w:line="250" w:lineRule="auto"/>
        <w:rPr>
          <w:rFonts w:ascii="Arial"/>
          <w:color w:val="auto"/>
          <w:spacing w:val="0"/>
          <w:w w:val="100"/>
          <w:position w:val="0"/>
          <w:sz w:val="21"/>
          <w:highlight w:val="none"/>
        </w:rPr>
      </w:pPr>
    </w:p>
    <w:p w14:paraId="104302E4">
      <w:pPr>
        <w:spacing w:line="250" w:lineRule="auto"/>
        <w:rPr>
          <w:rFonts w:ascii="Arial"/>
          <w:color w:val="auto"/>
          <w:spacing w:val="0"/>
          <w:w w:val="100"/>
          <w:position w:val="0"/>
          <w:sz w:val="21"/>
          <w:highlight w:val="none"/>
        </w:rPr>
      </w:pPr>
    </w:p>
    <w:p w14:paraId="0E2CBAC1">
      <w:pPr>
        <w:spacing w:line="251" w:lineRule="auto"/>
        <w:rPr>
          <w:rFonts w:ascii="Arial"/>
          <w:color w:val="auto"/>
          <w:spacing w:val="0"/>
          <w:w w:val="100"/>
          <w:position w:val="0"/>
          <w:sz w:val="21"/>
          <w:highlight w:val="none"/>
        </w:rPr>
      </w:pPr>
    </w:p>
    <w:p w14:paraId="718A442F">
      <w:pPr>
        <w:spacing w:line="251" w:lineRule="auto"/>
        <w:rPr>
          <w:rFonts w:ascii="Arial"/>
          <w:color w:val="auto"/>
          <w:spacing w:val="0"/>
          <w:w w:val="100"/>
          <w:position w:val="0"/>
          <w:sz w:val="21"/>
          <w:highlight w:val="none"/>
        </w:rPr>
      </w:pPr>
    </w:p>
    <w:p w14:paraId="7BD80E0E">
      <w:pPr>
        <w:spacing w:line="251" w:lineRule="auto"/>
        <w:rPr>
          <w:rFonts w:ascii="Arial"/>
          <w:color w:val="auto"/>
          <w:spacing w:val="0"/>
          <w:w w:val="100"/>
          <w:position w:val="0"/>
          <w:sz w:val="21"/>
          <w:highlight w:val="none"/>
        </w:rPr>
      </w:pPr>
    </w:p>
    <w:p w14:paraId="4069466B">
      <w:pPr>
        <w:spacing w:line="251" w:lineRule="auto"/>
        <w:rPr>
          <w:rFonts w:ascii="Arial"/>
          <w:color w:val="auto"/>
          <w:spacing w:val="0"/>
          <w:w w:val="100"/>
          <w:position w:val="0"/>
          <w:sz w:val="21"/>
          <w:highlight w:val="none"/>
        </w:rPr>
      </w:pPr>
    </w:p>
    <w:p w14:paraId="7B77EFD8">
      <w:pPr>
        <w:spacing w:line="251" w:lineRule="auto"/>
        <w:rPr>
          <w:rFonts w:ascii="Arial"/>
          <w:color w:val="auto"/>
          <w:spacing w:val="0"/>
          <w:w w:val="100"/>
          <w:position w:val="0"/>
          <w:sz w:val="21"/>
          <w:highlight w:val="none"/>
        </w:rPr>
      </w:pPr>
    </w:p>
    <w:p w14:paraId="0432889C">
      <w:pPr>
        <w:spacing w:line="251" w:lineRule="auto"/>
        <w:rPr>
          <w:rFonts w:ascii="Arial"/>
          <w:color w:val="auto"/>
          <w:spacing w:val="0"/>
          <w:w w:val="100"/>
          <w:position w:val="0"/>
          <w:sz w:val="21"/>
          <w:highlight w:val="none"/>
        </w:rPr>
      </w:pPr>
    </w:p>
    <w:p w14:paraId="6FF61D4F">
      <w:pPr>
        <w:spacing w:line="251" w:lineRule="auto"/>
        <w:rPr>
          <w:rFonts w:ascii="Arial"/>
          <w:color w:val="auto"/>
          <w:spacing w:val="0"/>
          <w:w w:val="100"/>
          <w:position w:val="0"/>
          <w:sz w:val="21"/>
          <w:highlight w:val="none"/>
        </w:rPr>
      </w:pPr>
    </w:p>
    <w:p w14:paraId="2E28E04E">
      <w:pPr>
        <w:spacing w:line="251" w:lineRule="auto"/>
        <w:rPr>
          <w:rFonts w:ascii="Arial"/>
          <w:color w:val="auto"/>
          <w:spacing w:val="0"/>
          <w:w w:val="100"/>
          <w:position w:val="0"/>
          <w:sz w:val="21"/>
          <w:highlight w:val="none"/>
        </w:rPr>
      </w:pPr>
    </w:p>
    <w:p w14:paraId="635A6207">
      <w:pPr>
        <w:spacing w:line="251" w:lineRule="auto"/>
        <w:rPr>
          <w:rFonts w:ascii="Arial"/>
          <w:color w:val="auto"/>
          <w:spacing w:val="0"/>
          <w:w w:val="100"/>
          <w:position w:val="0"/>
          <w:sz w:val="21"/>
          <w:highlight w:val="none"/>
        </w:rPr>
      </w:pPr>
    </w:p>
    <w:p w14:paraId="3FA0B0AD">
      <w:pPr>
        <w:spacing w:line="251" w:lineRule="auto"/>
        <w:rPr>
          <w:rFonts w:ascii="Arial"/>
          <w:color w:val="auto"/>
          <w:spacing w:val="0"/>
          <w:w w:val="100"/>
          <w:position w:val="0"/>
          <w:sz w:val="21"/>
          <w:highlight w:val="none"/>
        </w:rPr>
      </w:pPr>
    </w:p>
    <w:p w14:paraId="5C3760EC">
      <w:pPr>
        <w:spacing w:line="251" w:lineRule="auto"/>
        <w:rPr>
          <w:rFonts w:ascii="Arial"/>
          <w:color w:val="auto"/>
          <w:spacing w:val="0"/>
          <w:w w:val="100"/>
          <w:position w:val="0"/>
          <w:sz w:val="21"/>
          <w:highlight w:val="none"/>
        </w:rPr>
      </w:pPr>
    </w:p>
    <w:p w14:paraId="533F420F">
      <w:pPr>
        <w:spacing w:line="251" w:lineRule="auto"/>
        <w:rPr>
          <w:rFonts w:ascii="Arial"/>
          <w:color w:val="auto"/>
          <w:spacing w:val="0"/>
          <w:w w:val="100"/>
          <w:position w:val="0"/>
          <w:sz w:val="21"/>
          <w:highlight w:val="none"/>
        </w:rPr>
      </w:pPr>
    </w:p>
    <w:p w14:paraId="16650B3D">
      <w:pPr>
        <w:pStyle w:val="6"/>
        <w:spacing w:before="234" w:line="219" w:lineRule="auto"/>
        <w:ind w:left="3124"/>
        <w:outlineLvl w:val="0"/>
        <w:rPr>
          <w:color w:val="auto"/>
          <w:spacing w:val="0"/>
          <w:w w:val="100"/>
          <w:position w:val="0"/>
          <w:sz w:val="72"/>
          <w:szCs w:val="72"/>
          <w:highlight w:val="none"/>
        </w:rPr>
      </w:pPr>
      <w:bookmarkStart w:id="0" w:name="bookmark9"/>
      <w:bookmarkEnd w:id="0"/>
      <w:r>
        <w:rPr>
          <w:b/>
          <w:bCs/>
          <w:color w:val="auto"/>
          <w:spacing w:val="0"/>
          <w:w w:val="100"/>
          <w:position w:val="0"/>
          <w:sz w:val="72"/>
          <w:szCs w:val="72"/>
          <w:highlight w:val="none"/>
        </w:rPr>
        <w:t>第一卷</w:t>
      </w:r>
    </w:p>
    <w:p w14:paraId="6B2C9FE8">
      <w:pPr>
        <w:spacing w:line="219" w:lineRule="auto"/>
        <w:rPr>
          <w:color w:val="auto"/>
          <w:spacing w:val="0"/>
          <w:w w:val="100"/>
          <w:position w:val="0"/>
          <w:sz w:val="72"/>
          <w:szCs w:val="72"/>
          <w:highlight w:val="none"/>
        </w:rPr>
        <w:sectPr>
          <w:footerReference r:id="rId7" w:type="default"/>
          <w:pgSz w:w="11900" w:h="16843"/>
          <w:pgMar w:top="1378" w:right="1417" w:bottom="1208" w:left="1417" w:header="1366" w:footer="1003" w:gutter="0"/>
          <w:cols w:space="0" w:num="1"/>
          <w:rtlGutter w:val="0"/>
          <w:docGrid w:linePitch="0" w:charSpace="0"/>
        </w:sectPr>
      </w:pPr>
    </w:p>
    <w:p w14:paraId="4090F079">
      <w:pPr>
        <w:spacing w:line="242" w:lineRule="auto"/>
        <w:rPr>
          <w:rFonts w:ascii="Arial"/>
          <w:color w:val="auto"/>
          <w:spacing w:val="0"/>
          <w:w w:val="100"/>
          <w:position w:val="0"/>
          <w:sz w:val="21"/>
          <w:highlight w:val="none"/>
        </w:rPr>
      </w:pPr>
    </w:p>
    <w:p w14:paraId="354AEC74">
      <w:pPr>
        <w:spacing w:line="243" w:lineRule="auto"/>
        <w:rPr>
          <w:rFonts w:ascii="Arial"/>
          <w:color w:val="auto"/>
          <w:spacing w:val="0"/>
          <w:w w:val="100"/>
          <w:position w:val="0"/>
          <w:sz w:val="21"/>
          <w:highlight w:val="none"/>
        </w:rPr>
      </w:pPr>
    </w:p>
    <w:p w14:paraId="3C102501">
      <w:pPr>
        <w:spacing w:line="243" w:lineRule="auto"/>
        <w:rPr>
          <w:rFonts w:ascii="Arial"/>
          <w:color w:val="auto"/>
          <w:spacing w:val="0"/>
          <w:w w:val="100"/>
          <w:position w:val="0"/>
          <w:sz w:val="21"/>
          <w:highlight w:val="none"/>
        </w:rPr>
      </w:pPr>
    </w:p>
    <w:p w14:paraId="307EC185">
      <w:pPr>
        <w:spacing w:line="243" w:lineRule="auto"/>
        <w:rPr>
          <w:rFonts w:ascii="Arial"/>
          <w:color w:val="auto"/>
          <w:spacing w:val="0"/>
          <w:w w:val="100"/>
          <w:position w:val="0"/>
          <w:sz w:val="21"/>
          <w:highlight w:val="none"/>
        </w:rPr>
      </w:pPr>
    </w:p>
    <w:p w14:paraId="0B68998B">
      <w:pPr>
        <w:spacing w:line="243" w:lineRule="auto"/>
        <w:rPr>
          <w:rFonts w:ascii="Arial"/>
          <w:color w:val="auto"/>
          <w:spacing w:val="0"/>
          <w:w w:val="100"/>
          <w:position w:val="0"/>
          <w:sz w:val="21"/>
          <w:highlight w:val="none"/>
        </w:rPr>
      </w:pPr>
    </w:p>
    <w:p w14:paraId="43AAE276">
      <w:pPr>
        <w:spacing w:line="243" w:lineRule="auto"/>
        <w:rPr>
          <w:rFonts w:ascii="Arial"/>
          <w:color w:val="auto"/>
          <w:spacing w:val="0"/>
          <w:w w:val="100"/>
          <w:position w:val="0"/>
          <w:sz w:val="21"/>
          <w:highlight w:val="none"/>
        </w:rPr>
      </w:pPr>
    </w:p>
    <w:p w14:paraId="348404EA">
      <w:pPr>
        <w:spacing w:line="243" w:lineRule="auto"/>
        <w:rPr>
          <w:rFonts w:ascii="Arial"/>
          <w:color w:val="auto"/>
          <w:spacing w:val="0"/>
          <w:w w:val="100"/>
          <w:position w:val="0"/>
          <w:sz w:val="21"/>
          <w:highlight w:val="none"/>
        </w:rPr>
      </w:pPr>
    </w:p>
    <w:p w14:paraId="4C46EA53">
      <w:pPr>
        <w:spacing w:line="243" w:lineRule="auto"/>
        <w:rPr>
          <w:rFonts w:ascii="Arial"/>
          <w:color w:val="auto"/>
          <w:spacing w:val="0"/>
          <w:w w:val="100"/>
          <w:position w:val="0"/>
          <w:sz w:val="21"/>
          <w:highlight w:val="none"/>
        </w:rPr>
      </w:pPr>
    </w:p>
    <w:p w14:paraId="71E0F8C5">
      <w:pPr>
        <w:spacing w:line="243" w:lineRule="auto"/>
        <w:rPr>
          <w:rFonts w:ascii="Arial"/>
          <w:color w:val="auto"/>
          <w:spacing w:val="0"/>
          <w:w w:val="100"/>
          <w:position w:val="0"/>
          <w:sz w:val="21"/>
          <w:highlight w:val="none"/>
        </w:rPr>
      </w:pPr>
    </w:p>
    <w:p w14:paraId="400427E5">
      <w:pPr>
        <w:spacing w:line="243" w:lineRule="auto"/>
        <w:rPr>
          <w:rFonts w:ascii="Arial"/>
          <w:color w:val="auto"/>
          <w:spacing w:val="0"/>
          <w:w w:val="100"/>
          <w:position w:val="0"/>
          <w:sz w:val="21"/>
          <w:highlight w:val="none"/>
        </w:rPr>
      </w:pPr>
    </w:p>
    <w:p w14:paraId="62A12556">
      <w:pPr>
        <w:spacing w:line="243" w:lineRule="auto"/>
        <w:rPr>
          <w:rFonts w:ascii="Arial"/>
          <w:color w:val="auto"/>
          <w:spacing w:val="0"/>
          <w:w w:val="100"/>
          <w:position w:val="0"/>
          <w:sz w:val="21"/>
          <w:highlight w:val="none"/>
        </w:rPr>
      </w:pPr>
    </w:p>
    <w:p w14:paraId="2A999165">
      <w:pPr>
        <w:spacing w:line="243" w:lineRule="auto"/>
        <w:rPr>
          <w:rFonts w:ascii="Arial"/>
          <w:color w:val="auto"/>
          <w:spacing w:val="0"/>
          <w:w w:val="100"/>
          <w:position w:val="0"/>
          <w:sz w:val="21"/>
          <w:highlight w:val="none"/>
        </w:rPr>
      </w:pPr>
    </w:p>
    <w:p w14:paraId="30987A53">
      <w:pPr>
        <w:spacing w:line="243" w:lineRule="auto"/>
        <w:rPr>
          <w:rFonts w:ascii="Arial"/>
          <w:color w:val="auto"/>
          <w:spacing w:val="0"/>
          <w:w w:val="100"/>
          <w:position w:val="0"/>
          <w:sz w:val="21"/>
          <w:highlight w:val="none"/>
        </w:rPr>
      </w:pPr>
    </w:p>
    <w:p w14:paraId="5638D0A1">
      <w:pPr>
        <w:spacing w:line="243" w:lineRule="auto"/>
        <w:rPr>
          <w:rFonts w:ascii="Arial"/>
          <w:color w:val="auto"/>
          <w:spacing w:val="0"/>
          <w:w w:val="100"/>
          <w:position w:val="0"/>
          <w:sz w:val="21"/>
          <w:highlight w:val="none"/>
        </w:rPr>
      </w:pPr>
    </w:p>
    <w:p w14:paraId="3FA4420A">
      <w:pPr>
        <w:spacing w:line="243" w:lineRule="auto"/>
        <w:rPr>
          <w:rFonts w:ascii="Arial"/>
          <w:color w:val="auto"/>
          <w:spacing w:val="0"/>
          <w:w w:val="100"/>
          <w:position w:val="0"/>
          <w:sz w:val="21"/>
          <w:highlight w:val="none"/>
        </w:rPr>
      </w:pPr>
    </w:p>
    <w:p w14:paraId="6C421192">
      <w:pPr>
        <w:spacing w:line="243" w:lineRule="auto"/>
        <w:rPr>
          <w:rFonts w:ascii="Arial"/>
          <w:color w:val="auto"/>
          <w:spacing w:val="0"/>
          <w:w w:val="100"/>
          <w:position w:val="0"/>
          <w:sz w:val="21"/>
          <w:highlight w:val="none"/>
        </w:rPr>
      </w:pPr>
    </w:p>
    <w:p w14:paraId="39EA5953">
      <w:pPr>
        <w:spacing w:line="243" w:lineRule="auto"/>
        <w:rPr>
          <w:rFonts w:ascii="Arial"/>
          <w:color w:val="auto"/>
          <w:spacing w:val="0"/>
          <w:w w:val="100"/>
          <w:position w:val="0"/>
          <w:sz w:val="21"/>
          <w:highlight w:val="none"/>
        </w:rPr>
      </w:pPr>
    </w:p>
    <w:p w14:paraId="6CD30D06">
      <w:pPr>
        <w:pStyle w:val="6"/>
        <w:spacing w:before="169" w:line="219" w:lineRule="auto"/>
        <w:ind w:left="2113"/>
        <w:outlineLvl w:val="0"/>
        <w:rPr>
          <w:color w:val="auto"/>
          <w:spacing w:val="0"/>
          <w:w w:val="100"/>
          <w:position w:val="0"/>
          <w:sz w:val="52"/>
          <w:szCs w:val="52"/>
          <w:highlight w:val="none"/>
        </w:rPr>
      </w:pPr>
      <w:bookmarkStart w:id="1" w:name="bookmark1"/>
      <w:bookmarkEnd w:id="1"/>
      <w:bookmarkStart w:id="2" w:name="bookmark10"/>
      <w:bookmarkEnd w:id="2"/>
      <w:bookmarkStart w:id="3" w:name="bookmark9"/>
      <w:bookmarkEnd w:id="3"/>
      <w:r>
        <w:rPr>
          <w:b/>
          <w:bCs/>
          <w:color w:val="auto"/>
          <w:spacing w:val="0"/>
          <w:w w:val="100"/>
          <w:position w:val="0"/>
          <w:sz w:val="52"/>
          <w:szCs w:val="52"/>
          <w:highlight w:val="none"/>
        </w:rPr>
        <w:t>第一章</w:t>
      </w:r>
      <w:r>
        <w:rPr>
          <w:color w:val="auto"/>
          <w:spacing w:val="0"/>
          <w:w w:val="100"/>
          <w:position w:val="0"/>
          <w:sz w:val="52"/>
          <w:szCs w:val="52"/>
          <w:highlight w:val="none"/>
        </w:rPr>
        <w:t xml:space="preserve">  </w:t>
      </w:r>
      <w:r>
        <w:rPr>
          <w:b/>
          <w:bCs/>
          <w:color w:val="auto"/>
          <w:spacing w:val="0"/>
          <w:w w:val="100"/>
          <w:position w:val="0"/>
          <w:sz w:val="52"/>
          <w:szCs w:val="52"/>
          <w:highlight w:val="none"/>
        </w:rPr>
        <w:t>招标公告</w:t>
      </w:r>
    </w:p>
    <w:p w14:paraId="619E8A88">
      <w:pPr>
        <w:spacing w:line="219" w:lineRule="auto"/>
        <w:rPr>
          <w:color w:val="auto"/>
          <w:spacing w:val="0"/>
          <w:w w:val="100"/>
          <w:position w:val="0"/>
          <w:sz w:val="52"/>
          <w:szCs w:val="52"/>
          <w:highlight w:val="none"/>
        </w:rPr>
        <w:sectPr>
          <w:footerReference r:id="rId8" w:type="default"/>
          <w:pgSz w:w="11900" w:h="16843"/>
          <w:pgMar w:top="1378" w:right="1417" w:bottom="1208" w:left="1417" w:header="1366" w:footer="1003" w:gutter="0"/>
          <w:pgNumType w:fmt="decimal" w:start="1"/>
          <w:cols w:space="0" w:num="1"/>
          <w:rtlGutter w:val="0"/>
          <w:docGrid w:linePitch="0" w:charSpace="0"/>
        </w:sectPr>
      </w:pPr>
    </w:p>
    <w:p w14:paraId="5EB9D08A">
      <w:pPr>
        <w:pStyle w:val="6"/>
        <w:spacing w:before="115" w:line="219" w:lineRule="auto"/>
        <w:ind w:left="2750"/>
        <w:outlineLvl w:val="1"/>
        <w:rPr>
          <w:color w:val="auto"/>
          <w:spacing w:val="0"/>
          <w:w w:val="100"/>
          <w:position w:val="0"/>
          <w:sz w:val="36"/>
          <w:szCs w:val="36"/>
          <w:highlight w:val="none"/>
        </w:rPr>
      </w:pPr>
      <w:r>
        <w:rPr>
          <w:b/>
          <w:bCs/>
          <w:color w:val="auto"/>
          <w:spacing w:val="0"/>
          <w:w w:val="100"/>
          <w:position w:val="0"/>
          <w:sz w:val="36"/>
          <w:szCs w:val="36"/>
          <w:highlight w:val="none"/>
        </w:rPr>
        <w:t>第一章</w:t>
      </w:r>
      <w:r>
        <w:rPr>
          <w:color w:val="auto"/>
          <w:spacing w:val="0"/>
          <w:w w:val="100"/>
          <w:position w:val="0"/>
          <w:sz w:val="36"/>
          <w:szCs w:val="36"/>
          <w:highlight w:val="none"/>
        </w:rPr>
        <w:t xml:space="preserve">  </w:t>
      </w:r>
      <w:r>
        <w:rPr>
          <w:b/>
          <w:bCs/>
          <w:color w:val="auto"/>
          <w:spacing w:val="0"/>
          <w:w w:val="100"/>
          <w:position w:val="0"/>
          <w:sz w:val="36"/>
          <w:szCs w:val="36"/>
          <w:highlight w:val="none"/>
        </w:rPr>
        <w:t>招标公告</w:t>
      </w:r>
    </w:p>
    <w:p w14:paraId="32C2EA38">
      <w:pPr>
        <w:spacing w:line="318" w:lineRule="auto"/>
        <w:rPr>
          <w:rFonts w:ascii="Arial"/>
          <w:color w:val="auto"/>
          <w:spacing w:val="0"/>
          <w:w w:val="100"/>
          <w:position w:val="0"/>
          <w:sz w:val="21"/>
          <w:highlight w:val="none"/>
        </w:rPr>
      </w:pPr>
    </w:p>
    <w:p w14:paraId="180318EE">
      <w:pPr>
        <w:pStyle w:val="6"/>
        <w:spacing w:before="39" w:line="224" w:lineRule="auto"/>
        <w:jc w:val="center"/>
        <w:rPr>
          <w:rFonts w:ascii="Arial"/>
          <w:color w:val="auto"/>
          <w:spacing w:val="0"/>
          <w:w w:val="100"/>
          <w:position w:val="0"/>
          <w:sz w:val="21"/>
          <w:highlight w:val="none"/>
        </w:rPr>
      </w:pPr>
      <w:r>
        <w:rPr>
          <w:rFonts w:hint="eastAsia" w:ascii="宋体" w:hAnsi="宋体" w:eastAsia="宋体" w:cs="宋体"/>
          <w:b/>
          <w:bCs/>
          <w:snapToGrid/>
          <w:color w:val="auto"/>
          <w:kern w:val="0"/>
          <w:sz w:val="32"/>
          <w:szCs w:val="32"/>
          <w:highlight w:val="none"/>
          <w:u w:val="none"/>
          <w:lang w:val="en-US" w:eastAsia="zh-CN" w:bidi="ar-SA"/>
        </w:rPr>
        <w:t>S37金湖至仪征高速公路金湖至天长段及天长支线工程可行性研究、初步设计、施工图设计及咨询服务项目招标公告</w:t>
      </w:r>
    </w:p>
    <w:p w14:paraId="0B1D730E">
      <w:pPr>
        <w:spacing w:line="295" w:lineRule="auto"/>
        <w:rPr>
          <w:rFonts w:ascii="Arial"/>
          <w:color w:val="auto"/>
          <w:spacing w:val="0"/>
          <w:w w:val="100"/>
          <w:position w:val="0"/>
          <w:sz w:val="21"/>
          <w:highlight w:val="none"/>
        </w:rPr>
      </w:pPr>
    </w:p>
    <w:p w14:paraId="07131FFA">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ascii="黑体" w:hAnsi="黑体" w:eastAsia="黑体" w:cs="黑体"/>
          <w:color w:val="auto"/>
          <w:spacing w:val="-1"/>
          <w:sz w:val="28"/>
          <w:szCs w:val="28"/>
          <w:highlight w:val="none"/>
        </w:rPr>
      </w:pPr>
      <w:r>
        <w:rPr>
          <w:rFonts w:ascii="黑体" w:hAnsi="黑体" w:eastAsia="黑体" w:cs="黑体"/>
          <w:color w:val="auto"/>
          <w:spacing w:val="-1"/>
          <w:sz w:val="28"/>
          <w:szCs w:val="28"/>
          <w:highlight w:val="none"/>
        </w:rPr>
        <w:t>1.招标条件</w:t>
      </w:r>
    </w:p>
    <w:p w14:paraId="3B85CF9F">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本招标项目S37金湖至仪征高速公路金湖至天长段及天长支线工程可行性研究、初步设计、施工图设计及咨询服务项目（项目名称），招标人为滁州市交通运输局。项目已具备招标条件，现对该项目的工程可行性研究、初步设计、施工图设计及咨询服务进行公开招标。</w:t>
      </w:r>
    </w:p>
    <w:p w14:paraId="114297B0">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ascii="黑体" w:hAnsi="黑体" w:eastAsia="黑体" w:cs="黑体"/>
          <w:color w:val="auto"/>
          <w:spacing w:val="-1"/>
          <w:sz w:val="28"/>
          <w:szCs w:val="28"/>
          <w:highlight w:val="none"/>
        </w:rPr>
      </w:pPr>
      <w:r>
        <w:rPr>
          <w:rFonts w:ascii="黑体" w:hAnsi="黑体" w:eastAsia="黑体" w:cs="黑体"/>
          <w:color w:val="auto"/>
          <w:spacing w:val="-1"/>
          <w:sz w:val="28"/>
          <w:szCs w:val="28"/>
          <w:highlight w:val="none"/>
        </w:rPr>
        <w:t>2.项目概况与招标范围</w:t>
      </w:r>
    </w:p>
    <w:p w14:paraId="0FDAB7EC">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2.1招标项目编号：2026DFABZ00674   </w:t>
      </w:r>
    </w:p>
    <w:p w14:paraId="1CC52A81">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2.2招标类别：工程服务</w:t>
      </w:r>
    </w:p>
    <w:p w14:paraId="017897B8">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2.3项目名称：S37金湖至仪征高速公路金湖至天长段及天长支线工程可行性研究、初步设计、施工图设计及咨询服务项目。</w:t>
      </w:r>
    </w:p>
    <w:p w14:paraId="180E1AAD">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default"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2.4项目地点：安徽省滁州市</w:t>
      </w:r>
    </w:p>
    <w:p w14:paraId="7962D34F">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2.5建设单位：滁州市交通运输局</w:t>
      </w:r>
    </w:p>
    <w:p w14:paraId="2B8E7157">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2.6项目概况：S37金湖至仪征高速公路金湖至天长段路线起点位于沿湖村北侧皖苏省界，北接江苏S47金禄高速金湖段，路线向南经铜城镇、杨村镇、永丰镇、万寿镇、天长街道、仁和集镇，终点位于S37金仪高速与S01宿扬高速交叉设置的金集北枢纽以北处（交叉点以北约1公里）。路线全长约36.2公里，采用双向六车道高速公路技术标准，设计速度120km/h，路基宽度34.5米。</w:t>
      </w:r>
    </w:p>
    <w:p w14:paraId="7571F003">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S37金仪高速天长支线路线起点在永丰镇北侧接金仪高速主线，路线向西与S433、乌龙水库、宁淮城际铁路、S204交叉，经永丰镇双庙村、石梁镇孝庵村和蔡河村，在石梁服务区南侧接入S01新扬高速。路线全长约15.8公里，采用双向四车道高速公路技术标准，设计速度120km/h，路基宽度27.0米。</w:t>
      </w:r>
    </w:p>
    <w:p w14:paraId="177E6642">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2.7</w:t>
      </w:r>
      <w:r>
        <w:rPr>
          <w:rFonts w:hint="eastAsia" w:ascii="仿宋" w:hAnsi="仿宋" w:eastAsia="仿宋" w:cs="仿宋"/>
          <w:bCs/>
          <w:snapToGrid w:val="0"/>
          <w:color w:val="auto"/>
          <w:kern w:val="0"/>
          <w:sz w:val="28"/>
          <w:szCs w:val="28"/>
          <w:highlight w:val="none"/>
        </w:rPr>
        <w:t>项目估算：</w:t>
      </w:r>
      <w:r>
        <w:rPr>
          <w:rFonts w:hint="eastAsia" w:ascii="仿宋" w:hAnsi="仿宋" w:eastAsia="仿宋" w:cs="楷体"/>
          <w:bCs/>
          <w:snapToGrid w:val="0"/>
          <w:color w:val="auto"/>
          <w:kern w:val="0"/>
          <w:sz w:val="28"/>
          <w:szCs w:val="28"/>
          <w:highlight w:val="none"/>
          <w:lang w:val="en-US" w:eastAsia="zh-CN"/>
        </w:rPr>
        <w:t>本项目服务总费用6090万元，其中01标段：5800万元（含暂列金100万元）；02标段：290万元。</w:t>
      </w:r>
    </w:p>
    <w:p w14:paraId="67460486">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2.8招标范围和标段划分：2个标段。</w:t>
      </w:r>
    </w:p>
    <w:p w14:paraId="4339F125">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01标段：S37金湖至仪征高速公路金湖至天长段及天长支线工可、勘察设计，以及涉及的各项专题及工程项目实施阶段的后续服务工作等，具体内容详见招标文件。</w:t>
      </w:r>
    </w:p>
    <w:p w14:paraId="6F1ACB78">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02标段：S37金湖至仪征高速公路金湖至天长段及天长支线的设计咨询，具体内容详见招标文件。</w:t>
      </w:r>
    </w:p>
    <w:p w14:paraId="5DEE2FB7">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2.9服务期限：自合同签订之日起至中标项目竣工验收完成之日止，约78个月（前期工作18个月+暂定施工期36个月+缺陷责任期24个月），具体服务节点时限详见招标文件。</w:t>
      </w:r>
    </w:p>
    <w:p w14:paraId="641FDB79">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2.10其他：无。</w:t>
      </w:r>
    </w:p>
    <w:p w14:paraId="19F2B2BC">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ascii="黑体" w:hAnsi="黑体" w:eastAsia="黑体" w:cs="黑体"/>
          <w:color w:val="auto"/>
          <w:spacing w:val="-1"/>
          <w:sz w:val="28"/>
          <w:szCs w:val="28"/>
          <w:highlight w:val="none"/>
        </w:rPr>
      </w:pPr>
      <w:r>
        <w:rPr>
          <w:rFonts w:ascii="黑体" w:hAnsi="黑体" w:eastAsia="黑体" w:cs="黑体"/>
          <w:color w:val="auto"/>
          <w:spacing w:val="-1"/>
          <w:sz w:val="28"/>
          <w:szCs w:val="28"/>
          <w:highlight w:val="none"/>
        </w:rPr>
        <w:t>3.投标人资格要求</w:t>
      </w:r>
    </w:p>
    <w:p w14:paraId="3A47710B">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3.1投标人资质要求：</w:t>
      </w:r>
    </w:p>
    <w:p w14:paraId="68D10F20">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01标段和02标段均须同时满足以下（1）和（2）：</w:t>
      </w:r>
    </w:p>
    <w:p w14:paraId="3287F02E">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（1）投标人须具备工程勘察综合资质甲级或工程勘察专业类（岩土工程、工程测量）甲级资质；</w:t>
      </w:r>
    </w:p>
    <w:p w14:paraId="2DB1E70A">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（2）投标人须具备设计资质，满足以下条件之一： </w:t>
      </w:r>
    </w:p>
    <w:p w14:paraId="333A9E4B">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trike w:val="0"/>
          <w:dstrike w:val="0"/>
          <w:snapToGrid w:val="0"/>
          <w:color w:val="auto"/>
          <w:kern w:val="0"/>
          <w:sz w:val="28"/>
          <w:szCs w:val="28"/>
          <w:highlight w:val="none"/>
          <w:lang w:val="en-US" w:eastAsia="zh-CN"/>
        </w:rPr>
      </w:pPr>
      <w:r>
        <w:rPr>
          <w:rFonts w:hint="eastAsia" w:ascii="仿宋" w:hAnsi="仿宋" w:eastAsia="仿宋" w:cs="楷体"/>
          <w:bCs/>
          <w:strike w:val="0"/>
          <w:dstrike w:val="0"/>
          <w:snapToGrid w:val="0"/>
          <w:color w:val="auto"/>
          <w:kern w:val="0"/>
          <w:sz w:val="28"/>
          <w:szCs w:val="28"/>
          <w:highlight w:val="none"/>
          <w:lang w:val="en-US" w:eastAsia="zh-CN"/>
        </w:rPr>
        <w:t xml:space="preserve">①工程设计综合甲级资质； </w:t>
      </w:r>
    </w:p>
    <w:p w14:paraId="6ADEE4C0">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trike w:val="0"/>
          <w:dstrike w:val="0"/>
          <w:snapToGrid w:val="0"/>
          <w:color w:val="auto"/>
          <w:kern w:val="0"/>
          <w:sz w:val="28"/>
          <w:szCs w:val="28"/>
          <w:highlight w:val="none"/>
          <w:lang w:val="en-US" w:eastAsia="zh-CN"/>
        </w:rPr>
      </w:pPr>
      <w:r>
        <w:rPr>
          <w:rFonts w:hint="eastAsia" w:ascii="仿宋" w:hAnsi="仿宋" w:eastAsia="仿宋" w:cs="楷体"/>
          <w:bCs/>
          <w:strike w:val="0"/>
          <w:dstrike w:val="0"/>
          <w:snapToGrid w:val="0"/>
          <w:color w:val="auto"/>
          <w:kern w:val="0"/>
          <w:sz w:val="28"/>
          <w:szCs w:val="28"/>
          <w:highlight w:val="none"/>
          <w:lang w:val="en-US" w:eastAsia="zh-CN"/>
        </w:rPr>
        <w:t xml:space="preserve">②公路行业甲级工程设计资质； </w:t>
      </w:r>
    </w:p>
    <w:p w14:paraId="68EE2910">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trike w:val="0"/>
          <w:dstrike w:val="0"/>
          <w:snapToGrid w:val="0"/>
          <w:color w:val="auto"/>
          <w:kern w:val="0"/>
          <w:sz w:val="28"/>
          <w:szCs w:val="28"/>
          <w:highlight w:val="none"/>
          <w:lang w:val="en-US" w:eastAsia="zh-CN"/>
        </w:rPr>
      </w:pPr>
      <w:r>
        <w:rPr>
          <w:rFonts w:hint="eastAsia" w:ascii="仿宋" w:hAnsi="仿宋" w:eastAsia="仿宋" w:cs="楷体"/>
          <w:bCs/>
          <w:strike w:val="0"/>
          <w:dstrike w:val="0"/>
          <w:snapToGrid w:val="0"/>
          <w:color w:val="auto"/>
          <w:kern w:val="0"/>
          <w:sz w:val="28"/>
          <w:szCs w:val="28"/>
          <w:highlight w:val="none"/>
          <w:lang w:val="en-US" w:eastAsia="zh-CN"/>
        </w:rPr>
        <w:t>③公路行业（公路、特大桥梁、交通工程）专业甲级工程设计资质。</w:t>
      </w:r>
    </w:p>
    <w:p w14:paraId="1E9A4C46">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投标人应进入交通运输部“全国公路建设市场监督管理系统（https://hwdms.mot.gov.cn/BMWebSite/index.jsp）”中的公路工程设计资质企业名录，且投标人名称和资质与该名录中的相应企业名称和资质完全一致。（如为联合体投标，联合体各方均应满足）</w:t>
      </w:r>
    </w:p>
    <w:p w14:paraId="6B149D2E">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default"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3.2投标人业绩要求：</w:t>
      </w:r>
    </w:p>
    <w:p w14:paraId="0DDC05AC">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default"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自2021年1月1日至投标截止时间，投标人至少独立承担过一个“类似项目”。</w:t>
      </w:r>
    </w:p>
    <w:p w14:paraId="7D1496F7">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3.3项目主要人员资格要求（01标段和02标段均须满足）：</w:t>
      </w:r>
    </w:p>
    <w:p w14:paraId="09AA6688">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（1）项目负责人须具备公路工程相关专业高级工程师以上（含高级工程师）职称。自2021年1月1日至投标截止时间，至少在一个“类似项目”中担任项目负责人或设计负责人。 </w:t>
      </w:r>
    </w:p>
    <w:p w14:paraId="633A332E">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（2）技术负责人须具备公路工程相关专业高级工程师以上（含高级工程师）职称。自2021年1月1日至投标截止时间，至少在一个“类似项目”中担任过技术负责人或项目负责人或设计负责人。 </w:t>
      </w:r>
    </w:p>
    <w:p w14:paraId="6793A853">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注：公路工程相关专业包括公路工程、桥梁工程、公路与桥梁工程、交通土建、隧道（地下结构）工程、交通工程、交通等专业职称，职称证书上的专业须为公路工程相关专业，如职称证书未体现专业，不予认可。</w:t>
      </w:r>
    </w:p>
    <w:p w14:paraId="3CE4A210">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3.4 类似项目定义 </w:t>
      </w:r>
    </w:p>
    <w:p w14:paraId="42C61279">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01标段“类似项目”指的是：中华人民共和国境内新建或改扩建的高速公路主体工程勘察设计业绩，且业绩同时满足以下要求：</w:t>
      </w:r>
    </w:p>
    <w:p w14:paraId="6E62F479">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①单个业绩里程长度30公里及以上； </w:t>
      </w:r>
    </w:p>
    <w:p w14:paraId="6534B37D">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②业绩内容须包含勘察、初步设计和施工图设计。 </w:t>
      </w:r>
    </w:p>
    <w:p w14:paraId="4820CC16">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③业绩的认定时间以施工图设计批复时间为准，无施工图设计批复时间的，不予认可。 </w:t>
      </w:r>
    </w:p>
    <w:p w14:paraId="3FF7C2FB">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02标段“类似项目”指的是：中华人民共和国境内新建或改扩建的高速公路主体工程勘察设计（或设计咨询）业绩，且业绩同时满足以下要求：</w:t>
      </w:r>
    </w:p>
    <w:p w14:paraId="16218F4F">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①单个业绩里程长度30公里及以上； </w:t>
      </w:r>
    </w:p>
    <w:p w14:paraId="0CF41E64">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②如提供的是设计咨询业绩，内容须同时包含初步设计阶段咨询和施工图设计阶段咨询。如提供的是勘察设计业绩，设计内容须同时包含勘察、初步设计和施工图设计。</w:t>
      </w:r>
    </w:p>
    <w:p w14:paraId="4CDB8E8E">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③业绩的认定时间以施工图设计批复时间为准，无施工图设计批复时间的，不予认可。</w:t>
      </w:r>
    </w:p>
    <w:p w14:paraId="64350CAD">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 w:val="0"/>
          <w:bCs/>
          <w:snapToGrid w:val="0"/>
          <w:color w:val="auto"/>
          <w:kern w:val="0"/>
          <w:sz w:val="28"/>
          <w:szCs w:val="28"/>
          <w:highlight w:val="none"/>
          <w:lang w:val="en-US" w:eastAsia="zh-CN"/>
        </w:rPr>
      </w:pPr>
      <w:r>
        <w:rPr>
          <w:rFonts w:hint="eastAsia" w:ascii="仿宋" w:hAnsi="仿宋" w:eastAsia="仿宋" w:cs="楷体"/>
          <w:b w:val="0"/>
          <w:bCs/>
          <w:snapToGrid w:val="0"/>
          <w:color w:val="auto"/>
          <w:kern w:val="0"/>
          <w:sz w:val="28"/>
          <w:szCs w:val="28"/>
          <w:highlight w:val="none"/>
          <w:lang w:val="en-US" w:eastAsia="zh-CN"/>
        </w:rPr>
        <w:t>3.5投标人信誉要求</w:t>
      </w:r>
      <w:r>
        <w:rPr>
          <w:rFonts w:hint="eastAsia" w:ascii="仿宋" w:hAnsi="仿宋" w:eastAsia="仿宋" w:cs="楷体"/>
          <w:bCs/>
          <w:snapToGrid w:val="0"/>
          <w:color w:val="auto"/>
          <w:kern w:val="0"/>
          <w:sz w:val="28"/>
          <w:szCs w:val="28"/>
          <w:highlight w:val="none"/>
        </w:rPr>
        <w:t>：</w:t>
      </w:r>
      <w:r>
        <w:rPr>
          <w:rFonts w:hint="eastAsia" w:ascii="仿宋" w:hAnsi="仿宋" w:eastAsia="仿宋" w:cs="楷体"/>
          <w:bCs/>
          <w:snapToGrid w:val="0"/>
          <w:color w:val="auto"/>
          <w:kern w:val="0"/>
          <w:sz w:val="28"/>
          <w:szCs w:val="28"/>
          <w:highlight w:val="none"/>
          <w:lang w:val="en-US" w:eastAsia="zh-CN"/>
        </w:rPr>
        <w:t>投标人不得存在下列情形</w:t>
      </w:r>
    </w:p>
    <w:p w14:paraId="0A87286F">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（1）被交通运输部或安徽省交通运输厅取消在安徽省的投标资格或禁止进入安徽省公路建设市场且处于有效期内。 </w:t>
      </w:r>
    </w:p>
    <w:p w14:paraId="78104023">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（2）被责令停业，暂扣或吊销执照，或吊销资质证书。 </w:t>
      </w:r>
    </w:p>
    <w:p w14:paraId="583434ED">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（3）进入清算程序，或被宣告破产，或其他丧失履约能力的情形。 </w:t>
      </w:r>
    </w:p>
    <w:p w14:paraId="53717053">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（4）在国家企业信用信息公示系统中被列入严重违法失信企业名单。</w:t>
      </w:r>
    </w:p>
    <w:p w14:paraId="555C44CE">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（5）在“中国执行信息公开网”网站中被列入失信被执行人名单。 </w:t>
      </w:r>
    </w:p>
    <w:p w14:paraId="489E5889">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（6）投标人、投标人法定代表人、拟委任的项目负责人近三年内有犯罪行为。 </w:t>
      </w:r>
    </w:p>
    <w:p w14:paraId="3AD2A87C">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（7）法律法规规定的其他被限制投标情形。 </w:t>
      </w:r>
    </w:p>
    <w:p w14:paraId="44CDA063">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备注：上述情形以投标截止时间查询结果为准。</w:t>
      </w:r>
    </w:p>
    <w:p w14:paraId="44770F03">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3.6本项目招标接受联合体投标。联合体（牵头方和成员方）总数不得超过2家，联合体牵头人须满足3.1条“（2）投标人须具备设计资质”要求</w:t>
      </w:r>
      <w:r>
        <w:rPr>
          <w:rFonts w:hint="default" w:ascii="仿宋" w:hAnsi="仿宋" w:eastAsia="仿宋" w:cs="楷体"/>
          <w:bCs/>
          <w:snapToGrid w:val="0"/>
          <w:color w:val="auto"/>
          <w:kern w:val="0"/>
          <w:sz w:val="28"/>
          <w:szCs w:val="28"/>
          <w:highlight w:val="none"/>
          <w:lang w:val="en-US" w:eastAsia="zh-CN"/>
        </w:rPr>
        <w:t>。</w:t>
      </w:r>
    </w:p>
    <w:p w14:paraId="42B4236F">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3.7每个投标人最多可对2个标段投标，允许中1个标段。本项目2个标段按01标段→02标段的顺序评标并推荐中标候选人。如某投标人在01标段中被推荐为第一中标候选人，其在02标段也参与了投标，可作为02标段的有效投标人但不再推荐为02标段的中标候选人。</w:t>
      </w:r>
    </w:p>
    <w:p w14:paraId="72A19B39">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3.8与招标人存在利害关系可能影响招标公正性的单位，不得参加投标。单位负责人为同一人或者存在控股、管理关系的不同单位，不得参加同一标包投标或者未划分标包的同一招标项目投标，否则，相关投标均无效。</w:t>
      </w:r>
    </w:p>
    <w:p w14:paraId="632BB6AE">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ascii="黑体" w:hAnsi="黑体" w:eastAsia="黑体" w:cs="黑体"/>
          <w:color w:val="auto"/>
          <w:spacing w:val="-1"/>
          <w:sz w:val="28"/>
          <w:szCs w:val="28"/>
          <w:highlight w:val="none"/>
        </w:rPr>
      </w:pPr>
      <w:r>
        <w:rPr>
          <w:rFonts w:ascii="黑体" w:hAnsi="黑体" w:eastAsia="黑体" w:cs="黑体"/>
          <w:color w:val="auto"/>
          <w:spacing w:val="-1"/>
          <w:sz w:val="28"/>
          <w:szCs w:val="28"/>
          <w:highlight w:val="none"/>
        </w:rPr>
        <w:t>4.技术成果经济补偿</w:t>
      </w:r>
    </w:p>
    <w:p w14:paraId="0888A15A">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本次招标对未中标人投标文件中的技术成果不给予经济补偿。</w:t>
      </w:r>
    </w:p>
    <w:p w14:paraId="00B3B5D0">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ascii="黑体" w:hAnsi="黑体" w:eastAsia="黑体" w:cs="黑体"/>
          <w:color w:val="auto"/>
          <w:spacing w:val="-1"/>
          <w:sz w:val="28"/>
          <w:szCs w:val="28"/>
          <w:highlight w:val="none"/>
        </w:rPr>
      </w:pPr>
      <w:r>
        <w:rPr>
          <w:rFonts w:ascii="黑体" w:hAnsi="黑体" w:eastAsia="黑体" w:cs="黑体"/>
          <w:color w:val="auto"/>
          <w:spacing w:val="-1"/>
          <w:sz w:val="28"/>
          <w:szCs w:val="28"/>
          <w:highlight w:val="none"/>
        </w:rPr>
        <w:t>5.招标文件的获取</w:t>
      </w:r>
    </w:p>
    <w:p w14:paraId="7988D731">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5.1获取时间：2026年8月14日至开标时间。</w:t>
      </w:r>
    </w:p>
    <w:p w14:paraId="1E7FB722">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5.2获取方式：</w:t>
      </w:r>
    </w:p>
    <w:p w14:paraId="1B67A591">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eastAsia="zh-CN"/>
        </w:rPr>
        <w:t>（1）潜在投标人须登录安徽（区域）公共资源交易电子服务系统（电子服务系统）查阅招标文件。首次登录须持有电子服务系统兼容的数字证书，详情参见电子服务系统办事指南</w:t>
      </w:r>
      <w:r>
        <w:rPr>
          <w:rFonts w:hint="eastAsia" w:ascii="仿宋" w:hAnsi="仿宋" w:eastAsia="仿宋" w:cs="楷体"/>
          <w:bCs/>
          <w:snapToGrid w:val="0"/>
          <w:color w:val="auto"/>
          <w:kern w:val="0"/>
          <w:sz w:val="28"/>
          <w:szCs w:val="28"/>
          <w:highlight w:val="none"/>
          <w:lang w:val="en-US" w:eastAsia="zh-CN"/>
        </w:rPr>
        <w:t>。</w:t>
      </w:r>
    </w:p>
    <w:p w14:paraId="2FBDA053">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（2）潜在投标人查阅招标文件后，如参与投标，则须按本条第5.1款规定的招标文件获取时间内通过优质采云采购平台获取招标文件。</w:t>
      </w:r>
    </w:p>
    <w:p w14:paraId="565DDC29">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（3）招标文件费用支付方式：无。</w:t>
      </w:r>
    </w:p>
    <w:p w14:paraId="791162A3">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（4）招标文件获取过程中有任何疑问，请在工作时间（周一至周五，9:00-12:00，13:00-17:00，节假日休息）拨打技术支持热线（非项目咨询）：0512-58188516</w:t>
      </w:r>
      <w:r>
        <w:rPr>
          <w:rFonts w:hint="eastAsia" w:ascii="仿宋" w:hAnsi="仿宋" w:eastAsia="仿宋" w:cs="楷体"/>
          <w:bCs/>
          <w:snapToGrid w:val="0"/>
          <w:color w:val="auto"/>
          <w:kern w:val="0"/>
          <w:sz w:val="28"/>
          <w:szCs w:val="28"/>
          <w:highlight w:val="none"/>
          <w:lang w:eastAsia="zh-CN"/>
        </w:rPr>
        <w:t>。项目咨询请拨打电话：</w:t>
      </w:r>
      <w:r>
        <w:rPr>
          <w:rFonts w:hint="eastAsia" w:ascii="仿宋" w:hAnsi="仿宋" w:eastAsia="仿宋" w:cs="楷体"/>
          <w:bCs/>
          <w:snapToGrid w:val="0"/>
          <w:color w:val="auto"/>
          <w:kern w:val="0"/>
          <w:sz w:val="28"/>
          <w:szCs w:val="28"/>
          <w:highlight w:val="none"/>
          <w:lang w:val="en-US" w:eastAsia="zh-CN"/>
        </w:rPr>
        <w:t>18909605753。</w:t>
      </w:r>
    </w:p>
    <w:p w14:paraId="57A16433">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5.3招标文件价格：本项目不收取招标文件费用。</w:t>
      </w:r>
    </w:p>
    <w:p w14:paraId="47433C4B">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ascii="黑体" w:hAnsi="黑体" w:eastAsia="黑体" w:cs="黑体"/>
          <w:color w:val="auto"/>
          <w:spacing w:val="-1"/>
          <w:sz w:val="28"/>
          <w:szCs w:val="28"/>
          <w:highlight w:val="none"/>
        </w:rPr>
      </w:pPr>
      <w:r>
        <w:rPr>
          <w:rFonts w:ascii="黑体" w:hAnsi="黑体" w:eastAsia="黑体" w:cs="黑体"/>
          <w:color w:val="auto"/>
          <w:spacing w:val="-1"/>
          <w:sz w:val="28"/>
          <w:szCs w:val="28"/>
          <w:highlight w:val="none"/>
        </w:rPr>
        <w:t>6.投标文件的递交</w:t>
      </w:r>
    </w:p>
    <w:p w14:paraId="258E17C7">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投标文件递交的截止时间(投标截止时间，下同)为2026年9月4日10时00分，投标人应在截止时间前通过优质采投标文件制作工具导入投标文件，并加密上传。</w:t>
      </w:r>
    </w:p>
    <w:p w14:paraId="758983AE">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60" w:lineRule="exact"/>
        <w:ind w:left="26" w:right="0"/>
        <w:textAlignment w:val="baseline"/>
        <w:rPr>
          <w:rFonts w:hint="eastAsia" w:ascii="黑体" w:hAnsi="黑体" w:eastAsia="黑体" w:cs="黑体"/>
          <w:color w:val="auto"/>
          <w:spacing w:val="-1"/>
          <w:sz w:val="28"/>
          <w:szCs w:val="28"/>
          <w:highlight w:val="none"/>
          <w:lang w:val="en-US" w:eastAsia="zh-CN"/>
        </w:rPr>
      </w:pPr>
      <w:r>
        <w:rPr>
          <w:rFonts w:hint="eastAsia" w:ascii="黑体" w:hAnsi="黑体" w:eastAsia="黑体" w:cs="黑体"/>
          <w:color w:val="auto"/>
          <w:spacing w:val="-1"/>
          <w:sz w:val="28"/>
          <w:szCs w:val="28"/>
          <w:highlight w:val="none"/>
          <w:lang w:val="en-US" w:eastAsia="zh-CN"/>
        </w:rPr>
        <w:t>资格审查方式</w:t>
      </w:r>
    </w:p>
    <w:p w14:paraId="542E3436">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本招标项目采用资格后审方式进行资格审查。</w:t>
      </w:r>
    </w:p>
    <w:p w14:paraId="667BD341">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hint="eastAsia" w:ascii="黑体" w:hAnsi="黑体" w:eastAsia="黑体" w:cs="黑体"/>
          <w:color w:val="auto"/>
          <w:spacing w:val="-1"/>
          <w:sz w:val="28"/>
          <w:szCs w:val="28"/>
          <w:highlight w:val="none"/>
          <w:lang w:val="en-US" w:eastAsia="zh-CN"/>
        </w:rPr>
      </w:pPr>
      <w:r>
        <w:rPr>
          <w:rFonts w:hint="eastAsia" w:ascii="黑体" w:hAnsi="黑体" w:eastAsia="黑体" w:cs="黑体"/>
          <w:color w:val="auto"/>
          <w:spacing w:val="-1"/>
          <w:sz w:val="28"/>
          <w:szCs w:val="28"/>
          <w:highlight w:val="none"/>
          <w:lang w:val="en-US" w:eastAsia="zh-CN"/>
        </w:rPr>
        <w:t>8.评标办法</w:t>
      </w:r>
    </w:p>
    <w:p w14:paraId="526B3677">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default"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本招标项目评标办法采用综合评分法。</w:t>
      </w:r>
    </w:p>
    <w:p w14:paraId="246A5740">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hint="eastAsia" w:ascii="黑体" w:hAnsi="黑体" w:eastAsia="黑体" w:cs="黑体"/>
          <w:color w:val="auto"/>
          <w:spacing w:val="-1"/>
          <w:sz w:val="28"/>
          <w:szCs w:val="28"/>
          <w:highlight w:val="none"/>
          <w:lang w:val="en-US" w:eastAsia="zh-CN"/>
        </w:rPr>
      </w:pPr>
      <w:r>
        <w:rPr>
          <w:rFonts w:hint="eastAsia" w:ascii="黑体" w:hAnsi="黑体" w:eastAsia="黑体" w:cs="黑体"/>
          <w:color w:val="auto"/>
          <w:spacing w:val="-1"/>
          <w:sz w:val="28"/>
          <w:szCs w:val="28"/>
          <w:highlight w:val="none"/>
          <w:lang w:val="en-US" w:eastAsia="zh-CN"/>
        </w:rPr>
        <w:t>9.开标时间及地点</w:t>
      </w:r>
    </w:p>
    <w:p w14:paraId="33ECDEAB">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9.1 开标时间：2026年9月4日10时00分。</w:t>
      </w:r>
    </w:p>
    <w:p w14:paraId="44CD7591">
      <w:pPr>
        <w:keepNext w:val="0"/>
        <w:keepLines w:val="0"/>
        <w:pageBreakBefore w:val="0"/>
        <w:widowControl w:val="0"/>
        <w:kinsoku/>
        <w:wordWrap w:val="0"/>
        <w:overflowPunct/>
        <w:topLinePunct w:val="0"/>
        <w:autoSpaceDE/>
        <w:autoSpaceDN/>
        <w:bidi w:val="0"/>
        <w:adjustRightInd w:val="0"/>
        <w:snapToGrid w:val="0"/>
        <w:spacing w:line="560" w:lineRule="exact"/>
        <w:ind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9.2 开标地点：</w:t>
      </w:r>
    </w:p>
    <w:p w14:paraId="181E34D8">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rPr>
      </w:pPr>
      <w:r>
        <w:rPr>
          <w:rFonts w:hint="eastAsia" w:ascii="仿宋" w:hAnsi="仿宋" w:eastAsia="仿宋" w:cs="楷体"/>
          <w:bCs/>
          <w:snapToGrid w:val="0"/>
          <w:color w:val="auto"/>
          <w:kern w:val="0"/>
          <w:sz w:val="28"/>
          <w:szCs w:val="28"/>
          <w:highlight w:val="none"/>
          <w:lang w:val="en-US" w:eastAsia="zh-CN"/>
        </w:rPr>
        <w:t>☑合肥市滨湖新区南京路2588号要素交易市场A区（徽州大道与南京路交口）2楼7号开标室</w:t>
      </w:r>
      <w:r>
        <w:rPr>
          <w:rFonts w:hint="eastAsia" w:ascii="仿宋" w:hAnsi="仿宋" w:eastAsia="仿宋" w:cs="楷体"/>
          <w:bCs/>
          <w:snapToGrid w:val="0"/>
          <w:color w:val="auto"/>
          <w:kern w:val="0"/>
          <w:sz w:val="28"/>
          <w:szCs w:val="28"/>
          <w:highlight w:val="none"/>
        </w:rPr>
        <w:t>。</w:t>
      </w:r>
    </w:p>
    <w:p w14:paraId="21505EEB">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firstLine="560" w:firstLineChars="200"/>
        <w:textAlignment w:val="baseline"/>
        <w:rPr>
          <w:rFonts w:hint="default" w:ascii="黑体" w:hAnsi="黑体" w:eastAsia="黑体" w:cs="黑体"/>
          <w:color w:val="auto"/>
          <w:spacing w:val="-1"/>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☑本招标项目采用“不见面”开标方式，具体操作见电子交易系统不见面开标系统相关操作手册</w:t>
      </w:r>
      <w:r>
        <w:rPr>
          <w:rFonts w:hint="eastAsia" w:ascii="仿宋" w:hAnsi="仿宋" w:eastAsia="仿宋" w:cs="楷体"/>
          <w:bCs/>
          <w:snapToGrid w:val="0"/>
          <w:color w:val="auto"/>
          <w:kern w:val="0"/>
          <w:sz w:val="28"/>
          <w:szCs w:val="28"/>
          <w:highlight w:val="none"/>
          <w:lang w:eastAsia="zh-CN"/>
        </w:rPr>
        <w:t>。</w:t>
      </w:r>
    </w:p>
    <w:p w14:paraId="2A9E80C5">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hint="eastAsia" w:ascii="黑体" w:hAnsi="黑体" w:eastAsia="黑体" w:cs="黑体"/>
          <w:color w:val="auto"/>
          <w:spacing w:val="-1"/>
          <w:sz w:val="28"/>
          <w:szCs w:val="28"/>
          <w:highlight w:val="none"/>
          <w:lang w:val="en-US" w:eastAsia="zh-CN"/>
        </w:rPr>
      </w:pPr>
      <w:r>
        <w:rPr>
          <w:rFonts w:hint="eastAsia" w:ascii="黑体" w:hAnsi="黑体" w:eastAsia="黑体" w:cs="黑体"/>
          <w:color w:val="auto"/>
          <w:spacing w:val="-1"/>
          <w:sz w:val="28"/>
          <w:szCs w:val="28"/>
          <w:highlight w:val="none"/>
          <w:lang w:val="en-US" w:eastAsia="zh-CN"/>
        </w:rPr>
        <w:t>10.招标文件的异议、投诉</w:t>
      </w:r>
    </w:p>
    <w:p w14:paraId="140E7E0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10.1 投标人或者其他利害关系人对招标文件有异议的，应当在规定时间通过电子交易系统在线提出或以其他书面形式提出。 </w:t>
      </w:r>
    </w:p>
    <w:p w14:paraId="33DF11E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10.2 投标人或者其他利害关系人对招标人、招标代理机构的答复不满意，或者招标人、招标代理机构未在规定时间内作出答复的，可以在规定时间内通过网上投诉系统或以其他书面形式向监管部门提出投诉。 </w:t>
      </w:r>
    </w:p>
    <w:p w14:paraId="1D760338">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10.3 受理异议的联系人和联系方式见招标公告12.1和12.2。</w:t>
      </w:r>
    </w:p>
    <w:p w14:paraId="4978BC4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黑体" w:hAnsi="黑体" w:eastAsia="黑体" w:cs="黑体"/>
          <w:color w:val="auto"/>
          <w:spacing w:val="-1"/>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10.4 电子交易系统网上异议操作手册见招标公告附件。</w:t>
      </w:r>
    </w:p>
    <w:p w14:paraId="09AAF926">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ascii="黑体" w:hAnsi="黑体" w:eastAsia="黑体" w:cs="黑体"/>
          <w:color w:val="auto"/>
          <w:spacing w:val="-1"/>
          <w:sz w:val="28"/>
          <w:szCs w:val="28"/>
          <w:highlight w:val="none"/>
        </w:rPr>
      </w:pPr>
      <w:r>
        <w:rPr>
          <w:rFonts w:hint="eastAsia" w:ascii="黑体" w:hAnsi="黑体" w:eastAsia="黑体" w:cs="黑体"/>
          <w:color w:val="auto"/>
          <w:spacing w:val="-1"/>
          <w:sz w:val="28"/>
          <w:szCs w:val="28"/>
          <w:highlight w:val="none"/>
          <w:lang w:val="en-US" w:eastAsia="zh-CN"/>
        </w:rPr>
        <w:t>11.</w:t>
      </w:r>
      <w:r>
        <w:rPr>
          <w:rFonts w:ascii="黑体" w:hAnsi="黑体" w:eastAsia="黑体" w:cs="黑体"/>
          <w:color w:val="auto"/>
          <w:spacing w:val="-1"/>
          <w:sz w:val="28"/>
          <w:szCs w:val="28"/>
          <w:highlight w:val="none"/>
        </w:rPr>
        <w:t>发布公告的媒介</w:t>
      </w:r>
    </w:p>
    <w:p w14:paraId="6057AD0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本次招标公告同时在全国公共资源交易平台（安徽省•合肥市）、安徽省公共资源交易监管网、全国公共资源交易平台上发布。</w:t>
      </w:r>
    </w:p>
    <w:p w14:paraId="762223D7">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ascii="黑体" w:hAnsi="黑体" w:eastAsia="黑体" w:cs="黑体"/>
          <w:color w:val="auto"/>
          <w:spacing w:val="-1"/>
          <w:sz w:val="28"/>
          <w:szCs w:val="28"/>
          <w:highlight w:val="none"/>
        </w:rPr>
      </w:pPr>
      <w:r>
        <w:rPr>
          <w:rFonts w:hint="eastAsia" w:ascii="黑体" w:hAnsi="黑体" w:eastAsia="黑体" w:cs="黑体"/>
          <w:color w:val="auto"/>
          <w:spacing w:val="-1"/>
          <w:sz w:val="28"/>
          <w:szCs w:val="28"/>
          <w:highlight w:val="none"/>
          <w:lang w:val="en-US" w:eastAsia="zh-CN"/>
        </w:rPr>
        <w:t>12</w:t>
      </w:r>
      <w:r>
        <w:rPr>
          <w:rFonts w:ascii="黑体" w:hAnsi="黑体" w:eastAsia="黑体" w:cs="黑体"/>
          <w:color w:val="auto"/>
          <w:spacing w:val="-1"/>
          <w:sz w:val="28"/>
          <w:szCs w:val="28"/>
          <w:highlight w:val="none"/>
        </w:rPr>
        <w:t>.联系方式</w:t>
      </w:r>
    </w:p>
    <w:p w14:paraId="7A24E0FC">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12.1招标人</w:t>
      </w:r>
    </w:p>
    <w:p w14:paraId="794C7FB1">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default"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招标人：滁州市交通运输局</w:t>
      </w:r>
    </w:p>
    <w:p w14:paraId="37D7A24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地址：滁州市龙蟠大道200号</w:t>
      </w:r>
    </w:p>
    <w:p w14:paraId="06FC6E7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联系人：刘李 </w:t>
      </w:r>
    </w:p>
    <w:p w14:paraId="2B6F72E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 xml:space="preserve">电话：0550-3210521 </w:t>
      </w:r>
    </w:p>
    <w:p w14:paraId="4018E50B">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12.2招标代理机构</w:t>
      </w:r>
    </w:p>
    <w:p w14:paraId="12B0FAE4">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招标代理机构：滁州市城投工程咨询管理有限公司</w:t>
      </w:r>
    </w:p>
    <w:p w14:paraId="6AD16F9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地址：滁州市龙蟠大道109号房产商务大厦6楼</w:t>
      </w:r>
    </w:p>
    <w:p w14:paraId="7FE38B68">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项目负责人：关勤勤</w:t>
      </w:r>
    </w:p>
    <w:p w14:paraId="003F61A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default"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电话：0550-3519590、18909605753</w:t>
      </w:r>
    </w:p>
    <w:p w14:paraId="6148E59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12.3电子交易系统</w:t>
      </w:r>
    </w:p>
    <w:p w14:paraId="4D8FBDC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电子交易系统名称：优质采云采购平台</w:t>
      </w:r>
    </w:p>
    <w:p w14:paraId="172C0DCF">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电子交易系统电话：0551-62220164</w:t>
      </w:r>
    </w:p>
    <w:p w14:paraId="223D324B">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12.4电子服务系统</w:t>
      </w:r>
    </w:p>
    <w:p w14:paraId="746CAF16">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电子服务系统名称：安徽合肥公共资源交易电子服务系统</w:t>
      </w:r>
    </w:p>
    <w:p w14:paraId="7C1669FE">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电子服务系统电话：</w:t>
      </w:r>
      <w:r>
        <w:rPr>
          <w:rFonts w:hint="eastAsia" w:ascii="仿宋" w:hAnsi="仿宋" w:eastAsia="仿宋" w:cs="楷体"/>
          <w:bCs/>
          <w:snapToGrid w:val="0"/>
          <w:color w:val="auto"/>
          <w:kern w:val="0"/>
          <w:sz w:val="28"/>
          <w:szCs w:val="28"/>
          <w:highlight w:val="none"/>
        </w:rPr>
        <w:t>0512-58188516</w:t>
      </w:r>
    </w:p>
    <w:p w14:paraId="494CED5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12.5招标监督管理部门</w:t>
      </w:r>
    </w:p>
    <w:p w14:paraId="5761652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default"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招标监督管理部门：安徽省交通运输厅</w:t>
      </w:r>
    </w:p>
    <w:p w14:paraId="7C9AB6D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地址：安徽省合肥市包河区高铁路98号</w:t>
      </w:r>
    </w:p>
    <w:p w14:paraId="1EF6555B">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电话：0551-63629541</w:t>
      </w:r>
    </w:p>
    <w:p w14:paraId="742A4437">
      <w:pPr>
        <w:keepNext w:val="0"/>
        <w:keepLines w:val="0"/>
        <w:pageBreakBefore w:val="0"/>
        <w:widowControl/>
        <w:kinsoku w:val="0"/>
        <w:wordWrap/>
        <w:overflowPunct/>
        <w:topLinePunct w:val="0"/>
        <w:autoSpaceDE w:val="0"/>
        <w:autoSpaceDN w:val="0"/>
        <w:bidi w:val="0"/>
        <w:adjustRightInd w:val="0"/>
        <w:snapToGrid w:val="0"/>
        <w:spacing w:line="560" w:lineRule="exact"/>
        <w:ind w:left="26" w:right="0"/>
        <w:textAlignment w:val="baseline"/>
        <w:rPr>
          <w:rFonts w:ascii="黑体" w:hAnsi="黑体" w:eastAsia="黑体" w:cs="黑体"/>
          <w:color w:val="auto"/>
          <w:spacing w:val="-1"/>
          <w:sz w:val="28"/>
          <w:szCs w:val="28"/>
          <w:highlight w:val="none"/>
        </w:rPr>
      </w:pPr>
      <w:r>
        <w:rPr>
          <w:rFonts w:hint="eastAsia" w:ascii="黑体" w:hAnsi="黑体" w:eastAsia="黑体" w:cs="黑体"/>
          <w:color w:val="auto"/>
          <w:spacing w:val="-1"/>
          <w:sz w:val="28"/>
          <w:szCs w:val="28"/>
          <w:highlight w:val="none"/>
          <w:lang w:val="en-US" w:eastAsia="zh-CN"/>
        </w:rPr>
        <w:t>13</w:t>
      </w:r>
      <w:r>
        <w:rPr>
          <w:rFonts w:ascii="黑体" w:hAnsi="黑体" w:eastAsia="黑体" w:cs="黑体"/>
          <w:color w:val="auto"/>
          <w:spacing w:val="-1"/>
          <w:sz w:val="28"/>
          <w:szCs w:val="28"/>
          <w:highlight w:val="none"/>
        </w:rPr>
        <w:t>.</w:t>
      </w:r>
      <w:r>
        <w:rPr>
          <w:rFonts w:hint="eastAsia" w:ascii="黑体" w:hAnsi="黑体" w:eastAsia="黑体" w:cs="黑体"/>
          <w:color w:val="auto"/>
          <w:spacing w:val="-1"/>
          <w:sz w:val="28"/>
          <w:szCs w:val="28"/>
          <w:highlight w:val="none"/>
          <w:lang w:val="en-US" w:eastAsia="zh-CN"/>
        </w:rPr>
        <w:t>其他事项说明</w:t>
      </w:r>
    </w:p>
    <w:p w14:paraId="39B6DFA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560" w:firstLineChars="200"/>
        <w:textAlignment w:val="baseline"/>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投标人应合理安排招标文件获取时间，特别是网络速度慢的地区防止在系统关闭前网络拥堵无法操作。如果因计算机及网络故障造成无法完成招标文件获取，责任自负。</w:t>
      </w:r>
    </w:p>
    <w:p w14:paraId="2EAB66F6">
      <w:pPr>
        <w:keepNext w:val="0"/>
        <w:keepLines w:val="0"/>
        <w:pageBreakBefore w:val="0"/>
        <w:widowControl/>
        <w:kinsoku w:val="0"/>
        <w:wordWrap/>
        <w:overflowPunct/>
        <w:topLinePunct w:val="0"/>
        <w:autoSpaceDE w:val="0"/>
        <w:autoSpaceDN w:val="0"/>
        <w:bidi w:val="0"/>
        <w:adjustRightInd w:val="0"/>
        <w:snapToGrid w:val="0"/>
        <w:spacing w:line="560" w:lineRule="exact"/>
        <w:ind w:left="28" w:right="0"/>
        <w:textAlignment w:val="baseline"/>
        <w:rPr>
          <w:rFonts w:hint="eastAsia" w:ascii="黑体" w:hAnsi="黑体" w:eastAsia="黑体" w:cs="宋体"/>
          <w:b w:val="0"/>
          <w:bCs/>
          <w:snapToGrid/>
          <w:color w:val="auto"/>
          <w:kern w:val="0"/>
          <w:sz w:val="28"/>
          <w:szCs w:val="28"/>
          <w:highlight w:val="none"/>
          <w:lang w:val="en-US" w:eastAsia="zh-CN" w:bidi="ar-SA"/>
        </w:rPr>
      </w:pPr>
      <w:r>
        <w:rPr>
          <w:rFonts w:hint="eastAsia" w:ascii="黑体" w:hAnsi="黑体" w:eastAsia="黑体" w:cs="黑体"/>
          <w:snapToGrid w:val="0"/>
          <w:color w:val="auto"/>
          <w:spacing w:val="-1"/>
          <w:kern w:val="0"/>
          <w:sz w:val="28"/>
          <w:szCs w:val="28"/>
          <w:highlight w:val="none"/>
          <w:lang w:val="en-US" w:eastAsia="zh-CN" w:bidi="ar-SA"/>
        </w:rPr>
        <w:t>14</w:t>
      </w:r>
      <w:r>
        <w:rPr>
          <w:rFonts w:ascii="黑体" w:hAnsi="黑体" w:eastAsia="黑体" w:cs="黑体"/>
          <w:snapToGrid w:val="0"/>
          <w:color w:val="auto"/>
          <w:spacing w:val="-1"/>
          <w:kern w:val="0"/>
          <w:sz w:val="28"/>
          <w:szCs w:val="28"/>
          <w:highlight w:val="none"/>
          <w:lang w:val="en-US" w:eastAsia="en-US" w:bidi="ar-SA"/>
        </w:rPr>
        <w:t>.</w:t>
      </w:r>
      <w:r>
        <w:rPr>
          <w:rFonts w:hint="eastAsia" w:ascii="黑体" w:hAnsi="黑体" w:eastAsia="黑体" w:cs="黑体"/>
          <w:color w:val="auto"/>
          <w:spacing w:val="-1"/>
          <w:sz w:val="28"/>
          <w:szCs w:val="28"/>
          <w:highlight w:val="none"/>
          <w:lang w:val="en-US" w:eastAsia="zh-CN"/>
        </w:rPr>
        <w:t>投标保证金账户（如采用银行转账或银行电汇方式提交的，请选择以</w:t>
      </w:r>
      <w:r>
        <w:rPr>
          <w:rFonts w:hint="eastAsia" w:ascii="黑体" w:hAnsi="黑体" w:eastAsia="黑体" w:cs="宋体"/>
          <w:b w:val="0"/>
          <w:bCs/>
          <w:snapToGrid/>
          <w:color w:val="auto"/>
          <w:kern w:val="0"/>
          <w:sz w:val="28"/>
          <w:szCs w:val="28"/>
          <w:highlight w:val="none"/>
          <w:lang w:val="en-US" w:eastAsia="zh-CN" w:bidi="ar-SA"/>
        </w:rPr>
        <w:t>下任何一家银行递交即可）：</w:t>
      </w:r>
    </w:p>
    <w:p w14:paraId="7B7A9359">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default"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01标段</w:t>
      </w:r>
    </w:p>
    <w:p w14:paraId="66599FE3">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rPr>
      </w:pPr>
      <w:r>
        <w:rPr>
          <w:rFonts w:hint="eastAsia" w:ascii="仿宋" w:hAnsi="仿宋" w:eastAsia="仿宋" w:cs="楷体"/>
          <w:bCs/>
          <w:snapToGrid w:val="0"/>
          <w:color w:val="auto"/>
          <w:kern w:val="0"/>
          <w:sz w:val="28"/>
          <w:szCs w:val="28"/>
          <w:highlight w:val="none"/>
        </w:rPr>
        <w:t>户名：安徽合肥公共资源交易中心</w:t>
      </w:r>
    </w:p>
    <w:p w14:paraId="1211F4C9">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rPr>
        <w:t>账号：188751456602</w:t>
      </w:r>
      <w:r>
        <w:rPr>
          <w:rFonts w:hint="eastAsia" w:ascii="仿宋" w:hAnsi="仿宋" w:eastAsia="仿宋" w:cs="楷体"/>
          <w:bCs/>
          <w:snapToGrid w:val="0"/>
          <w:color w:val="auto"/>
          <w:kern w:val="0"/>
          <w:sz w:val="28"/>
          <w:szCs w:val="28"/>
          <w:highlight w:val="none"/>
          <w:lang w:val="en-US" w:eastAsia="zh-CN"/>
        </w:rPr>
        <w:t xml:space="preserve">    </w:t>
      </w:r>
      <w:r>
        <w:rPr>
          <w:rFonts w:hint="eastAsia" w:ascii="仿宋" w:hAnsi="仿宋" w:eastAsia="仿宋" w:cs="楷体"/>
          <w:bCs/>
          <w:snapToGrid w:val="0"/>
          <w:color w:val="auto"/>
          <w:kern w:val="0"/>
          <w:sz w:val="28"/>
          <w:szCs w:val="28"/>
          <w:highlight w:val="none"/>
        </w:rPr>
        <w:t xml:space="preserve"> </w:t>
      </w:r>
      <w:r>
        <w:rPr>
          <w:rFonts w:hint="eastAsia" w:ascii="仿宋" w:hAnsi="仿宋" w:eastAsia="仿宋" w:cs="楷体"/>
          <w:bCs/>
          <w:snapToGrid w:val="0"/>
          <w:color w:val="auto"/>
          <w:kern w:val="0"/>
          <w:sz w:val="28"/>
          <w:szCs w:val="28"/>
          <w:highlight w:val="none"/>
          <w:lang w:val="en-US" w:eastAsia="zh-CN"/>
        </w:rPr>
        <w:t xml:space="preserve"> </w:t>
      </w:r>
    </w:p>
    <w:p w14:paraId="28E4BE77">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rPr>
      </w:pPr>
      <w:r>
        <w:rPr>
          <w:rFonts w:hint="eastAsia" w:ascii="仿宋" w:hAnsi="仿宋" w:eastAsia="仿宋" w:cs="楷体"/>
          <w:bCs/>
          <w:snapToGrid w:val="0"/>
          <w:color w:val="auto"/>
          <w:kern w:val="0"/>
          <w:sz w:val="28"/>
          <w:szCs w:val="28"/>
          <w:highlight w:val="none"/>
        </w:rPr>
        <w:t>开户银行：中国银行合肥庐阳支行</w:t>
      </w:r>
    </w:p>
    <w:p w14:paraId="0797E012">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rPr>
      </w:pPr>
      <w:r>
        <w:rPr>
          <w:rFonts w:hint="eastAsia" w:ascii="仿宋" w:hAnsi="仿宋" w:eastAsia="仿宋" w:cs="楷体"/>
          <w:bCs/>
          <w:snapToGrid w:val="0"/>
          <w:color w:val="auto"/>
          <w:kern w:val="0"/>
          <w:sz w:val="28"/>
          <w:szCs w:val="28"/>
          <w:highlight w:val="none"/>
        </w:rPr>
        <w:t>或</w:t>
      </w:r>
    </w:p>
    <w:p w14:paraId="44537431">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rPr>
      </w:pPr>
      <w:r>
        <w:rPr>
          <w:rFonts w:hint="eastAsia" w:ascii="仿宋" w:hAnsi="仿宋" w:eastAsia="仿宋" w:cs="楷体"/>
          <w:bCs/>
          <w:snapToGrid w:val="0"/>
          <w:color w:val="auto"/>
          <w:kern w:val="0"/>
          <w:sz w:val="28"/>
          <w:szCs w:val="28"/>
          <w:highlight w:val="none"/>
        </w:rPr>
        <w:t>户名：安徽合肥公共资源交易中心</w:t>
      </w:r>
    </w:p>
    <w:p w14:paraId="73CB1BAC">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lang w:eastAsia="zh-CN"/>
        </w:rPr>
      </w:pPr>
      <w:r>
        <w:rPr>
          <w:rFonts w:hint="eastAsia" w:ascii="仿宋" w:hAnsi="仿宋" w:eastAsia="仿宋" w:cs="楷体"/>
          <w:bCs/>
          <w:snapToGrid w:val="0"/>
          <w:color w:val="auto"/>
          <w:kern w:val="0"/>
          <w:sz w:val="28"/>
          <w:szCs w:val="28"/>
          <w:highlight w:val="none"/>
        </w:rPr>
        <w:t>账号：1023701021001095993265985</w:t>
      </w:r>
      <w:r>
        <w:rPr>
          <w:rFonts w:hint="eastAsia" w:ascii="仿宋" w:hAnsi="仿宋" w:eastAsia="仿宋" w:cs="楷体"/>
          <w:bCs/>
          <w:snapToGrid w:val="0"/>
          <w:color w:val="auto"/>
          <w:kern w:val="0"/>
          <w:sz w:val="28"/>
          <w:szCs w:val="28"/>
          <w:highlight w:val="none"/>
          <w:lang w:val="en-US" w:eastAsia="zh-CN"/>
        </w:rPr>
        <w:t xml:space="preserve">   </w:t>
      </w:r>
    </w:p>
    <w:p w14:paraId="4742D82D">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rPr>
      </w:pPr>
      <w:r>
        <w:rPr>
          <w:rFonts w:hint="eastAsia" w:ascii="仿宋" w:hAnsi="仿宋" w:eastAsia="仿宋" w:cs="楷体"/>
          <w:bCs/>
          <w:snapToGrid w:val="0"/>
          <w:color w:val="auto"/>
          <w:kern w:val="0"/>
          <w:sz w:val="28"/>
          <w:szCs w:val="28"/>
          <w:highlight w:val="none"/>
        </w:rPr>
        <w:t>开户银行：徽商银行股份有限公司合肥蜀山支行</w:t>
      </w:r>
    </w:p>
    <w:p w14:paraId="4E48E8D9">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default"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lang w:val="en-US" w:eastAsia="zh-CN"/>
        </w:rPr>
        <w:t>02标段</w:t>
      </w:r>
    </w:p>
    <w:p w14:paraId="4A4E9280">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rPr>
      </w:pPr>
      <w:r>
        <w:rPr>
          <w:rFonts w:hint="eastAsia" w:ascii="仿宋" w:hAnsi="仿宋" w:eastAsia="仿宋" w:cs="楷体"/>
          <w:bCs/>
          <w:snapToGrid w:val="0"/>
          <w:color w:val="auto"/>
          <w:kern w:val="0"/>
          <w:sz w:val="28"/>
          <w:szCs w:val="28"/>
          <w:highlight w:val="none"/>
        </w:rPr>
        <w:t>户名：安徽合肥公共资源交易中心</w:t>
      </w:r>
    </w:p>
    <w:p w14:paraId="505349EA">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lang w:val="en-US" w:eastAsia="zh-CN"/>
        </w:rPr>
      </w:pPr>
      <w:r>
        <w:rPr>
          <w:rFonts w:hint="eastAsia" w:ascii="仿宋" w:hAnsi="仿宋" w:eastAsia="仿宋" w:cs="楷体"/>
          <w:bCs/>
          <w:snapToGrid w:val="0"/>
          <w:color w:val="auto"/>
          <w:kern w:val="0"/>
          <w:sz w:val="28"/>
          <w:szCs w:val="28"/>
          <w:highlight w:val="none"/>
        </w:rPr>
        <w:t>账号：188751456613</w:t>
      </w:r>
      <w:r>
        <w:rPr>
          <w:rFonts w:hint="eastAsia" w:ascii="仿宋" w:hAnsi="仿宋" w:eastAsia="仿宋" w:cs="楷体"/>
          <w:bCs/>
          <w:snapToGrid w:val="0"/>
          <w:color w:val="auto"/>
          <w:kern w:val="0"/>
          <w:sz w:val="28"/>
          <w:szCs w:val="28"/>
          <w:highlight w:val="none"/>
          <w:lang w:val="en-US" w:eastAsia="zh-CN"/>
        </w:rPr>
        <w:t xml:space="preserve">    </w:t>
      </w:r>
      <w:r>
        <w:rPr>
          <w:rFonts w:hint="eastAsia" w:ascii="仿宋" w:hAnsi="仿宋" w:eastAsia="仿宋" w:cs="楷体"/>
          <w:bCs/>
          <w:snapToGrid w:val="0"/>
          <w:color w:val="auto"/>
          <w:kern w:val="0"/>
          <w:sz w:val="28"/>
          <w:szCs w:val="28"/>
          <w:highlight w:val="none"/>
        </w:rPr>
        <w:t xml:space="preserve"> </w:t>
      </w:r>
      <w:r>
        <w:rPr>
          <w:rFonts w:hint="eastAsia" w:ascii="仿宋" w:hAnsi="仿宋" w:eastAsia="仿宋" w:cs="楷体"/>
          <w:bCs/>
          <w:snapToGrid w:val="0"/>
          <w:color w:val="auto"/>
          <w:kern w:val="0"/>
          <w:sz w:val="28"/>
          <w:szCs w:val="28"/>
          <w:highlight w:val="none"/>
          <w:lang w:val="en-US" w:eastAsia="zh-CN"/>
        </w:rPr>
        <w:t xml:space="preserve"> </w:t>
      </w:r>
    </w:p>
    <w:p w14:paraId="03327F02">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rPr>
      </w:pPr>
      <w:r>
        <w:rPr>
          <w:rFonts w:hint="eastAsia" w:ascii="仿宋" w:hAnsi="仿宋" w:eastAsia="仿宋" w:cs="楷体"/>
          <w:bCs/>
          <w:snapToGrid w:val="0"/>
          <w:color w:val="auto"/>
          <w:kern w:val="0"/>
          <w:sz w:val="28"/>
          <w:szCs w:val="28"/>
          <w:highlight w:val="none"/>
        </w:rPr>
        <w:t>开户银行：中国银行合肥庐阳支行</w:t>
      </w:r>
    </w:p>
    <w:p w14:paraId="145A65E1">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rPr>
      </w:pPr>
      <w:r>
        <w:rPr>
          <w:rFonts w:hint="eastAsia" w:ascii="仿宋" w:hAnsi="仿宋" w:eastAsia="仿宋" w:cs="楷体"/>
          <w:bCs/>
          <w:snapToGrid w:val="0"/>
          <w:color w:val="auto"/>
          <w:kern w:val="0"/>
          <w:sz w:val="28"/>
          <w:szCs w:val="28"/>
          <w:highlight w:val="none"/>
        </w:rPr>
        <w:t>或</w:t>
      </w:r>
    </w:p>
    <w:p w14:paraId="436F5AE7">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rPr>
      </w:pPr>
      <w:r>
        <w:rPr>
          <w:rFonts w:hint="eastAsia" w:ascii="仿宋" w:hAnsi="仿宋" w:eastAsia="仿宋" w:cs="楷体"/>
          <w:bCs/>
          <w:snapToGrid w:val="0"/>
          <w:color w:val="auto"/>
          <w:kern w:val="0"/>
          <w:sz w:val="28"/>
          <w:szCs w:val="28"/>
          <w:highlight w:val="none"/>
        </w:rPr>
        <w:t>户名：安徽合肥公共资源交易中心</w:t>
      </w:r>
    </w:p>
    <w:p w14:paraId="74F23349">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lang w:eastAsia="zh-CN"/>
        </w:rPr>
      </w:pPr>
      <w:r>
        <w:rPr>
          <w:rFonts w:hint="eastAsia" w:ascii="仿宋" w:hAnsi="仿宋" w:eastAsia="仿宋" w:cs="楷体"/>
          <w:bCs/>
          <w:snapToGrid w:val="0"/>
          <w:color w:val="auto"/>
          <w:kern w:val="0"/>
          <w:sz w:val="28"/>
          <w:szCs w:val="28"/>
          <w:highlight w:val="none"/>
        </w:rPr>
        <w:t>账号：1023701021001095993265986</w:t>
      </w:r>
      <w:r>
        <w:rPr>
          <w:rFonts w:hint="eastAsia" w:ascii="仿宋" w:hAnsi="仿宋" w:eastAsia="仿宋" w:cs="楷体"/>
          <w:bCs/>
          <w:snapToGrid w:val="0"/>
          <w:color w:val="auto"/>
          <w:kern w:val="0"/>
          <w:sz w:val="28"/>
          <w:szCs w:val="28"/>
          <w:highlight w:val="none"/>
          <w:lang w:val="en-US" w:eastAsia="zh-CN"/>
        </w:rPr>
        <w:t xml:space="preserve">   </w:t>
      </w:r>
    </w:p>
    <w:p w14:paraId="1B892F1E">
      <w:pPr>
        <w:keepNext w:val="0"/>
        <w:keepLines w:val="0"/>
        <w:pageBreakBefore w:val="0"/>
        <w:widowControl w:val="0"/>
        <w:kinsoku/>
        <w:wordWrap/>
        <w:overflowPunct/>
        <w:autoSpaceDE/>
        <w:autoSpaceDN/>
        <w:bidi w:val="0"/>
        <w:adjustRightInd w:val="0"/>
        <w:snapToGrid w:val="0"/>
        <w:spacing w:line="560" w:lineRule="exact"/>
        <w:ind w:left="0" w:leftChars="0" w:firstLine="560" w:firstLineChars="200"/>
        <w:rPr>
          <w:rFonts w:hint="eastAsia" w:ascii="仿宋" w:hAnsi="仿宋" w:eastAsia="仿宋" w:cs="楷体"/>
          <w:bCs/>
          <w:snapToGrid w:val="0"/>
          <w:color w:val="auto"/>
          <w:kern w:val="0"/>
          <w:sz w:val="28"/>
          <w:szCs w:val="28"/>
          <w:highlight w:val="none"/>
        </w:rPr>
      </w:pPr>
      <w:r>
        <w:rPr>
          <w:rFonts w:hint="eastAsia" w:ascii="仿宋" w:hAnsi="仿宋" w:eastAsia="仿宋" w:cs="楷体"/>
          <w:bCs/>
          <w:snapToGrid w:val="0"/>
          <w:color w:val="auto"/>
          <w:kern w:val="0"/>
          <w:sz w:val="28"/>
          <w:szCs w:val="28"/>
          <w:highlight w:val="none"/>
        </w:rPr>
        <w:t>开户银行：徽商银行股份有限公司合肥蜀山支行</w:t>
      </w:r>
    </w:p>
    <w:p w14:paraId="31150D3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7A92ED0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467D3BE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56C85BAB">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4AF808F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51EA003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1C6308A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054A05C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140C3CF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6178925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35E75D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008800D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4D1C0E6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5A5931E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542600D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4D2A009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28C7249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jc w:val="both"/>
        <w:textAlignment w:val="baseline"/>
        <w:rPr>
          <w:rFonts w:ascii="宋体" w:hAnsi="宋体" w:eastAsia="宋体" w:cs="宋体"/>
          <w:color w:val="auto"/>
          <w:spacing w:val="0"/>
          <w:w w:val="100"/>
          <w:position w:val="0"/>
          <w:sz w:val="24"/>
          <w:szCs w:val="24"/>
          <w:highlight w:val="none"/>
        </w:rPr>
      </w:pPr>
    </w:p>
    <w:p w14:paraId="0A677B32">
      <w:pPr>
        <w:pStyle w:val="6"/>
        <w:spacing w:before="78" w:line="219" w:lineRule="auto"/>
        <w:rPr>
          <w:rFonts w:ascii="黑体" w:hAnsi="黑体" w:eastAsia="黑体" w:cs="黑体"/>
          <w:color w:val="auto"/>
          <w:spacing w:val="10"/>
          <w:kern w:val="2"/>
          <w:sz w:val="31"/>
          <w:szCs w:val="31"/>
          <w:highlight w:val="none"/>
          <w14:textOutline w14:w="5793" w14:cap="sq" w14:cmpd="sng">
            <w14:solidFill>
              <w14:srgbClr w14:val="000000"/>
            </w14:solidFill>
            <w14:prstDash w14:val="solid"/>
            <w14:bevel/>
          </w14:textOutline>
        </w:rPr>
      </w:pPr>
      <w:r>
        <w:rPr>
          <w:rFonts w:ascii="黑体" w:hAnsi="黑体" w:eastAsia="黑体" w:cs="黑体"/>
          <w:color w:val="auto"/>
          <w:spacing w:val="10"/>
          <w:kern w:val="2"/>
          <w:sz w:val="31"/>
          <w:szCs w:val="31"/>
          <w:highlight w:val="none"/>
          <w14:textOutline w14:w="5793" w14:cap="sq" w14:cmpd="sng">
            <w14:solidFill>
              <w14:srgbClr w14:val="000000"/>
            </w14:solidFill>
            <w14:prstDash w14:val="solid"/>
            <w14:bevel/>
          </w14:textOutline>
        </w:rPr>
        <w:t>附件：</w:t>
      </w:r>
    </w:p>
    <w:p w14:paraId="0B653562">
      <w:pPr>
        <w:spacing w:before="281" w:line="226" w:lineRule="auto"/>
        <w:ind w:left="0"/>
        <w:jc w:val="center"/>
        <w:outlineLvl w:val="9"/>
        <w:rPr>
          <w:rFonts w:ascii="黑体" w:hAnsi="黑体" w:eastAsia="黑体" w:cs="黑体"/>
          <w:color w:val="auto"/>
          <w:sz w:val="24"/>
          <w:szCs w:val="24"/>
          <w:highlight w:val="none"/>
        </w:rPr>
      </w:pPr>
      <w:r>
        <w:rPr>
          <w:rFonts w:ascii="黑体" w:hAnsi="黑体" w:eastAsia="黑体" w:cs="黑体"/>
          <w:color w:val="auto"/>
          <w:spacing w:val="10"/>
          <w:sz w:val="31"/>
          <w:szCs w:val="31"/>
          <w:highlight w:val="none"/>
          <w14:textOutline w14:w="5793" w14:cap="sq" w14:cmpd="sng">
            <w14:solidFill>
              <w14:srgbClr w14:val="000000"/>
            </w14:solidFill>
            <w14:prstDash w14:val="solid"/>
            <w14:bevel/>
          </w14:textOutline>
        </w:rPr>
        <w:t>优质采电子交易系统建设工程项目平台异议操作手册（投标人端）</w:t>
      </w:r>
    </w:p>
    <w:p w14:paraId="0323C1B6">
      <w:pPr>
        <w:pStyle w:val="6"/>
        <w:spacing w:before="306" w:line="221" w:lineRule="auto"/>
        <w:ind w:left="31"/>
        <w:outlineLvl w:val="0"/>
        <w:rPr>
          <w:color w:val="auto"/>
          <w:sz w:val="28"/>
          <w:szCs w:val="28"/>
          <w:highlight w:val="none"/>
        </w:rPr>
      </w:pPr>
      <w:r>
        <w:rPr>
          <w:color w:val="auto"/>
          <w:spacing w:val="-1"/>
          <w:sz w:val="28"/>
          <w:szCs w:val="28"/>
          <w:highlight w:val="none"/>
          <w14:textOutline w14:w="5103" w14:cap="sq" w14:cmpd="sng">
            <w14:solidFill>
              <w14:srgbClr w14:val="000000"/>
            </w14:solidFill>
            <w14:prstDash w14:val="solid"/>
            <w14:bevel/>
          </w14:textOutline>
        </w:rPr>
        <w:t>投标人端操作</w:t>
      </w:r>
    </w:p>
    <w:p w14:paraId="54B867A3">
      <w:pPr>
        <w:spacing w:line="376" w:lineRule="auto"/>
        <w:rPr>
          <w:rFonts w:ascii="Arial"/>
          <w:color w:val="auto"/>
          <w:sz w:val="21"/>
          <w:highlight w:val="none"/>
        </w:rPr>
      </w:pPr>
    </w:p>
    <w:p w14:paraId="324EDC7B">
      <w:pPr>
        <w:pStyle w:val="6"/>
        <w:spacing w:before="91" w:line="222" w:lineRule="auto"/>
        <w:ind w:left="48"/>
        <w:outlineLvl w:val="1"/>
        <w:rPr>
          <w:color w:val="auto"/>
          <w:sz w:val="28"/>
          <w:szCs w:val="28"/>
          <w:highlight w:val="none"/>
        </w:rPr>
      </w:pPr>
      <w:r>
        <w:rPr>
          <w:color w:val="auto"/>
          <w:spacing w:val="-5"/>
          <w:sz w:val="28"/>
          <w:szCs w:val="28"/>
          <w:highlight w:val="none"/>
          <w14:textOutline w14:w="5103" w14:cap="sq" w14:cmpd="sng">
            <w14:solidFill>
              <w14:srgbClr w14:val="000000"/>
            </w14:solidFill>
            <w14:prstDash w14:val="solid"/>
            <w14:bevel/>
          </w14:textOutline>
        </w:rPr>
        <w:t>1.系统登录</w:t>
      </w:r>
    </w:p>
    <w:p w14:paraId="545F31AE">
      <w:pPr>
        <w:spacing w:before="242" w:line="304" w:lineRule="auto"/>
        <w:ind w:left="50" w:right="15" w:firstLine="406"/>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输入优质采网址：</w:t>
      </w:r>
      <w:r>
        <w:rPr>
          <w:color w:val="auto"/>
          <w:highlight w:val="none"/>
        </w:rPr>
        <w:fldChar w:fldCharType="begin"/>
      </w:r>
      <w:r>
        <w:rPr>
          <w:color w:val="auto"/>
          <w:highlight w:val="none"/>
        </w:rPr>
        <w:instrText xml:space="preserve"> HYPERLINK "http://www.youzhicai.com" </w:instrText>
      </w:r>
      <w:r>
        <w:rPr>
          <w:color w:val="auto"/>
          <w:highlight w:val="none"/>
        </w:rPr>
        <w:fldChar w:fldCharType="separate"/>
      </w:r>
      <w:r>
        <w:rPr>
          <w:rFonts w:ascii="仿宋" w:hAnsi="仿宋" w:eastAsia="仿宋" w:cs="仿宋"/>
          <w:color w:val="auto"/>
          <w:spacing w:val="-3"/>
          <w:sz w:val="28"/>
          <w:szCs w:val="28"/>
          <w:highlight w:val="none"/>
          <w14:textOutline w14:w="5103" w14:cap="sq" w14:cmpd="sng">
            <w14:solidFill>
              <w14:srgbClr w14:val="000000"/>
            </w14:solidFill>
            <w14:prstDash w14:val="solid"/>
            <w14:bevel/>
          </w14:textOutline>
        </w:rPr>
        <w:t>www.youzhicai.com</w:t>
      </w:r>
      <w:r>
        <w:rPr>
          <w:rFonts w:ascii="仿宋" w:hAnsi="仿宋" w:eastAsia="仿宋" w:cs="仿宋"/>
          <w:color w:val="auto"/>
          <w:spacing w:val="-3"/>
          <w:sz w:val="28"/>
          <w:szCs w:val="28"/>
          <w:highlight w:val="none"/>
          <w14:textOutline w14:w="5103" w14:cap="sq" w14:cmpd="sng">
            <w14:solidFill>
              <w14:srgbClr w14:val="000000"/>
            </w14:solidFill>
            <w14:prstDash w14:val="solid"/>
            <w14:bevel/>
          </w14:textOutline>
        </w:rPr>
        <w:fldChar w:fldCharType="end"/>
      </w:r>
      <w:r>
        <w:rPr>
          <w:rFonts w:ascii="仿宋" w:hAnsi="仿宋" w:eastAsia="仿宋" w:cs="仿宋"/>
          <w:color w:val="auto"/>
          <w:spacing w:val="-3"/>
          <w:sz w:val="28"/>
          <w:szCs w:val="28"/>
          <w:highlight w:val="none"/>
          <w14:textOutline w14:w="5103" w14:cap="sq" w14:cmpd="sng">
            <w14:solidFill>
              <w14:srgbClr w14:val="000000"/>
            </w14:solidFill>
            <w14:prstDash w14:val="solid"/>
            <w14:bevel/>
          </w14:textOutline>
        </w:rPr>
        <w:t>，</w:t>
      </w:r>
      <w:r>
        <w:rPr>
          <w:rFonts w:ascii="仿宋" w:hAnsi="仿宋" w:eastAsia="仿宋" w:cs="仿宋"/>
          <w:color w:val="auto"/>
          <w:spacing w:val="-3"/>
          <w:sz w:val="28"/>
          <w:szCs w:val="28"/>
          <w:highlight w:val="none"/>
        </w:rPr>
        <w:t>点击</w:t>
      </w:r>
      <w:r>
        <w:rPr>
          <w:rFonts w:ascii="仿宋" w:hAnsi="仿宋" w:eastAsia="仿宋" w:cs="仿宋"/>
          <w:color w:val="auto"/>
          <w:spacing w:val="-4"/>
          <w:sz w:val="28"/>
          <w:szCs w:val="28"/>
          <w:highlight w:val="none"/>
        </w:rPr>
        <w:t>【登录】进入【用户</w:t>
      </w:r>
      <w:r>
        <w:rPr>
          <w:rFonts w:ascii="仿宋" w:hAnsi="仿宋" w:eastAsia="仿宋" w:cs="仿宋"/>
          <w:color w:val="auto"/>
          <w:sz w:val="28"/>
          <w:szCs w:val="28"/>
          <w:highlight w:val="none"/>
        </w:rPr>
        <w:t xml:space="preserve"> </w:t>
      </w:r>
      <w:r>
        <w:rPr>
          <w:rFonts w:ascii="仿宋" w:hAnsi="仿宋" w:eastAsia="仿宋" w:cs="仿宋"/>
          <w:color w:val="auto"/>
          <w:spacing w:val="-1"/>
          <w:sz w:val="28"/>
          <w:szCs w:val="28"/>
          <w:highlight w:val="none"/>
        </w:rPr>
        <w:t>管理平台】，找到需要提出异议的项目，并点</w:t>
      </w:r>
      <w:r>
        <w:rPr>
          <w:rFonts w:ascii="仿宋" w:hAnsi="仿宋" w:eastAsia="仿宋" w:cs="仿宋"/>
          <w:color w:val="auto"/>
          <w:spacing w:val="-2"/>
          <w:sz w:val="28"/>
          <w:szCs w:val="28"/>
          <w:highlight w:val="none"/>
        </w:rPr>
        <w:t>击【进入项目】。</w:t>
      </w:r>
    </w:p>
    <w:p w14:paraId="34F31F2D">
      <w:pPr>
        <w:spacing w:line="246" w:lineRule="auto"/>
        <w:rPr>
          <w:rFonts w:ascii="Arial"/>
          <w:color w:val="auto"/>
          <w:sz w:val="21"/>
          <w:highlight w:val="none"/>
        </w:rPr>
      </w:pPr>
    </w:p>
    <w:p w14:paraId="2B0F6448">
      <w:pPr>
        <w:spacing w:line="246" w:lineRule="auto"/>
        <w:rPr>
          <w:rFonts w:ascii="Arial"/>
          <w:color w:val="auto"/>
          <w:sz w:val="21"/>
          <w:highlight w:val="none"/>
        </w:rPr>
      </w:pPr>
    </w:p>
    <w:p w14:paraId="15D80429">
      <w:pPr>
        <w:pStyle w:val="6"/>
        <w:spacing w:before="91" w:line="221" w:lineRule="auto"/>
        <w:ind w:left="30"/>
        <w:outlineLvl w:val="1"/>
        <w:rPr>
          <w:color w:val="auto"/>
          <w:sz w:val="28"/>
          <w:szCs w:val="28"/>
          <w:highlight w:val="none"/>
        </w:rPr>
      </w:pPr>
      <w:r>
        <w:rPr>
          <w:color w:val="auto"/>
          <w:spacing w:val="-2"/>
          <w:sz w:val="28"/>
          <w:szCs w:val="28"/>
          <w:highlight w:val="none"/>
          <w14:textOutline w14:w="5103" w14:cap="sq" w14:cmpd="sng">
            <w14:solidFill>
              <w14:srgbClr w14:val="000000"/>
            </w14:solidFill>
            <w14:prstDash w14:val="solid"/>
            <w14:bevel/>
          </w14:textOutline>
        </w:rPr>
        <w:t>2.网上异议</w:t>
      </w:r>
    </w:p>
    <w:p w14:paraId="6F207364">
      <w:pPr>
        <w:spacing w:before="287" w:line="359" w:lineRule="auto"/>
        <w:ind w:left="37" w:right="15" w:firstLine="420"/>
        <w:jc w:val="both"/>
        <w:rPr>
          <w:rFonts w:ascii="仿宋" w:hAnsi="仿宋" w:eastAsia="仿宋" w:cs="仿宋"/>
          <w:color w:val="auto"/>
          <w:sz w:val="28"/>
          <w:szCs w:val="28"/>
          <w:highlight w:val="none"/>
        </w:rPr>
      </w:pPr>
      <w:r>
        <w:rPr>
          <w:rFonts w:ascii="仿宋" w:hAnsi="仿宋" w:eastAsia="仿宋" w:cs="仿宋"/>
          <w:color w:val="auto"/>
          <w:spacing w:val="1"/>
          <w:sz w:val="28"/>
          <w:szCs w:val="28"/>
          <w:highlight w:val="none"/>
        </w:rPr>
        <w:t>进入项目后，点击【异议】节点，点击【提</w:t>
      </w:r>
      <w:r>
        <w:rPr>
          <w:rFonts w:ascii="仿宋" w:hAnsi="仿宋" w:eastAsia="仿宋" w:cs="仿宋"/>
          <w:color w:val="auto"/>
          <w:sz w:val="28"/>
          <w:szCs w:val="28"/>
          <w:highlight w:val="none"/>
        </w:rPr>
        <w:t xml:space="preserve">出异议】，进行内容 </w:t>
      </w:r>
      <w:r>
        <w:rPr>
          <w:rFonts w:ascii="仿宋" w:hAnsi="仿宋" w:eastAsia="仿宋" w:cs="仿宋"/>
          <w:color w:val="auto"/>
          <w:spacing w:val="-4"/>
          <w:sz w:val="28"/>
          <w:szCs w:val="28"/>
          <w:highlight w:val="none"/>
        </w:rPr>
        <w:t>填写；填写好后进行提交，稍后项目负责人会收到短信通知，提示对</w:t>
      </w:r>
    </w:p>
    <w:p w14:paraId="30DD56D8">
      <w:pPr>
        <w:spacing w:before="1" w:line="221" w:lineRule="auto"/>
        <w:ind w:left="37"/>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异议进行处理。</w:t>
      </w:r>
    </w:p>
    <w:p w14:paraId="49DBB95B">
      <w:pPr>
        <w:spacing w:before="209" w:line="223" w:lineRule="auto"/>
        <w:ind w:left="457"/>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如下图所示：</w:t>
      </w:r>
    </w:p>
    <w:p w14:paraId="4E88B1A3">
      <w:pPr>
        <w:topLinePunct/>
        <w:spacing w:line="300" w:lineRule="auto"/>
        <w:ind w:right="31" w:rightChars="15"/>
        <w:jc w:val="center"/>
        <w:outlineLvl w:val="0"/>
        <w:rPr>
          <w:rFonts w:eastAsia="黑体"/>
          <w:b/>
          <w:bCs/>
          <w:color w:val="auto"/>
          <w:sz w:val="36"/>
          <w:szCs w:val="36"/>
          <w:highlight w:val="none"/>
        </w:rPr>
      </w:pPr>
      <w:r>
        <w:rPr>
          <w:color w:val="auto"/>
          <w:position w:val="-88"/>
          <w:highlight w:val="none"/>
        </w:rPr>
        <w:drawing>
          <wp:inline distT="0" distB="0" distL="0" distR="0">
            <wp:extent cx="5274310" cy="2819400"/>
            <wp:effectExtent l="0" t="0" r="6350" b="9525"/>
            <wp:docPr id="1" name="IM 2"/>
            <wp:cNvGraphicFramePr/>
            <a:graphic xmlns:a="http://schemas.openxmlformats.org/drawingml/2006/main">
              <a:graphicData uri="http://schemas.openxmlformats.org/drawingml/2006/picture">
                <pic:pic xmlns:pic="http://schemas.openxmlformats.org/drawingml/2006/picture">
                  <pic:nvPicPr>
                    <pic:cNvPr id="1" name="IM 2"/>
                    <pic:cNvPicPr/>
                  </pic:nvPicPr>
                  <pic:blipFill>
                    <a:blip r:embed="rId107"/>
                    <a:stretch>
                      <a:fillRect/>
                    </a:stretch>
                  </pic:blipFill>
                  <pic:spPr>
                    <a:xfrm>
                      <a:off x="0" y="0"/>
                      <a:ext cx="5274563" cy="2819400"/>
                    </a:xfrm>
                    <a:prstGeom prst="rect">
                      <a:avLst/>
                    </a:prstGeom>
                  </pic:spPr>
                </pic:pic>
              </a:graphicData>
            </a:graphic>
          </wp:inline>
        </w:drawing>
      </w:r>
    </w:p>
    <w:p w14:paraId="17587F5E">
      <w:pPr>
        <w:topLinePunct/>
        <w:spacing w:line="300" w:lineRule="auto"/>
        <w:ind w:right="31" w:rightChars="15"/>
        <w:jc w:val="center"/>
        <w:outlineLvl w:val="0"/>
        <w:rPr>
          <w:rFonts w:eastAsia="黑体"/>
          <w:b/>
          <w:bCs/>
          <w:color w:val="auto"/>
          <w:sz w:val="36"/>
          <w:szCs w:val="36"/>
          <w:highlight w:val="none"/>
        </w:rPr>
      </w:pPr>
    </w:p>
    <w:p w14:paraId="76ED76AA">
      <w:pPr>
        <w:topLinePunct/>
        <w:spacing w:line="300" w:lineRule="auto"/>
        <w:ind w:right="31" w:rightChars="15"/>
        <w:jc w:val="center"/>
        <w:outlineLvl w:val="0"/>
        <w:rPr>
          <w:rFonts w:eastAsia="黑体"/>
          <w:b/>
          <w:bCs/>
          <w:color w:val="auto"/>
          <w:sz w:val="36"/>
          <w:szCs w:val="36"/>
          <w:highlight w:val="none"/>
        </w:rPr>
      </w:pPr>
    </w:p>
    <w:p w14:paraId="04C24558">
      <w:pPr>
        <w:spacing w:line="6485" w:lineRule="exact"/>
        <w:ind w:firstLine="16"/>
        <w:rPr>
          <w:color w:val="auto"/>
          <w:highlight w:val="none"/>
        </w:rPr>
      </w:pPr>
      <w:r>
        <w:rPr>
          <w:color w:val="auto"/>
          <w:position w:val="-129"/>
          <w:highlight w:val="none"/>
        </w:rPr>
        <w:drawing>
          <wp:inline distT="0" distB="0" distL="0" distR="0">
            <wp:extent cx="5371465" cy="3891915"/>
            <wp:effectExtent l="0" t="0" r="12065" b="0"/>
            <wp:docPr id="3" name="IM 4"/>
            <wp:cNvGraphicFramePr/>
            <a:graphic xmlns:a="http://schemas.openxmlformats.org/drawingml/2006/main">
              <a:graphicData uri="http://schemas.openxmlformats.org/drawingml/2006/picture">
                <pic:pic xmlns:pic="http://schemas.openxmlformats.org/drawingml/2006/picture">
                  <pic:nvPicPr>
                    <pic:cNvPr id="3" name="IM 4"/>
                    <pic:cNvPicPr/>
                  </pic:nvPicPr>
                  <pic:blipFill>
                    <a:blip r:embed="rId108"/>
                    <a:stretch>
                      <a:fillRect/>
                    </a:stretch>
                  </pic:blipFill>
                  <pic:spPr>
                    <a:xfrm>
                      <a:off x="0" y="0"/>
                      <a:ext cx="5371465" cy="3891915"/>
                    </a:xfrm>
                    <a:prstGeom prst="rect">
                      <a:avLst/>
                    </a:prstGeom>
                  </pic:spPr>
                </pic:pic>
              </a:graphicData>
            </a:graphic>
          </wp:inline>
        </w:drawing>
      </w:r>
    </w:p>
    <w:p w14:paraId="1E68A358">
      <w:pPr>
        <w:rPr>
          <w:rFonts w:ascii="Arial"/>
          <w:color w:val="auto"/>
          <w:sz w:val="21"/>
          <w:highlight w:val="none"/>
        </w:rPr>
      </w:pPr>
    </w:p>
    <w:p w14:paraId="01E63528">
      <w:pPr>
        <w:spacing w:line="241" w:lineRule="auto"/>
        <w:rPr>
          <w:rFonts w:ascii="Arial"/>
          <w:color w:val="auto"/>
          <w:sz w:val="21"/>
          <w:highlight w:val="none"/>
        </w:rPr>
      </w:pPr>
    </w:p>
    <w:p w14:paraId="36B8E5DC">
      <w:pPr>
        <w:topLinePunct/>
        <w:spacing w:line="300" w:lineRule="auto"/>
        <w:ind w:right="31" w:rightChars="15"/>
        <w:jc w:val="center"/>
        <w:outlineLvl w:val="0"/>
        <w:rPr>
          <w:rFonts w:eastAsia="黑体"/>
          <w:b/>
          <w:bCs/>
          <w:color w:val="auto"/>
          <w:sz w:val="36"/>
          <w:szCs w:val="36"/>
          <w:highlight w:val="none"/>
        </w:rPr>
      </w:pPr>
      <w:r>
        <w:rPr>
          <w:color w:val="auto"/>
          <w:position w:val="-99"/>
          <w:highlight w:val="none"/>
        </w:rPr>
        <w:drawing>
          <wp:inline distT="0" distB="0" distL="0" distR="0">
            <wp:extent cx="5288280" cy="2945130"/>
            <wp:effectExtent l="0" t="0" r="9525" b="3810"/>
            <wp:docPr id="5" name="IM 6"/>
            <wp:cNvGraphicFramePr/>
            <a:graphic xmlns:a="http://schemas.openxmlformats.org/drawingml/2006/main">
              <a:graphicData uri="http://schemas.openxmlformats.org/drawingml/2006/picture">
                <pic:pic xmlns:pic="http://schemas.openxmlformats.org/drawingml/2006/picture">
                  <pic:nvPicPr>
                    <pic:cNvPr id="5" name="IM 6"/>
                    <pic:cNvPicPr/>
                  </pic:nvPicPr>
                  <pic:blipFill>
                    <a:blip r:embed="rId109"/>
                    <a:stretch>
                      <a:fillRect/>
                    </a:stretch>
                  </pic:blipFill>
                  <pic:spPr>
                    <a:xfrm>
                      <a:off x="0" y="0"/>
                      <a:ext cx="5288280" cy="2945130"/>
                    </a:xfrm>
                    <a:prstGeom prst="rect">
                      <a:avLst/>
                    </a:prstGeom>
                  </pic:spPr>
                </pic:pic>
              </a:graphicData>
            </a:graphic>
          </wp:inline>
        </w:drawing>
      </w:r>
    </w:p>
    <w:p w14:paraId="6D9B8944">
      <w:pPr>
        <w:topLinePunct/>
        <w:spacing w:line="300" w:lineRule="auto"/>
        <w:ind w:right="31" w:rightChars="15"/>
        <w:jc w:val="center"/>
        <w:outlineLvl w:val="0"/>
        <w:rPr>
          <w:rFonts w:eastAsia="黑体"/>
          <w:b/>
          <w:bCs/>
          <w:color w:val="auto"/>
          <w:sz w:val="36"/>
          <w:szCs w:val="36"/>
          <w:highlight w:val="none"/>
        </w:rPr>
      </w:pPr>
    </w:p>
    <w:p w14:paraId="7E5F7FE3">
      <w:pPr>
        <w:topLinePunct/>
        <w:spacing w:line="300" w:lineRule="auto"/>
        <w:ind w:right="31" w:rightChars="15"/>
        <w:jc w:val="both"/>
        <w:outlineLvl w:val="0"/>
        <w:rPr>
          <w:rFonts w:eastAsia="黑体"/>
          <w:b/>
          <w:bCs/>
          <w:color w:val="auto"/>
          <w:sz w:val="36"/>
          <w:szCs w:val="36"/>
          <w:highlight w:val="none"/>
        </w:rPr>
      </w:pPr>
    </w:p>
    <w:p w14:paraId="49E1F999">
      <w:pPr>
        <w:pStyle w:val="6"/>
        <w:keepNext w:val="0"/>
        <w:keepLines w:val="0"/>
        <w:pageBreakBefore w:val="0"/>
        <w:widowControl/>
        <w:kinsoku w:val="0"/>
        <w:wordWrap/>
        <w:overflowPunct/>
        <w:topLinePunct w:val="0"/>
        <w:autoSpaceDE w:val="0"/>
        <w:autoSpaceDN w:val="0"/>
        <w:bidi w:val="0"/>
        <w:snapToGrid w:val="0"/>
        <w:spacing w:line="248" w:lineRule="auto"/>
        <w:ind w:right="0"/>
        <w:textAlignment w:val="baseline"/>
        <w:rPr>
          <w:color w:val="auto"/>
          <w:highlight w:val="none"/>
        </w:rPr>
      </w:pPr>
    </w:p>
    <w:p w14:paraId="26F8F6F3">
      <w:pPr>
        <w:spacing w:line="245" w:lineRule="auto"/>
        <w:rPr>
          <w:rFonts w:ascii="Arial"/>
          <w:color w:val="auto"/>
          <w:spacing w:val="0"/>
          <w:w w:val="100"/>
          <w:position w:val="0"/>
          <w:sz w:val="21"/>
          <w:highlight w:val="none"/>
        </w:rPr>
      </w:pPr>
    </w:p>
    <w:p w14:paraId="2366DBF2">
      <w:pPr>
        <w:spacing w:line="245" w:lineRule="auto"/>
        <w:rPr>
          <w:rFonts w:ascii="Arial"/>
          <w:color w:val="auto"/>
          <w:spacing w:val="0"/>
          <w:w w:val="100"/>
          <w:position w:val="0"/>
          <w:sz w:val="21"/>
          <w:highlight w:val="none"/>
        </w:rPr>
      </w:pPr>
    </w:p>
    <w:p w14:paraId="3CDDD883">
      <w:pPr>
        <w:spacing w:line="245" w:lineRule="auto"/>
        <w:rPr>
          <w:rFonts w:ascii="Arial"/>
          <w:color w:val="auto"/>
          <w:spacing w:val="0"/>
          <w:w w:val="100"/>
          <w:position w:val="0"/>
          <w:sz w:val="21"/>
          <w:highlight w:val="none"/>
        </w:rPr>
      </w:pPr>
    </w:p>
    <w:p w14:paraId="3B96F58F">
      <w:pPr>
        <w:spacing w:line="245" w:lineRule="auto"/>
        <w:rPr>
          <w:rFonts w:ascii="Arial"/>
          <w:color w:val="auto"/>
          <w:spacing w:val="0"/>
          <w:w w:val="100"/>
          <w:position w:val="0"/>
          <w:sz w:val="21"/>
          <w:highlight w:val="none"/>
        </w:rPr>
      </w:pPr>
    </w:p>
    <w:p w14:paraId="7C161868">
      <w:pPr>
        <w:spacing w:line="245" w:lineRule="auto"/>
        <w:rPr>
          <w:rFonts w:ascii="Arial"/>
          <w:color w:val="auto"/>
          <w:spacing w:val="0"/>
          <w:w w:val="100"/>
          <w:position w:val="0"/>
          <w:sz w:val="21"/>
          <w:highlight w:val="none"/>
        </w:rPr>
      </w:pPr>
    </w:p>
    <w:p w14:paraId="29B185BF">
      <w:pPr>
        <w:spacing w:line="245" w:lineRule="auto"/>
        <w:rPr>
          <w:rFonts w:ascii="Arial"/>
          <w:color w:val="auto"/>
          <w:spacing w:val="0"/>
          <w:w w:val="100"/>
          <w:position w:val="0"/>
          <w:sz w:val="21"/>
          <w:highlight w:val="none"/>
        </w:rPr>
      </w:pPr>
    </w:p>
    <w:p w14:paraId="4166B293">
      <w:pPr>
        <w:spacing w:line="245" w:lineRule="auto"/>
        <w:rPr>
          <w:rFonts w:ascii="Arial"/>
          <w:color w:val="auto"/>
          <w:spacing w:val="0"/>
          <w:w w:val="100"/>
          <w:position w:val="0"/>
          <w:sz w:val="21"/>
          <w:highlight w:val="none"/>
        </w:rPr>
      </w:pPr>
    </w:p>
    <w:p w14:paraId="478CF527">
      <w:pPr>
        <w:spacing w:line="245" w:lineRule="auto"/>
        <w:rPr>
          <w:rFonts w:ascii="Arial"/>
          <w:color w:val="auto"/>
          <w:spacing w:val="0"/>
          <w:w w:val="100"/>
          <w:position w:val="0"/>
          <w:sz w:val="21"/>
          <w:highlight w:val="none"/>
        </w:rPr>
      </w:pPr>
    </w:p>
    <w:p w14:paraId="44D30AA6">
      <w:pPr>
        <w:spacing w:line="245" w:lineRule="auto"/>
        <w:rPr>
          <w:rFonts w:ascii="Arial"/>
          <w:color w:val="auto"/>
          <w:spacing w:val="0"/>
          <w:w w:val="100"/>
          <w:position w:val="0"/>
          <w:sz w:val="21"/>
          <w:highlight w:val="none"/>
        </w:rPr>
      </w:pPr>
    </w:p>
    <w:p w14:paraId="79629628">
      <w:pPr>
        <w:spacing w:line="245" w:lineRule="auto"/>
        <w:rPr>
          <w:rFonts w:ascii="Arial"/>
          <w:color w:val="auto"/>
          <w:spacing w:val="0"/>
          <w:w w:val="100"/>
          <w:position w:val="0"/>
          <w:sz w:val="21"/>
          <w:highlight w:val="none"/>
        </w:rPr>
      </w:pPr>
    </w:p>
    <w:p w14:paraId="1BA956E5">
      <w:pPr>
        <w:spacing w:line="245" w:lineRule="auto"/>
        <w:rPr>
          <w:rFonts w:ascii="Arial"/>
          <w:color w:val="auto"/>
          <w:spacing w:val="0"/>
          <w:w w:val="100"/>
          <w:position w:val="0"/>
          <w:sz w:val="21"/>
          <w:highlight w:val="none"/>
        </w:rPr>
      </w:pPr>
    </w:p>
    <w:p w14:paraId="2332DF64">
      <w:pPr>
        <w:spacing w:line="245" w:lineRule="auto"/>
        <w:rPr>
          <w:rFonts w:ascii="Arial"/>
          <w:color w:val="auto"/>
          <w:spacing w:val="0"/>
          <w:w w:val="100"/>
          <w:position w:val="0"/>
          <w:sz w:val="21"/>
          <w:highlight w:val="none"/>
        </w:rPr>
      </w:pPr>
    </w:p>
    <w:p w14:paraId="096BC846">
      <w:pPr>
        <w:spacing w:line="245" w:lineRule="auto"/>
        <w:rPr>
          <w:rFonts w:ascii="Arial"/>
          <w:color w:val="auto"/>
          <w:spacing w:val="0"/>
          <w:w w:val="100"/>
          <w:position w:val="0"/>
          <w:sz w:val="21"/>
          <w:highlight w:val="none"/>
        </w:rPr>
      </w:pPr>
    </w:p>
    <w:p w14:paraId="50A4E3FC">
      <w:pPr>
        <w:spacing w:line="245" w:lineRule="auto"/>
        <w:rPr>
          <w:rFonts w:ascii="Arial"/>
          <w:color w:val="auto"/>
          <w:spacing w:val="0"/>
          <w:w w:val="100"/>
          <w:position w:val="0"/>
          <w:sz w:val="21"/>
          <w:highlight w:val="none"/>
        </w:rPr>
      </w:pPr>
    </w:p>
    <w:p w14:paraId="52FD1CEA">
      <w:pPr>
        <w:spacing w:line="245" w:lineRule="auto"/>
        <w:rPr>
          <w:rFonts w:ascii="Arial"/>
          <w:color w:val="auto"/>
          <w:spacing w:val="0"/>
          <w:w w:val="100"/>
          <w:position w:val="0"/>
          <w:sz w:val="21"/>
          <w:highlight w:val="none"/>
        </w:rPr>
      </w:pPr>
    </w:p>
    <w:p w14:paraId="6E86B872">
      <w:pPr>
        <w:spacing w:line="245" w:lineRule="auto"/>
        <w:rPr>
          <w:rFonts w:ascii="Arial"/>
          <w:color w:val="auto"/>
          <w:spacing w:val="0"/>
          <w:w w:val="100"/>
          <w:position w:val="0"/>
          <w:sz w:val="21"/>
          <w:highlight w:val="none"/>
        </w:rPr>
      </w:pPr>
    </w:p>
    <w:p w14:paraId="7E464CF2">
      <w:pPr>
        <w:spacing w:line="245" w:lineRule="auto"/>
        <w:rPr>
          <w:rFonts w:ascii="Arial"/>
          <w:color w:val="auto"/>
          <w:spacing w:val="0"/>
          <w:w w:val="100"/>
          <w:position w:val="0"/>
          <w:sz w:val="21"/>
          <w:highlight w:val="none"/>
        </w:rPr>
      </w:pPr>
    </w:p>
    <w:p w14:paraId="0BE0E80A">
      <w:pPr>
        <w:spacing w:line="245" w:lineRule="auto"/>
        <w:rPr>
          <w:rFonts w:ascii="Arial"/>
          <w:color w:val="auto"/>
          <w:spacing w:val="0"/>
          <w:w w:val="100"/>
          <w:position w:val="0"/>
          <w:sz w:val="21"/>
          <w:highlight w:val="none"/>
        </w:rPr>
      </w:pPr>
    </w:p>
    <w:p w14:paraId="71EC6988">
      <w:pPr>
        <w:spacing w:line="245" w:lineRule="auto"/>
        <w:rPr>
          <w:rFonts w:ascii="Arial"/>
          <w:color w:val="auto"/>
          <w:spacing w:val="0"/>
          <w:w w:val="100"/>
          <w:position w:val="0"/>
          <w:sz w:val="21"/>
          <w:highlight w:val="none"/>
        </w:rPr>
      </w:pPr>
    </w:p>
    <w:p w14:paraId="44CA84B5">
      <w:pPr>
        <w:spacing w:line="245" w:lineRule="auto"/>
        <w:rPr>
          <w:rFonts w:ascii="Arial"/>
          <w:color w:val="auto"/>
          <w:spacing w:val="0"/>
          <w:w w:val="100"/>
          <w:position w:val="0"/>
          <w:sz w:val="21"/>
          <w:highlight w:val="none"/>
        </w:rPr>
      </w:pPr>
    </w:p>
    <w:p w14:paraId="12279370">
      <w:pPr>
        <w:pStyle w:val="6"/>
        <w:spacing w:before="169" w:line="218" w:lineRule="auto"/>
        <w:ind w:left="1861"/>
        <w:outlineLvl w:val="0"/>
        <w:rPr>
          <w:color w:val="auto"/>
          <w:spacing w:val="0"/>
          <w:w w:val="100"/>
          <w:position w:val="0"/>
          <w:sz w:val="52"/>
          <w:szCs w:val="52"/>
          <w:highlight w:val="none"/>
        </w:rPr>
      </w:pPr>
      <w:bookmarkStart w:id="4" w:name="bookmark11"/>
      <w:bookmarkEnd w:id="4"/>
      <w:r>
        <w:rPr>
          <w:color w:val="auto"/>
          <w:spacing w:val="0"/>
          <w:w w:val="100"/>
          <w:position w:val="0"/>
          <w:sz w:val="52"/>
          <w:szCs w:val="52"/>
          <w:highlight w:val="none"/>
        </w:rPr>
        <w:t>第二章  投标人须知</w:t>
      </w:r>
    </w:p>
    <w:p w14:paraId="4A7F34DD">
      <w:pPr>
        <w:spacing w:line="218" w:lineRule="auto"/>
        <w:rPr>
          <w:color w:val="auto"/>
          <w:spacing w:val="0"/>
          <w:w w:val="100"/>
          <w:position w:val="0"/>
          <w:sz w:val="52"/>
          <w:szCs w:val="52"/>
          <w:highlight w:val="none"/>
        </w:rPr>
        <w:sectPr>
          <w:footerReference r:id="rId9" w:type="default"/>
          <w:pgSz w:w="11900" w:h="16843"/>
          <w:pgMar w:top="1378" w:right="1417" w:bottom="1208" w:left="1417" w:header="1366" w:footer="1003" w:gutter="0"/>
          <w:pgNumType w:fmt="decimal"/>
          <w:cols w:space="0" w:num="1"/>
          <w:rtlGutter w:val="0"/>
          <w:docGrid w:linePitch="0" w:charSpace="0"/>
        </w:sectPr>
      </w:pPr>
    </w:p>
    <w:p w14:paraId="2FC6ED12">
      <w:pPr>
        <w:pStyle w:val="6"/>
        <w:spacing w:before="118" w:line="218" w:lineRule="auto"/>
        <w:ind w:left="2568"/>
        <w:rPr>
          <w:color w:val="auto"/>
          <w:spacing w:val="0"/>
          <w:w w:val="100"/>
          <w:position w:val="0"/>
          <w:sz w:val="36"/>
          <w:szCs w:val="36"/>
          <w:highlight w:val="none"/>
        </w:rPr>
      </w:pPr>
      <w:bookmarkStart w:id="5" w:name="bookmark12"/>
      <w:bookmarkEnd w:id="5"/>
      <w:bookmarkStart w:id="6" w:name="bookmark2"/>
      <w:bookmarkEnd w:id="6"/>
      <w:r>
        <w:rPr>
          <w:b/>
          <w:bCs/>
          <w:color w:val="auto"/>
          <w:spacing w:val="0"/>
          <w:w w:val="100"/>
          <w:position w:val="0"/>
          <w:sz w:val="36"/>
          <w:szCs w:val="36"/>
          <w:highlight w:val="none"/>
        </w:rPr>
        <w:t>第二章</w:t>
      </w:r>
      <w:r>
        <w:rPr>
          <w:color w:val="auto"/>
          <w:spacing w:val="0"/>
          <w:w w:val="100"/>
          <w:position w:val="0"/>
          <w:sz w:val="36"/>
          <w:szCs w:val="36"/>
          <w:highlight w:val="none"/>
        </w:rPr>
        <w:t xml:space="preserve">  </w:t>
      </w:r>
      <w:r>
        <w:rPr>
          <w:b/>
          <w:bCs/>
          <w:color w:val="auto"/>
          <w:spacing w:val="0"/>
          <w:w w:val="100"/>
          <w:position w:val="0"/>
          <w:sz w:val="36"/>
          <w:szCs w:val="36"/>
          <w:highlight w:val="none"/>
        </w:rPr>
        <w:t>投标人须知</w:t>
      </w:r>
    </w:p>
    <w:p w14:paraId="033EB84A">
      <w:pPr>
        <w:pStyle w:val="6"/>
        <w:spacing w:before="148" w:line="219" w:lineRule="auto"/>
        <w:ind w:left="3066"/>
        <w:outlineLvl w:val="1"/>
        <w:rPr>
          <w:color w:val="auto"/>
          <w:spacing w:val="0"/>
          <w:w w:val="100"/>
          <w:position w:val="0"/>
          <w:sz w:val="28"/>
          <w:szCs w:val="28"/>
          <w:highlight w:val="none"/>
        </w:rPr>
      </w:pPr>
      <w:r>
        <w:rPr>
          <w:b/>
          <w:bCs/>
          <w:color w:val="auto"/>
          <w:spacing w:val="0"/>
          <w:w w:val="100"/>
          <w:position w:val="0"/>
          <w:sz w:val="28"/>
          <w:szCs w:val="28"/>
          <w:highlight w:val="none"/>
        </w:rPr>
        <w:t>投标人须知前附表</w:t>
      </w:r>
    </w:p>
    <w:p w14:paraId="7CF637DA">
      <w:pPr>
        <w:spacing w:before="71"/>
        <w:rPr>
          <w:color w:val="auto"/>
          <w:spacing w:val="0"/>
          <w:w w:val="100"/>
          <w:position w:val="0"/>
          <w:highlight w:val="none"/>
        </w:rPr>
      </w:pPr>
    </w:p>
    <w:tbl>
      <w:tblPr>
        <w:tblStyle w:val="18"/>
        <w:tblW w:w="9224" w:type="dxa"/>
        <w:tblInd w:w="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2"/>
        <w:gridCol w:w="2593"/>
        <w:gridCol w:w="1"/>
        <w:gridCol w:w="5628"/>
      </w:tblGrid>
      <w:tr w14:paraId="420FE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blHeader/>
        </w:trPr>
        <w:tc>
          <w:tcPr>
            <w:tcW w:w="1002" w:type="dxa"/>
            <w:vAlign w:val="top"/>
          </w:tcPr>
          <w:p w14:paraId="0667B55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145" w:right="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highlight w:val="none"/>
              </w:rPr>
              <w:t>条款号</w:t>
            </w:r>
          </w:p>
        </w:tc>
        <w:tc>
          <w:tcPr>
            <w:tcW w:w="2594" w:type="dxa"/>
            <w:gridSpan w:val="2"/>
            <w:vAlign w:val="top"/>
          </w:tcPr>
          <w:p w14:paraId="59BC4560">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61" w:right="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highlight w:val="none"/>
              </w:rPr>
              <w:t>条</w:t>
            </w:r>
            <w:r>
              <w:rPr>
                <w:rFonts w:hint="eastAsia" w:ascii="宋体" w:hAnsi="宋体" w:eastAsia="宋体" w:cs="宋体"/>
                <w:color w:val="auto"/>
                <w:spacing w:val="0"/>
                <w:w w:val="100"/>
                <w:position w:val="0"/>
                <w:sz w:val="24"/>
                <w:szCs w:val="24"/>
                <w:highlight w:val="none"/>
              </w:rPr>
              <w:t xml:space="preserve"> </w:t>
            </w:r>
            <w:r>
              <w:rPr>
                <w:rFonts w:hint="eastAsia" w:ascii="宋体" w:hAnsi="宋体" w:eastAsia="宋体" w:cs="宋体"/>
                <w:b/>
                <w:bCs/>
                <w:color w:val="auto"/>
                <w:spacing w:val="0"/>
                <w:w w:val="100"/>
                <w:position w:val="0"/>
                <w:sz w:val="24"/>
                <w:szCs w:val="24"/>
                <w:highlight w:val="none"/>
              </w:rPr>
              <w:t>款</w:t>
            </w:r>
            <w:r>
              <w:rPr>
                <w:rFonts w:hint="eastAsia" w:ascii="宋体" w:hAnsi="宋体" w:eastAsia="宋体" w:cs="宋体"/>
                <w:color w:val="auto"/>
                <w:spacing w:val="0"/>
                <w:w w:val="100"/>
                <w:position w:val="0"/>
                <w:sz w:val="24"/>
                <w:szCs w:val="24"/>
                <w:highlight w:val="none"/>
              </w:rPr>
              <w:t xml:space="preserve"> </w:t>
            </w:r>
            <w:r>
              <w:rPr>
                <w:rFonts w:hint="eastAsia" w:ascii="宋体" w:hAnsi="宋体" w:eastAsia="宋体" w:cs="宋体"/>
                <w:b/>
                <w:bCs/>
                <w:color w:val="auto"/>
                <w:spacing w:val="0"/>
                <w:w w:val="100"/>
                <w:position w:val="0"/>
                <w:sz w:val="24"/>
                <w:szCs w:val="24"/>
                <w:highlight w:val="none"/>
              </w:rPr>
              <w:t>名</w:t>
            </w:r>
            <w:r>
              <w:rPr>
                <w:rFonts w:hint="eastAsia" w:ascii="宋体" w:hAnsi="宋体" w:eastAsia="宋体" w:cs="宋体"/>
                <w:color w:val="auto"/>
                <w:spacing w:val="0"/>
                <w:w w:val="100"/>
                <w:position w:val="0"/>
                <w:sz w:val="24"/>
                <w:szCs w:val="24"/>
                <w:highlight w:val="none"/>
              </w:rPr>
              <w:t xml:space="preserve"> </w:t>
            </w:r>
            <w:r>
              <w:rPr>
                <w:rFonts w:hint="eastAsia" w:ascii="宋体" w:hAnsi="宋体" w:eastAsia="宋体" w:cs="宋体"/>
                <w:b/>
                <w:bCs/>
                <w:color w:val="auto"/>
                <w:spacing w:val="0"/>
                <w:w w:val="100"/>
                <w:position w:val="0"/>
                <w:sz w:val="24"/>
                <w:szCs w:val="24"/>
                <w:highlight w:val="none"/>
              </w:rPr>
              <w:t>称</w:t>
            </w:r>
          </w:p>
        </w:tc>
        <w:tc>
          <w:tcPr>
            <w:tcW w:w="5628" w:type="dxa"/>
            <w:vAlign w:val="top"/>
          </w:tcPr>
          <w:p w14:paraId="378C9665">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1750" w:right="0"/>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highlight w:val="none"/>
              </w:rPr>
              <w:t>编</w:t>
            </w:r>
            <w:r>
              <w:rPr>
                <w:rFonts w:hint="eastAsia" w:ascii="宋体" w:hAnsi="宋体" w:eastAsia="宋体" w:cs="宋体"/>
                <w:color w:val="auto"/>
                <w:spacing w:val="0"/>
                <w:w w:val="100"/>
                <w:position w:val="0"/>
                <w:sz w:val="24"/>
                <w:szCs w:val="24"/>
                <w:highlight w:val="none"/>
              </w:rPr>
              <w:t xml:space="preserve"> </w:t>
            </w:r>
            <w:r>
              <w:rPr>
                <w:rFonts w:hint="eastAsia" w:ascii="宋体" w:hAnsi="宋体" w:eastAsia="宋体" w:cs="宋体"/>
                <w:b/>
                <w:bCs/>
                <w:color w:val="auto"/>
                <w:spacing w:val="0"/>
                <w:w w:val="100"/>
                <w:position w:val="0"/>
                <w:sz w:val="24"/>
                <w:szCs w:val="24"/>
                <w:highlight w:val="none"/>
              </w:rPr>
              <w:t>列</w:t>
            </w:r>
            <w:r>
              <w:rPr>
                <w:rFonts w:hint="eastAsia" w:ascii="宋体" w:hAnsi="宋体" w:eastAsia="宋体" w:cs="宋体"/>
                <w:color w:val="auto"/>
                <w:spacing w:val="0"/>
                <w:w w:val="100"/>
                <w:position w:val="0"/>
                <w:sz w:val="24"/>
                <w:szCs w:val="24"/>
                <w:highlight w:val="none"/>
              </w:rPr>
              <w:t xml:space="preserve"> </w:t>
            </w:r>
            <w:r>
              <w:rPr>
                <w:rFonts w:hint="eastAsia" w:ascii="宋体" w:hAnsi="宋体" w:eastAsia="宋体" w:cs="宋体"/>
                <w:b/>
                <w:bCs/>
                <w:color w:val="auto"/>
                <w:spacing w:val="0"/>
                <w:w w:val="100"/>
                <w:position w:val="0"/>
                <w:sz w:val="24"/>
                <w:szCs w:val="24"/>
                <w:highlight w:val="none"/>
              </w:rPr>
              <w:t>内</w:t>
            </w:r>
            <w:r>
              <w:rPr>
                <w:rFonts w:hint="eastAsia" w:ascii="宋体" w:hAnsi="宋体" w:eastAsia="宋体" w:cs="宋体"/>
                <w:color w:val="auto"/>
                <w:spacing w:val="0"/>
                <w:w w:val="100"/>
                <w:position w:val="0"/>
                <w:sz w:val="24"/>
                <w:szCs w:val="24"/>
                <w:highlight w:val="none"/>
              </w:rPr>
              <w:t xml:space="preserve"> </w:t>
            </w:r>
            <w:r>
              <w:rPr>
                <w:rFonts w:hint="eastAsia" w:ascii="宋体" w:hAnsi="宋体" w:eastAsia="宋体" w:cs="宋体"/>
                <w:b/>
                <w:bCs/>
                <w:color w:val="auto"/>
                <w:spacing w:val="0"/>
                <w:w w:val="100"/>
                <w:position w:val="0"/>
                <w:sz w:val="24"/>
                <w:szCs w:val="24"/>
                <w:highlight w:val="none"/>
              </w:rPr>
              <w:t>容</w:t>
            </w:r>
          </w:p>
        </w:tc>
      </w:tr>
      <w:tr w14:paraId="53A2F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02" w:type="dxa"/>
            <w:vAlign w:val="center"/>
          </w:tcPr>
          <w:p w14:paraId="3231C7F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1.1.2</w:t>
            </w:r>
          </w:p>
        </w:tc>
        <w:tc>
          <w:tcPr>
            <w:tcW w:w="2594" w:type="dxa"/>
            <w:gridSpan w:val="2"/>
            <w:vAlign w:val="center"/>
          </w:tcPr>
          <w:p w14:paraId="5A28B0D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招标人</w:t>
            </w:r>
          </w:p>
        </w:tc>
        <w:tc>
          <w:tcPr>
            <w:tcW w:w="5628" w:type="dxa"/>
            <w:vAlign w:val="top"/>
          </w:tcPr>
          <w:p w14:paraId="6805B59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8"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见招标公告</w:t>
            </w:r>
          </w:p>
        </w:tc>
      </w:tr>
      <w:tr w14:paraId="41ABE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Align w:val="center"/>
          </w:tcPr>
          <w:p w14:paraId="21CC230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1.1.3</w:t>
            </w:r>
          </w:p>
        </w:tc>
        <w:tc>
          <w:tcPr>
            <w:tcW w:w="2594" w:type="dxa"/>
            <w:gridSpan w:val="2"/>
            <w:vAlign w:val="center"/>
          </w:tcPr>
          <w:p w14:paraId="78CB4D4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招标代理机构</w:t>
            </w:r>
          </w:p>
        </w:tc>
        <w:tc>
          <w:tcPr>
            <w:tcW w:w="5628" w:type="dxa"/>
            <w:vAlign w:val="top"/>
          </w:tcPr>
          <w:p w14:paraId="083B9A7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8"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见招标公告</w:t>
            </w:r>
          </w:p>
        </w:tc>
      </w:tr>
      <w:tr w14:paraId="3EB06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Align w:val="center"/>
          </w:tcPr>
          <w:p w14:paraId="263F6D4F">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1.1.4</w:t>
            </w:r>
          </w:p>
        </w:tc>
        <w:tc>
          <w:tcPr>
            <w:tcW w:w="2594" w:type="dxa"/>
            <w:gridSpan w:val="2"/>
            <w:vAlign w:val="center"/>
          </w:tcPr>
          <w:p w14:paraId="271F226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招标项目名称</w:t>
            </w:r>
          </w:p>
        </w:tc>
        <w:tc>
          <w:tcPr>
            <w:tcW w:w="5628" w:type="dxa"/>
            <w:vAlign w:val="top"/>
          </w:tcPr>
          <w:p w14:paraId="0C2E1FD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8"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见招标公告</w:t>
            </w:r>
          </w:p>
        </w:tc>
      </w:tr>
      <w:tr w14:paraId="6A95F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Align w:val="center"/>
          </w:tcPr>
          <w:p w14:paraId="10E559ED">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1.1.5</w:t>
            </w:r>
          </w:p>
        </w:tc>
        <w:tc>
          <w:tcPr>
            <w:tcW w:w="2594" w:type="dxa"/>
            <w:gridSpan w:val="2"/>
            <w:vAlign w:val="center"/>
          </w:tcPr>
          <w:p w14:paraId="143747E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标段建设地点</w:t>
            </w:r>
          </w:p>
        </w:tc>
        <w:tc>
          <w:tcPr>
            <w:tcW w:w="5628" w:type="dxa"/>
            <w:vAlign w:val="top"/>
          </w:tcPr>
          <w:p w14:paraId="13A245C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8"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见招标公告</w:t>
            </w:r>
          </w:p>
        </w:tc>
      </w:tr>
      <w:tr w14:paraId="4A6CA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002" w:type="dxa"/>
            <w:vAlign w:val="center"/>
          </w:tcPr>
          <w:p w14:paraId="24B8BCB5">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1.1.6</w:t>
            </w:r>
          </w:p>
        </w:tc>
        <w:tc>
          <w:tcPr>
            <w:tcW w:w="2594" w:type="dxa"/>
            <w:gridSpan w:val="2"/>
            <w:vAlign w:val="center"/>
          </w:tcPr>
          <w:p w14:paraId="4425DD6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标段建设规模</w:t>
            </w:r>
          </w:p>
        </w:tc>
        <w:tc>
          <w:tcPr>
            <w:tcW w:w="5628" w:type="dxa"/>
            <w:vAlign w:val="top"/>
          </w:tcPr>
          <w:p w14:paraId="0E915D6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8"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见招标公告</w:t>
            </w:r>
          </w:p>
        </w:tc>
      </w:tr>
      <w:tr w14:paraId="185E1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Align w:val="center"/>
          </w:tcPr>
          <w:p w14:paraId="4C34ABA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1.1.7</w:t>
            </w:r>
          </w:p>
        </w:tc>
        <w:tc>
          <w:tcPr>
            <w:tcW w:w="2594" w:type="dxa"/>
            <w:gridSpan w:val="2"/>
            <w:vAlign w:val="center"/>
          </w:tcPr>
          <w:p w14:paraId="0D40D28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标段投资估算</w:t>
            </w:r>
          </w:p>
        </w:tc>
        <w:tc>
          <w:tcPr>
            <w:tcW w:w="5628" w:type="dxa"/>
            <w:vAlign w:val="top"/>
          </w:tcPr>
          <w:p w14:paraId="35EFEA92">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8"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见招标公告</w:t>
            </w:r>
          </w:p>
        </w:tc>
      </w:tr>
      <w:tr w14:paraId="1C51E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Align w:val="center"/>
          </w:tcPr>
          <w:p w14:paraId="388B121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1.2.1</w:t>
            </w:r>
          </w:p>
        </w:tc>
        <w:tc>
          <w:tcPr>
            <w:tcW w:w="2594" w:type="dxa"/>
            <w:gridSpan w:val="2"/>
            <w:vAlign w:val="center"/>
          </w:tcPr>
          <w:p w14:paraId="3279D4D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资金来源及比例</w:t>
            </w:r>
          </w:p>
        </w:tc>
        <w:tc>
          <w:tcPr>
            <w:tcW w:w="5628" w:type="dxa"/>
            <w:vAlign w:val="top"/>
          </w:tcPr>
          <w:p w14:paraId="402A4F7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7"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单位自筹，100%</w:t>
            </w:r>
          </w:p>
        </w:tc>
      </w:tr>
      <w:tr w14:paraId="2753A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Align w:val="center"/>
          </w:tcPr>
          <w:p w14:paraId="58473435">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1.2.2</w:t>
            </w:r>
          </w:p>
        </w:tc>
        <w:tc>
          <w:tcPr>
            <w:tcW w:w="2594" w:type="dxa"/>
            <w:gridSpan w:val="2"/>
            <w:vAlign w:val="center"/>
          </w:tcPr>
          <w:p w14:paraId="7B418A7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资金落实情况</w:t>
            </w:r>
          </w:p>
        </w:tc>
        <w:tc>
          <w:tcPr>
            <w:tcW w:w="5628" w:type="dxa"/>
            <w:vAlign w:val="top"/>
          </w:tcPr>
          <w:p w14:paraId="1FA5EA0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78"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已落实</w:t>
            </w:r>
          </w:p>
        </w:tc>
      </w:tr>
      <w:tr w14:paraId="0D65F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Align w:val="center"/>
          </w:tcPr>
          <w:p w14:paraId="461A2BF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1.3.1</w:t>
            </w:r>
          </w:p>
        </w:tc>
        <w:tc>
          <w:tcPr>
            <w:tcW w:w="2594" w:type="dxa"/>
            <w:gridSpan w:val="2"/>
            <w:vAlign w:val="center"/>
          </w:tcPr>
          <w:p w14:paraId="4AEEEC4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招标范围</w:t>
            </w:r>
          </w:p>
        </w:tc>
        <w:tc>
          <w:tcPr>
            <w:tcW w:w="5628" w:type="dxa"/>
            <w:vAlign w:val="top"/>
          </w:tcPr>
          <w:p w14:paraId="1967057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8"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见第五章发包人要求。</w:t>
            </w:r>
          </w:p>
        </w:tc>
      </w:tr>
      <w:tr w14:paraId="0264E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Align w:val="center"/>
          </w:tcPr>
          <w:p w14:paraId="714E181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1.3.2</w:t>
            </w:r>
          </w:p>
        </w:tc>
        <w:tc>
          <w:tcPr>
            <w:tcW w:w="2594" w:type="dxa"/>
            <w:gridSpan w:val="2"/>
            <w:vAlign w:val="center"/>
          </w:tcPr>
          <w:p w14:paraId="3C45213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勘察设计服务期限</w:t>
            </w:r>
          </w:p>
        </w:tc>
        <w:tc>
          <w:tcPr>
            <w:tcW w:w="5628" w:type="dxa"/>
            <w:vAlign w:val="top"/>
          </w:tcPr>
          <w:p w14:paraId="2CE5FFE5">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8"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见招标公告。</w:t>
            </w:r>
          </w:p>
        </w:tc>
      </w:tr>
      <w:tr w14:paraId="55AA4D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002" w:type="dxa"/>
            <w:vAlign w:val="center"/>
          </w:tcPr>
          <w:p w14:paraId="3B9693D2">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1.3.3</w:t>
            </w:r>
          </w:p>
        </w:tc>
        <w:tc>
          <w:tcPr>
            <w:tcW w:w="2594" w:type="dxa"/>
            <w:gridSpan w:val="2"/>
            <w:vAlign w:val="center"/>
          </w:tcPr>
          <w:p w14:paraId="137620E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质量要求</w:t>
            </w:r>
          </w:p>
        </w:tc>
        <w:tc>
          <w:tcPr>
            <w:tcW w:w="5628" w:type="dxa"/>
            <w:vAlign w:val="top"/>
          </w:tcPr>
          <w:p w14:paraId="7D825BA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8" w:right="98" w:hanging="1"/>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符合国家、行业、地方技术规范要求。与招标文件发包人要求不一致的，按较高标准执行。</w:t>
            </w:r>
          </w:p>
        </w:tc>
      </w:tr>
      <w:tr w14:paraId="36ACD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Align w:val="center"/>
          </w:tcPr>
          <w:p w14:paraId="4FD33122">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1.3.4</w:t>
            </w:r>
          </w:p>
        </w:tc>
        <w:tc>
          <w:tcPr>
            <w:tcW w:w="2594" w:type="dxa"/>
            <w:gridSpan w:val="2"/>
            <w:vAlign w:val="center"/>
          </w:tcPr>
          <w:p w14:paraId="12F3697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安全目标</w:t>
            </w:r>
          </w:p>
        </w:tc>
        <w:tc>
          <w:tcPr>
            <w:tcW w:w="5628" w:type="dxa"/>
            <w:vAlign w:val="top"/>
          </w:tcPr>
          <w:p w14:paraId="1502F24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7"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无安全责任事故</w:t>
            </w:r>
            <w:r>
              <w:rPr>
                <w:rFonts w:hint="eastAsia" w:ascii="宋体" w:hAnsi="宋体" w:eastAsia="宋体" w:cs="宋体"/>
                <w:color w:val="auto"/>
                <w:spacing w:val="0"/>
                <w:w w:val="100"/>
                <w:position w:val="0"/>
                <w:highlight w:val="none"/>
              </w:rPr>
              <w:t>。</w:t>
            </w:r>
          </w:p>
        </w:tc>
      </w:tr>
      <w:tr w14:paraId="38E71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9" w:hRule="atLeast"/>
        </w:trPr>
        <w:tc>
          <w:tcPr>
            <w:tcW w:w="1002" w:type="dxa"/>
            <w:vAlign w:val="center"/>
          </w:tcPr>
          <w:p w14:paraId="45CA70B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1.4.1</w:t>
            </w:r>
          </w:p>
        </w:tc>
        <w:tc>
          <w:tcPr>
            <w:tcW w:w="2594" w:type="dxa"/>
            <w:gridSpan w:val="2"/>
            <w:vAlign w:val="center"/>
          </w:tcPr>
          <w:p w14:paraId="2A6327B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投标人资质条件、能力和信誉</w:t>
            </w:r>
          </w:p>
        </w:tc>
        <w:tc>
          <w:tcPr>
            <w:tcW w:w="5628" w:type="dxa"/>
            <w:vAlign w:val="top"/>
          </w:tcPr>
          <w:p w14:paraId="235F340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资质要求：见附录 1</w:t>
            </w:r>
          </w:p>
          <w:p w14:paraId="5CD4E0D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4"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业绩要求：见附录2</w:t>
            </w:r>
          </w:p>
          <w:p w14:paraId="2F71408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信誉要求：见附录 3</w:t>
            </w:r>
          </w:p>
          <w:p w14:paraId="5C5E01FF">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6"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项目负责人资格：见附录 4</w:t>
            </w:r>
          </w:p>
        </w:tc>
      </w:tr>
      <w:tr w14:paraId="55D06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002" w:type="dxa"/>
            <w:vAlign w:val="center"/>
          </w:tcPr>
          <w:p w14:paraId="09B6497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1.4.2</w:t>
            </w:r>
          </w:p>
        </w:tc>
        <w:tc>
          <w:tcPr>
            <w:tcW w:w="2594" w:type="dxa"/>
            <w:gridSpan w:val="2"/>
            <w:vAlign w:val="center"/>
          </w:tcPr>
          <w:p w14:paraId="19EAC84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是否接受联合体投标</w:t>
            </w:r>
          </w:p>
        </w:tc>
        <w:tc>
          <w:tcPr>
            <w:tcW w:w="5628" w:type="dxa"/>
            <w:vAlign w:val="center"/>
          </w:tcPr>
          <w:p w14:paraId="7A5236B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eastAsia" w:ascii="宋体" w:hAnsi="宋体" w:eastAsia="宋体" w:cs="宋体"/>
                <w:color w:val="auto"/>
                <w:spacing w:val="0"/>
                <w:w w:val="100"/>
                <w:position w:val="0"/>
                <w:highlight w:val="none"/>
              </w:rPr>
            </w:pPr>
            <w:r>
              <w:rPr>
                <w:rFonts w:hint="eastAsia"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接受</w:t>
            </w:r>
          </w:p>
          <w:p w14:paraId="439A5B6D">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如为联合体投标，需满足下列要求：</w:t>
            </w:r>
          </w:p>
          <w:p w14:paraId="0AC11D5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（1）联合体（牵头</w:t>
            </w:r>
            <w:r>
              <w:rPr>
                <w:rFonts w:hint="eastAsia" w:cs="宋体"/>
                <w:color w:val="auto"/>
                <w:spacing w:val="0"/>
                <w:w w:val="100"/>
                <w:position w:val="0"/>
                <w:highlight w:val="none"/>
                <w:lang w:val="en-US" w:eastAsia="zh-CN"/>
              </w:rPr>
              <w:t>人</w:t>
            </w:r>
            <w:r>
              <w:rPr>
                <w:rFonts w:hint="eastAsia" w:ascii="宋体" w:hAnsi="宋体" w:eastAsia="宋体" w:cs="宋体"/>
                <w:color w:val="auto"/>
                <w:spacing w:val="0"/>
                <w:w w:val="100"/>
                <w:position w:val="0"/>
                <w:highlight w:val="none"/>
                <w:lang w:val="en-US" w:eastAsia="zh-CN"/>
              </w:rPr>
              <w:t>和成员方）总数不得超过2家，联合体</w:t>
            </w:r>
            <w:r>
              <w:rPr>
                <w:rFonts w:hint="eastAsia" w:cs="宋体"/>
                <w:color w:val="auto"/>
                <w:spacing w:val="0"/>
                <w:w w:val="100"/>
                <w:position w:val="0"/>
                <w:highlight w:val="none"/>
                <w:lang w:val="en-US" w:eastAsia="zh-CN"/>
              </w:rPr>
              <w:t>牵头人</w:t>
            </w:r>
            <w:r>
              <w:rPr>
                <w:rFonts w:hint="eastAsia" w:ascii="宋体" w:hAnsi="宋体" w:eastAsia="宋体" w:cs="宋体"/>
                <w:color w:val="auto"/>
                <w:spacing w:val="0"/>
                <w:w w:val="100"/>
                <w:position w:val="0"/>
                <w:highlight w:val="none"/>
                <w:lang w:val="en-US" w:eastAsia="zh-CN"/>
              </w:rPr>
              <w:t>须满足3.1条</w:t>
            </w:r>
            <w:r>
              <w:rPr>
                <w:rFonts w:hint="default" w:ascii="宋体" w:hAnsi="宋体" w:eastAsia="宋体" w:cs="宋体"/>
                <w:color w:val="auto"/>
                <w:spacing w:val="0"/>
                <w:w w:val="100"/>
                <w:position w:val="0"/>
                <w:highlight w:val="none"/>
                <w:lang w:val="en-US" w:eastAsia="zh-CN"/>
              </w:rPr>
              <w:t>“</w:t>
            </w:r>
            <w:r>
              <w:rPr>
                <w:rFonts w:hint="eastAsia" w:ascii="宋体" w:hAnsi="宋体" w:eastAsia="宋体" w:cs="宋体"/>
                <w:color w:val="auto"/>
                <w:spacing w:val="0"/>
                <w:w w:val="100"/>
                <w:position w:val="0"/>
                <w:highlight w:val="none"/>
                <w:lang w:val="en-US" w:eastAsia="zh-CN"/>
              </w:rPr>
              <w:t>（2）投标人须具备设计资质</w:t>
            </w:r>
            <w:r>
              <w:rPr>
                <w:rFonts w:hint="default" w:ascii="宋体" w:hAnsi="宋体" w:eastAsia="宋体" w:cs="宋体"/>
                <w:color w:val="auto"/>
                <w:spacing w:val="0"/>
                <w:w w:val="100"/>
                <w:position w:val="0"/>
                <w:highlight w:val="none"/>
                <w:lang w:val="en-US" w:eastAsia="zh-CN"/>
              </w:rPr>
              <w:t>”</w:t>
            </w:r>
            <w:r>
              <w:rPr>
                <w:rFonts w:hint="eastAsia" w:ascii="宋体" w:hAnsi="宋体" w:eastAsia="宋体" w:cs="宋体"/>
                <w:color w:val="auto"/>
                <w:spacing w:val="0"/>
                <w:w w:val="100"/>
                <w:position w:val="0"/>
                <w:highlight w:val="none"/>
                <w:lang w:val="en-US" w:eastAsia="zh-CN"/>
              </w:rPr>
              <w:t xml:space="preserve">要求。 </w:t>
            </w:r>
          </w:p>
          <w:p w14:paraId="1594E99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（2）</w:t>
            </w:r>
            <w:r>
              <w:rPr>
                <w:rFonts w:hint="eastAsia" w:cs="宋体"/>
                <w:color w:val="auto"/>
                <w:spacing w:val="0"/>
                <w:w w:val="100"/>
                <w:position w:val="0"/>
                <w:highlight w:val="none"/>
                <w:lang w:val="en-US" w:eastAsia="zh-CN"/>
              </w:rPr>
              <w:t>招标公告第</w:t>
            </w:r>
            <w:r>
              <w:rPr>
                <w:rFonts w:hint="eastAsia" w:ascii="宋体" w:hAnsi="宋体" w:eastAsia="宋体" w:cs="宋体"/>
                <w:color w:val="auto"/>
                <w:spacing w:val="0"/>
                <w:w w:val="100"/>
                <w:position w:val="0"/>
                <w:highlight w:val="none"/>
                <w:lang w:val="en-US" w:eastAsia="zh-CN"/>
              </w:rPr>
              <w:t>3.5</w:t>
            </w:r>
            <w:r>
              <w:rPr>
                <w:rFonts w:hint="eastAsia" w:cs="宋体"/>
                <w:color w:val="auto"/>
                <w:spacing w:val="0"/>
                <w:w w:val="100"/>
                <w:position w:val="0"/>
                <w:highlight w:val="none"/>
                <w:lang w:val="en-US" w:eastAsia="zh-CN"/>
              </w:rPr>
              <w:t>条“</w:t>
            </w:r>
            <w:r>
              <w:rPr>
                <w:rFonts w:hint="eastAsia" w:ascii="宋体" w:hAnsi="宋体" w:eastAsia="宋体" w:cs="宋体"/>
                <w:color w:val="auto"/>
                <w:spacing w:val="0"/>
                <w:w w:val="100"/>
                <w:position w:val="0"/>
                <w:highlight w:val="none"/>
                <w:lang w:val="en-US" w:eastAsia="zh-CN"/>
              </w:rPr>
              <w:t>投标人信誉要求</w:t>
            </w:r>
            <w:r>
              <w:rPr>
                <w:rFonts w:hint="eastAsia" w:cs="宋体"/>
                <w:color w:val="auto"/>
                <w:spacing w:val="0"/>
                <w:w w:val="100"/>
                <w:position w:val="0"/>
                <w:highlight w:val="none"/>
                <w:lang w:val="en-US" w:eastAsia="zh-CN"/>
              </w:rPr>
              <w:t>”</w:t>
            </w:r>
            <w:r>
              <w:rPr>
                <w:rFonts w:hint="eastAsia" w:ascii="宋体" w:hAnsi="宋体" w:eastAsia="宋体" w:cs="宋体"/>
                <w:color w:val="auto"/>
                <w:spacing w:val="0"/>
                <w:w w:val="100"/>
                <w:position w:val="0"/>
                <w:highlight w:val="none"/>
                <w:lang w:val="en-US" w:eastAsia="zh-CN"/>
              </w:rPr>
              <w:t>双方均需满足。</w:t>
            </w:r>
          </w:p>
          <w:p w14:paraId="1E05861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（3）联合体各方应按招标文件提供的格式签订联合体协议书，明确联合体牵头人和各方权利义务，并在投标文件中提交联合体协议书。</w:t>
            </w:r>
          </w:p>
          <w:p w14:paraId="167E40A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eastAsia" w:ascii="宋体" w:hAnsi="宋体" w:eastAsia="宋体" w:cs="宋体"/>
                <w:color w:val="auto"/>
                <w:spacing w:val="0"/>
                <w:w w:val="100"/>
                <w:position w:val="0"/>
                <w:highlight w:val="none"/>
                <w:lang w:val="en-US" w:eastAsia="zh-CN"/>
              </w:rPr>
            </w:pPr>
            <w:r>
              <w:rPr>
                <w:rFonts w:hint="eastAsia" w:cs="宋体"/>
                <w:color w:val="auto"/>
                <w:spacing w:val="0"/>
                <w:w w:val="100"/>
                <w:position w:val="0"/>
                <w:highlight w:val="none"/>
                <w:lang w:val="en-US" w:eastAsia="zh-CN"/>
              </w:rPr>
              <w:t>（4）</w:t>
            </w:r>
            <w:r>
              <w:rPr>
                <w:rFonts w:hint="eastAsia" w:ascii="宋体" w:hAnsi="宋体" w:eastAsia="宋体" w:cs="宋体"/>
                <w:color w:val="auto"/>
                <w:spacing w:val="0"/>
                <w:w w:val="100"/>
                <w:position w:val="0"/>
                <w:highlight w:val="none"/>
                <w:lang w:val="en-US" w:eastAsia="zh-CN"/>
              </w:rPr>
              <w:t>联合体信用评价等级以联合体各方在安徽省交通运输厅或交通运输部的信用评价中信用较低的单位确定信用评价等级。</w:t>
            </w:r>
          </w:p>
          <w:p w14:paraId="6101BE3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default" w:ascii="宋体" w:hAnsi="宋体" w:eastAsia="宋体" w:cs="宋体"/>
                <w:color w:val="auto"/>
                <w:spacing w:val="0"/>
                <w:w w:val="100"/>
                <w:position w:val="0"/>
                <w:highlight w:val="none"/>
                <w:lang w:val="en-US" w:eastAsia="zh-CN"/>
              </w:rPr>
            </w:pPr>
            <w:r>
              <w:rPr>
                <w:rFonts w:hint="default" w:ascii="宋体" w:hAnsi="宋体" w:eastAsia="宋体" w:cs="宋体"/>
                <w:color w:val="auto"/>
                <w:spacing w:val="0"/>
                <w:w w:val="100"/>
                <w:position w:val="0"/>
                <w:highlight w:val="none"/>
                <w:lang w:val="en-US" w:eastAsia="zh-CN"/>
              </w:rPr>
              <w:t>（5）项目负责人、技术负责人均为联合体牵头单位员工，由联合体牵头人拟派。</w:t>
            </w:r>
          </w:p>
          <w:p w14:paraId="1E66F84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default" w:ascii="宋体" w:hAnsi="宋体" w:eastAsia="宋体" w:cs="宋体"/>
                <w:color w:val="auto"/>
                <w:spacing w:val="0"/>
                <w:w w:val="100"/>
                <w:position w:val="0"/>
                <w:highlight w:val="none"/>
                <w:lang w:val="en-US" w:eastAsia="zh-CN"/>
              </w:rPr>
            </w:pPr>
            <w:r>
              <w:rPr>
                <w:rFonts w:hint="default" w:ascii="宋体" w:hAnsi="宋体" w:eastAsia="宋体" w:cs="宋体"/>
                <w:color w:val="auto"/>
                <w:spacing w:val="0"/>
                <w:w w:val="100"/>
                <w:position w:val="0"/>
                <w:highlight w:val="none"/>
                <w:lang w:val="en-US" w:eastAsia="zh-CN"/>
              </w:rPr>
              <w:t>（6）招标文件其他已标明联合体应当满足的相关要求。</w:t>
            </w:r>
          </w:p>
        </w:tc>
      </w:tr>
      <w:tr w14:paraId="2D406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1002" w:type="dxa"/>
            <w:vAlign w:val="center"/>
          </w:tcPr>
          <w:p w14:paraId="4082E6D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1.4.3</w:t>
            </w:r>
          </w:p>
        </w:tc>
        <w:tc>
          <w:tcPr>
            <w:tcW w:w="2594" w:type="dxa"/>
            <w:gridSpan w:val="2"/>
            <w:vAlign w:val="center"/>
          </w:tcPr>
          <w:p w14:paraId="79E35DB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投标人不得存在的其他关联情形</w:t>
            </w:r>
          </w:p>
        </w:tc>
        <w:tc>
          <w:tcPr>
            <w:tcW w:w="5628" w:type="dxa"/>
            <w:vAlign w:val="center"/>
          </w:tcPr>
          <w:p w14:paraId="7FAA05B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47" w:right="0"/>
              <w:jc w:val="both"/>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w:t>
            </w:r>
          </w:p>
        </w:tc>
      </w:tr>
      <w:tr w14:paraId="07E84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5" w:hRule="atLeast"/>
        </w:trPr>
        <w:tc>
          <w:tcPr>
            <w:tcW w:w="1002" w:type="dxa"/>
            <w:vAlign w:val="center"/>
          </w:tcPr>
          <w:p w14:paraId="75F02E2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1.4.4</w:t>
            </w:r>
          </w:p>
        </w:tc>
        <w:tc>
          <w:tcPr>
            <w:tcW w:w="2594" w:type="dxa"/>
            <w:gridSpan w:val="2"/>
            <w:vAlign w:val="center"/>
          </w:tcPr>
          <w:p w14:paraId="746CD8A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14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投标人不得存在的其他不良状况或不良信用记录</w:t>
            </w:r>
          </w:p>
        </w:tc>
        <w:tc>
          <w:tcPr>
            <w:tcW w:w="5628" w:type="dxa"/>
            <w:vAlign w:val="top"/>
          </w:tcPr>
          <w:p w14:paraId="0F91711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7" w:right="57" w:firstLine="11"/>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1.投标人被安徽省交通运输部门限制在项目所在地行政区域内承接新的工程项目且在限制期内。</w:t>
            </w:r>
          </w:p>
          <w:p w14:paraId="4DA442A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7" w:right="57" w:firstLine="11"/>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2.投标人被项目所在地交通运输部门限制在项目所在地行政区域内承接新的工程项目且在限制期内。</w:t>
            </w:r>
          </w:p>
        </w:tc>
      </w:tr>
      <w:tr w14:paraId="6FDC38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002" w:type="dxa"/>
            <w:vAlign w:val="center"/>
          </w:tcPr>
          <w:p w14:paraId="0FDD7C8D">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1.10.1</w:t>
            </w:r>
          </w:p>
        </w:tc>
        <w:tc>
          <w:tcPr>
            <w:tcW w:w="2594" w:type="dxa"/>
            <w:gridSpan w:val="2"/>
            <w:vAlign w:val="center"/>
          </w:tcPr>
          <w:p w14:paraId="7D53B23F">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投标预备会</w:t>
            </w:r>
          </w:p>
        </w:tc>
        <w:tc>
          <w:tcPr>
            <w:tcW w:w="5628" w:type="dxa"/>
            <w:vAlign w:val="top"/>
          </w:tcPr>
          <w:p w14:paraId="5D4B64E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8"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不召开</w:t>
            </w:r>
          </w:p>
        </w:tc>
      </w:tr>
      <w:tr w14:paraId="5C6C8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Merge w:val="restart"/>
            <w:tcBorders>
              <w:bottom w:val="nil"/>
            </w:tcBorders>
            <w:vAlign w:val="center"/>
          </w:tcPr>
          <w:p w14:paraId="4AF2D56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1.10.2</w:t>
            </w:r>
          </w:p>
        </w:tc>
        <w:tc>
          <w:tcPr>
            <w:tcW w:w="2594" w:type="dxa"/>
            <w:gridSpan w:val="2"/>
            <w:vMerge w:val="restart"/>
            <w:tcBorders>
              <w:bottom w:val="nil"/>
            </w:tcBorders>
            <w:vAlign w:val="center"/>
          </w:tcPr>
          <w:p w14:paraId="1344BBE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投标人在投标预备会前提出问题</w:t>
            </w:r>
          </w:p>
        </w:tc>
        <w:tc>
          <w:tcPr>
            <w:tcW w:w="5628" w:type="dxa"/>
            <w:vAlign w:val="top"/>
          </w:tcPr>
          <w:p w14:paraId="2C44AE2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5"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时间：/</w:t>
            </w:r>
          </w:p>
        </w:tc>
      </w:tr>
      <w:tr w14:paraId="0A99F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Merge w:val="continue"/>
            <w:tcBorders>
              <w:top w:val="nil"/>
            </w:tcBorders>
            <w:vAlign w:val="center"/>
          </w:tcPr>
          <w:p w14:paraId="2CA273A3">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sz w:val="21"/>
                <w:highlight w:val="none"/>
              </w:rPr>
            </w:pPr>
          </w:p>
        </w:tc>
        <w:tc>
          <w:tcPr>
            <w:tcW w:w="2594" w:type="dxa"/>
            <w:gridSpan w:val="2"/>
            <w:vMerge w:val="continue"/>
            <w:tcBorders>
              <w:top w:val="nil"/>
            </w:tcBorders>
            <w:vAlign w:val="center"/>
          </w:tcPr>
          <w:p w14:paraId="65CDD96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sz w:val="21"/>
                <w:highlight w:val="none"/>
              </w:rPr>
            </w:pPr>
          </w:p>
        </w:tc>
        <w:tc>
          <w:tcPr>
            <w:tcW w:w="5628" w:type="dxa"/>
            <w:vAlign w:val="top"/>
          </w:tcPr>
          <w:p w14:paraId="3E8068EF">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7"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形式：/</w:t>
            </w:r>
          </w:p>
        </w:tc>
      </w:tr>
      <w:tr w14:paraId="44E5C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1002" w:type="dxa"/>
            <w:vAlign w:val="center"/>
          </w:tcPr>
          <w:p w14:paraId="629456D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1.11.1</w:t>
            </w:r>
          </w:p>
        </w:tc>
        <w:tc>
          <w:tcPr>
            <w:tcW w:w="2594" w:type="dxa"/>
            <w:gridSpan w:val="2"/>
            <w:vAlign w:val="center"/>
          </w:tcPr>
          <w:p w14:paraId="2467B07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分包</w:t>
            </w:r>
          </w:p>
        </w:tc>
        <w:tc>
          <w:tcPr>
            <w:tcW w:w="5628" w:type="dxa"/>
            <w:vAlign w:val="top"/>
          </w:tcPr>
          <w:p w14:paraId="42FA92A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2" w:right="0"/>
              <w:textAlignment w:val="baseline"/>
              <w:rPr>
                <w:rFonts w:hint="eastAsia" w:ascii="宋体" w:hAnsi="宋体" w:eastAsia="宋体" w:cs="宋体"/>
                <w:color w:val="auto"/>
                <w:spacing w:val="0"/>
                <w:w w:val="100"/>
                <w:position w:val="0"/>
                <w:highlight w:val="none"/>
              </w:rPr>
            </w:pPr>
            <w:r>
              <w:rPr>
                <w:rFonts w:hint="eastAsia"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不允许</w:t>
            </w:r>
          </w:p>
          <w:p w14:paraId="4C9C913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7" w:right="57" w:firstLine="6"/>
              <w:textAlignment w:val="baseline"/>
              <w:rPr>
                <w:rFonts w:hint="eastAsia" w:ascii="宋体" w:hAnsi="宋体" w:eastAsia="宋体" w:cs="宋体"/>
                <w:color w:val="auto"/>
                <w:spacing w:val="0"/>
                <w:w w:val="100"/>
                <w:position w:val="0"/>
                <w:highlight w:val="none"/>
              </w:rPr>
            </w:pPr>
            <w:r>
              <w:rPr>
                <w:rFonts w:hint="eastAsia"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允许，允许分包的工程：</w:t>
            </w:r>
            <w:r>
              <w:rPr>
                <w:rFonts w:hint="eastAsia" w:ascii="宋体" w:hAnsi="宋体" w:eastAsia="宋体" w:cs="宋体"/>
                <w:color w:val="auto"/>
                <w:spacing w:val="0"/>
                <w:w w:val="100"/>
                <w:position w:val="0"/>
                <w:highlight w:val="none"/>
                <w:u w:val="single" w:color="auto"/>
              </w:rPr>
              <w:t>经发包人同意且符合相关法律法规要求，设计人可将工程设计中跨专业（如房建专业等）或有特殊要求的勘察、设计、专题评估报告等工作进行分包。</w:t>
            </w:r>
          </w:p>
          <w:p w14:paraId="7B33DC5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4"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对分包人的资格要求：</w:t>
            </w:r>
            <w:r>
              <w:rPr>
                <w:rFonts w:hint="eastAsia" w:cs="宋体"/>
                <w:color w:val="auto"/>
                <w:spacing w:val="0"/>
                <w:w w:val="100"/>
                <w:position w:val="0"/>
                <w:highlight w:val="none"/>
                <w:u w:val="single" w:color="auto"/>
                <w:lang w:val="en-US" w:eastAsia="zh-CN"/>
              </w:rPr>
              <w:t>分包单位具备相应的资质</w:t>
            </w:r>
            <w:r>
              <w:rPr>
                <w:rFonts w:hint="eastAsia" w:ascii="宋体" w:hAnsi="宋体" w:eastAsia="宋体" w:cs="宋体"/>
                <w:color w:val="auto"/>
                <w:spacing w:val="0"/>
                <w:w w:val="100"/>
                <w:position w:val="0"/>
                <w:highlight w:val="none"/>
                <w:u w:val="single" w:color="auto"/>
              </w:rPr>
              <w:t>。</w:t>
            </w:r>
          </w:p>
        </w:tc>
      </w:tr>
      <w:tr w14:paraId="335CFA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002" w:type="dxa"/>
            <w:vAlign w:val="center"/>
          </w:tcPr>
          <w:p w14:paraId="5E84D03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2.1</w:t>
            </w:r>
          </w:p>
        </w:tc>
        <w:tc>
          <w:tcPr>
            <w:tcW w:w="2594" w:type="dxa"/>
            <w:gridSpan w:val="2"/>
            <w:vAlign w:val="center"/>
          </w:tcPr>
          <w:p w14:paraId="37F0D84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构成招标文件的其他资料</w:t>
            </w:r>
          </w:p>
        </w:tc>
        <w:tc>
          <w:tcPr>
            <w:tcW w:w="5628" w:type="dxa"/>
            <w:vAlign w:val="top"/>
          </w:tcPr>
          <w:p w14:paraId="40D0D04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6"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招标人发布的有关本次招标的补遗书（澄清与修改）等。</w:t>
            </w:r>
          </w:p>
        </w:tc>
      </w:tr>
      <w:tr w14:paraId="7EEDCD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Merge w:val="restart"/>
            <w:tcBorders>
              <w:bottom w:val="nil"/>
            </w:tcBorders>
            <w:vAlign w:val="center"/>
          </w:tcPr>
          <w:p w14:paraId="1264F9F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2.2.1</w:t>
            </w:r>
          </w:p>
        </w:tc>
        <w:tc>
          <w:tcPr>
            <w:tcW w:w="2594" w:type="dxa"/>
            <w:gridSpan w:val="2"/>
            <w:vMerge w:val="restart"/>
            <w:tcBorders>
              <w:bottom w:val="nil"/>
            </w:tcBorders>
            <w:vAlign w:val="center"/>
          </w:tcPr>
          <w:p w14:paraId="4204639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投标人要求澄清招标文件</w:t>
            </w:r>
          </w:p>
        </w:tc>
        <w:tc>
          <w:tcPr>
            <w:tcW w:w="5628" w:type="dxa"/>
            <w:vAlign w:val="top"/>
          </w:tcPr>
          <w:p w14:paraId="5442E0BD">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5"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时间：</w:t>
            </w:r>
            <w:r>
              <w:rPr>
                <w:rFonts w:hint="eastAsia" w:ascii="宋体" w:hAnsi="宋体" w:eastAsia="宋体" w:cs="宋体"/>
                <w:color w:val="auto"/>
                <w:spacing w:val="0"/>
                <w:w w:val="100"/>
                <w:position w:val="0"/>
                <w:highlight w:val="none"/>
                <w:lang w:val="en-US" w:eastAsia="zh-CN"/>
              </w:rPr>
              <w:t>2026年</w:t>
            </w:r>
            <w:r>
              <w:rPr>
                <w:rFonts w:hint="eastAsia" w:cs="宋体"/>
                <w:color w:val="auto"/>
                <w:spacing w:val="0"/>
                <w:w w:val="100"/>
                <w:position w:val="0"/>
                <w:highlight w:val="none"/>
                <w:lang w:val="en-US" w:eastAsia="zh-CN"/>
              </w:rPr>
              <w:t>8</w:t>
            </w:r>
            <w:r>
              <w:rPr>
                <w:rFonts w:hint="eastAsia" w:ascii="宋体" w:hAnsi="宋体" w:eastAsia="宋体" w:cs="宋体"/>
                <w:color w:val="auto"/>
                <w:spacing w:val="0"/>
                <w:w w:val="100"/>
                <w:position w:val="0"/>
                <w:highlight w:val="none"/>
                <w:lang w:val="en-US" w:eastAsia="zh-CN"/>
              </w:rPr>
              <w:t>月</w:t>
            </w:r>
            <w:r>
              <w:rPr>
                <w:rFonts w:hint="eastAsia" w:cs="宋体"/>
                <w:color w:val="auto"/>
                <w:spacing w:val="0"/>
                <w:w w:val="100"/>
                <w:position w:val="0"/>
                <w:highlight w:val="none"/>
                <w:lang w:val="en-US" w:eastAsia="zh-CN"/>
              </w:rPr>
              <w:t>25</w:t>
            </w:r>
            <w:r>
              <w:rPr>
                <w:rFonts w:hint="eastAsia" w:ascii="宋体" w:hAnsi="宋体" w:eastAsia="宋体" w:cs="宋体"/>
                <w:color w:val="auto"/>
                <w:spacing w:val="0"/>
                <w:w w:val="100"/>
                <w:position w:val="0"/>
                <w:highlight w:val="none"/>
                <w:lang w:val="en-US" w:eastAsia="zh-CN"/>
              </w:rPr>
              <w:t>日</w:t>
            </w:r>
            <w:r>
              <w:rPr>
                <w:rFonts w:hint="eastAsia" w:cs="宋体"/>
                <w:color w:val="auto"/>
                <w:spacing w:val="0"/>
                <w:w w:val="100"/>
                <w:position w:val="0"/>
                <w:highlight w:val="none"/>
                <w:lang w:val="en-US" w:eastAsia="zh-CN"/>
              </w:rPr>
              <w:t>10</w:t>
            </w:r>
            <w:r>
              <w:rPr>
                <w:rFonts w:hint="eastAsia" w:ascii="宋体" w:hAnsi="宋体" w:eastAsia="宋体" w:cs="宋体"/>
                <w:color w:val="auto"/>
                <w:spacing w:val="0"/>
                <w:w w:val="100"/>
                <w:position w:val="0"/>
                <w:highlight w:val="none"/>
                <w:lang w:val="en-US" w:eastAsia="zh-CN"/>
              </w:rPr>
              <w:t>时</w:t>
            </w:r>
            <w:r>
              <w:rPr>
                <w:rFonts w:hint="eastAsia" w:cs="宋体"/>
                <w:color w:val="auto"/>
                <w:spacing w:val="0"/>
                <w:w w:val="100"/>
                <w:position w:val="0"/>
                <w:highlight w:val="none"/>
                <w:lang w:val="en-US" w:eastAsia="zh-CN"/>
              </w:rPr>
              <w:t>00</w:t>
            </w:r>
            <w:r>
              <w:rPr>
                <w:rFonts w:hint="eastAsia" w:ascii="宋体" w:hAnsi="宋体" w:eastAsia="宋体" w:cs="宋体"/>
                <w:color w:val="auto"/>
                <w:spacing w:val="0"/>
                <w:w w:val="100"/>
                <w:position w:val="0"/>
                <w:highlight w:val="none"/>
                <w:lang w:val="en-US" w:eastAsia="zh-CN"/>
              </w:rPr>
              <w:t>分</w:t>
            </w:r>
            <w:r>
              <w:rPr>
                <w:rFonts w:hint="eastAsia" w:ascii="宋体" w:hAnsi="宋体" w:eastAsia="宋体" w:cs="宋体"/>
                <w:color w:val="auto"/>
                <w:spacing w:val="0"/>
                <w:w w:val="100"/>
                <w:position w:val="0"/>
                <w:highlight w:val="none"/>
              </w:rPr>
              <w:t>前</w:t>
            </w:r>
          </w:p>
        </w:tc>
      </w:tr>
      <w:tr w14:paraId="6374A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002" w:type="dxa"/>
            <w:vMerge w:val="continue"/>
            <w:tcBorders>
              <w:top w:val="nil"/>
            </w:tcBorders>
            <w:vAlign w:val="center"/>
          </w:tcPr>
          <w:p w14:paraId="73758C19">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sz w:val="21"/>
                <w:highlight w:val="none"/>
              </w:rPr>
            </w:pPr>
          </w:p>
        </w:tc>
        <w:tc>
          <w:tcPr>
            <w:tcW w:w="2594" w:type="dxa"/>
            <w:gridSpan w:val="2"/>
            <w:vMerge w:val="continue"/>
            <w:tcBorders>
              <w:top w:val="nil"/>
            </w:tcBorders>
            <w:vAlign w:val="center"/>
          </w:tcPr>
          <w:p w14:paraId="64BB002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sz w:val="21"/>
                <w:highlight w:val="none"/>
              </w:rPr>
            </w:pPr>
          </w:p>
        </w:tc>
        <w:tc>
          <w:tcPr>
            <w:tcW w:w="5628" w:type="dxa"/>
            <w:vAlign w:val="top"/>
          </w:tcPr>
          <w:p w14:paraId="34D1749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48" w:right="0" w:firstLine="9"/>
              <w:textAlignment w:val="baseline"/>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形式：投标人应通过优质采云采购平台提交</w:t>
            </w:r>
            <w:r>
              <w:rPr>
                <w:rFonts w:hint="eastAsia" w:cs="宋体"/>
                <w:color w:val="auto"/>
                <w:spacing w:val="0"/>
                <w:w w:val="100"/>
                <w:position w:val="0"/>
                <w:highlight w:val="none"/>
                <w:lang w:eastAsia="zh-CN"/>
              </w:rPr>
              <w:t>。</w:t>
            </w:r>
          </w:p>
        </w:tc>
      </w:tr>
      <w:tr w14:paraId="500AE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402A233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2.2.2</w:t>
            </w:r>
          </w:p>
        </w:tc>
        <w:tc>
          <w:tcPr>
            <w:tcW w:w="2594" w:type="dxa"/>
            <w:gridSpan w:val="2"/>
            <w:vAlign w:val="center"/>
          </w:tcPr>
          <w:p w14:paraId="063BE4E5">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招标文件澄清发出的形式</w:t>
            </w:r>
          </w:p>
        </w:tc>
        <w:tc>
          <w:tcPr>
            <w:tcW w:w="5628" w:type="dxa"/>
            <w:vAlign w:val="top"/>
          </w:tcPr>
          <w:p w14:paraId="2BAFC7D0">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6"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招标文件澄清将在安徽合肥公共资源交易平台网站（网址：http://www.hfztb.cn）发出，投标人应自行下载</w:t>
            </w:r>
            <w:r>
              <w:rPr>
                <w:rFonts w:hint="eastAsia" w:ascii="宋体" w:hAnsi="宋体" w:eastAsia="宋体" w:cs="宋体"/>
                <w:color w:val="auto"/>
                <w:spacing w:val="0"/>
                <w:w w:val="100"/>
                <w:position w:val="0"/>
                <w:highlight w:val="none"/>
              </w:rPr>
              <w:t>。</w:t>
            </w:r>
          </w:p>
        </w:tc>
      </w:tr>
      <w:tr w14:paraId="43A0BD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1002" w:type="dxa"/>
            <w:vMerge w:val="restart"/>
            <w:tcBorders>
              <w:bottom w:val="nil"/>
            </w:tcBorders>
            <w:vAlign w:val="center"/>
          </w:tcPr>
          <w:p w14:paraId="659345D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2.2.3</w:t>
            </w:r>
          </w:p>
        </w:tc>
        <w:tc>
          <w:tcPr>
            <w:tcW w:w="2594" w:type="dxa"/>
            <w:gridSpan w:val="2"/>
            <w:vMerge w:val="restart"/>
            <w:tcBorders>
              <w:bottom w:val="nil"/>
            </w:tcBorders>
            <w:vAlign w:val="center"/>
          </w:tcPr>
          <w:p w14:paraId="6E5B3A4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投标人确认收到招标文件澄清</w:t>
            </w:r>
          </w:p>
        </w:tc>
        <w:tc>
          <w:tcPr>
            <w:tcW w:w="5628" w:type="dxa"/>
            <w:vAlign w:val="center"/>
          </w:tcPr>
          <w:p w14:paraId="3CD5853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left"/>
              <w:textAlignment w:val="baseline"/>
              <w:rPr>
                <w:rFonts w:hint="eastAsia" w:ascii="宋体" w:hAnsi="宋体" w:eastAsia="宋体" w:cs="宋体"/>
                <w:snapToGrid w:val="0"/>
                <w:color w:val="auto"/>
                <w:spacing w:val="0"/>
                <w:w w:val="100"/>
                <w:kern w:val="0"/>
                <w:position w:val="0"/>
                <w:sz w:val="21"/>
                <w:szCs w:val="21"/>
                <w:highlight w:val="none"/>
                <w:lang w:val="en-US" w:eastAsia="zh-CN" w:bidi="ar-SA"/>
              </w:rPr>
            </w:pPr>
            <w:r>
              <w:rPr>
                <w:rFonts w:hint="eastAsia" w:ascii="宋体" w:hAnsi="宋体" w:eastAsia="宋体" w:cs="宋体"/>
                <w:snapToGrid w:val="0"/>
                <w:color w:val="auto"/>
                <w:spacing w:val="0"/>
                <w:w w:val="100"/>
                <w:kern w:val="0"/>
                <w:position w:val="0"/>
                <w:sz w:val="21"/>
                <w:szCs w:val="21"/>
                <w:highlight w:val="none"/>
                <w:lang w:val="en-US" w:eastAsia="zh-CN" w:bidi="ar-SA"/>
              </w:rPr>
              <w:t>投标人应关注第 2.2.2 项载明的网站，及时下载招标文件澄清。</w:t>
            </w:r>
          </w:p>
        </w:tc>
      </w:tr>
      <w:tr w14:paraId="25672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Merge w:val="continue"/>
            <w:tcBorders>
              <w:top w:val="nil"/>
            </w:tcBorders>
            <w:vAlign w:val="center"/>
          </w:tcPr>
          <w:p w14:paraId="083DC22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sz w:val="21"/>
                <w:highlight w:val="none"/>
              </w:rPr>
            </w:pPr>
          </w:p>
        </w:tc>
        <w:tc>
          <w:tcPr>
            <w:tcW w:w="2594" w:type="dxa"/>
            <w:gridSpan w:val="2"/>
            <w:vMerge w:val="continue"/>
            <w:tcBorders>
              <w:top w:val="nil"/>
            </w:tcBorders>
            <w:vAlign w:val="center"/>
          </w:tcPr>
          <w:p w14:paraId="1267A121">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sz w:val="21"/>
                <w:highlight w:val="none"/>
              </w:rPr>
            </w:pPr>
          </w:p>
        </w:tc>
        <w:tc>
          <w:tcPr>
            <w:tcW w:w="5628" w:type="dxa"/>
            <w:vAlign w:val="center"/>
          </w:tcPr>
          <w:p w14:paraId="767A3916">
            <w:pPr>
              <w:keepNext w:val="0"/>
              <w:keepLines w:val="0"/>
              <w:pageBreakBefore w:val="0"/>
              <w:widowControl/>
              <w:suppressLineNumbers w:val="0"/>
              <w:kinsoku w:val="0"/>
              <w:wordWrap w:val="0"/>
              <w:overflowPunct/>
              <w:topLinePunct w:val="0"/>
              <w:autoSpaceDE w:val="0"/>
              <w:autoSpaceDN w:val="0"/>
              <w:bidi w:val="0"/>
              <w:adjustRightInd w:val="0"/>
              <w:snapToGrid w:val="0"/>
              <w:spacing w:before="0" w:beforeAutospacing="0" w:after="0" w:afterAutospacing="0" w:line="440" w:lineRule="exact"/>
              <w:ind w:left="0" w:right="0"/>
              <w:jc w:val="left"/>
              <w:textAlignment w:val="baseline"/>
              <w:rPr>
                <w:rFonts w:hint="eastAsia" w:ascii="宋体" w:hAnsi="宋体" w:eastAsia="宋体" w:cs="宋体"/>
                <w:snapToGrid w:val="0"/>
                <w:color w:val="auto"/>
                <w:spacing w:val="0"/>
                <w:w w:val="100"/>
                <w:kern w:val="0"/>
                <w:position w:val="0"/>
                <w:sz w:val="21"/>
                <w:szCs w:val="21"/>
                <w:highlight w:val="none"/>
                <w:lang w:val="en-US" w:eastAsia="zh-CN" w:bidi="ar-SA"/>
              </w:rPr>
            </w:pPr>
            <w:r>
              <w:rPr>
                <w:rFonts w:hint="eastAsia" w:ascii="宋体" w:hAnsi="宋体" w:eastAsia="宋体" w:cs="宋体"/>
                <w:snapToGrid w:val="0"/>
                <w:color w:val="auto"/>
                <w:spacing w:val="0"/>
                <w:w w:val="100"/>
                <w:kern w:val="0"/>
                <w:position w:val="0"/>
                <w:sz w:val="21"/>
                <w:szCs w:val="21"/>
                <w:highlight w:val="none"/>
                <w:lang w:val="en-US" w:eastAsia="zh-CN" w:bidi="ar-SA"/>
              </w:rPr>
              <w:t>招标文件澄清将在安徽合肥公共资源交易平台网站（网址：http://www.hfztb.cn）发出，投标人应自行下载。</w:t>
            </w:r>
          </w:p>
        </w:tc>
      </w:tr>
      <w:tr w14:paraId="066D2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7DA8BBE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2.3.1</w:t>
            </w:r>
          </w:p>
        </w:tc>
        <w:tc>
          <w:tcPr>
            <w:tcW w:w="2594" w:type="dxa"/>
            <w:gridSpan w:val="2"/>
            <w:vAlign w:val="center"/>
          </w:tcPr>
          <w:p w14:paraId="2D7E12E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招标文件修改发出的形式</w:t>
            </w:r>
          </w:p>
        </w:tc>
        <w:tc>
          <w:tcPr>
            <w:tcW w:w="5628" w:type="dxa"/>
            <w:vAlign w:val="top"/>
          </w:tcPr>
          <w:p w14:paraId="1AE71F9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6"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招标文件修改将在将在安徽合肥公共资源交易平台网站（网址：http://ggzy.hefei.gov.cn）、优质采云采购平台（www.youzhicai.com）发出，投标人应自行下载。</w:t>
            </w:r>
          </w:p>
        </w:tc>
      </w:tr>
      <w:tr w14:paraId="4C51C7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002" w:type="dxa"/>
            <w:tcBorders>
              <w:bottom w:val="nil"/>
            </w:tcBorders>
            <w:vAlign w:val="center"/>
          </w:tcPr>
          <w:p w14:paraId="3A75F895">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2.3.2</w:t>
            </w:r>
          </w:p>
        </w:tc>
        <w:tc>
          <w:tcPr>
            <w:tcW w:w="2594" w:type="dxa"/>
            <w:gridSpan w:val="2"/>
            <w:tcBorders>
              <w:bottom w:val="nil"/>
            </w:tcBorders>
            <w:vAlign w:val="center"/>
          </w:tcPr>
          <w:p w14:paraId="383C66B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投标人确认收到招标文件修改</w:t>
            </w:r>
          </w:p>
        </w:tc>
        <w:tc>
          <w:tcPr>
            <w:tcW w:w="5628" w:type="dxa"/>
            <w:vAlign w:val="top"/>
          </w:tcPr>
          <w:p w14:paraId="01D4C885">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6" w:right="50" w:firstLine="1"/>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投标人应关注第2.3.1项载明的网站，及时下载招标文件澄清</w:t>
            </w:r>
            <w:r>
              <w:rPr>
                <w:rFonts w:hint="eastAsia" w:ascii="宋体" w:hAnsi="宋体" w:eastAsia="宋体" w:cs="宋体"/>
                <w:color w:val="auto"/>
                <w:spacing w:val="0"/>
                <w:w w:val="100"/>
                <w:position w:val="0"/>
                <w:highlight w:val="none"/>
              </w:rPr>
              <w:t>。</w:t>
            </w:r>
          </w:p>
        </w:tc>
      </w:tr>
      <w:tr w14:paraId="4DBA9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71ED26D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3.1.1</w:t>
            </w:r>
          </w:p>
        </w:tc>
        <w:tc>
          <w:tcPr>
            <w:tcW w:w="2594" w:type="dxa"/>
            <w:gridSpan w:val="2"/>
            <w:vAlign w:val="center"/>
          </w:tcPr>
          <w:p w14:paraId="5F3021D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构成投标文件的其他资料</w:t>
            </w:r>
          </w:p>
        </w:tc>
        <w:tc>
          <w:tcPr>
            <w:tcW w:w="5628" w:type="dxa"/>
            <w:vAlign w:val="top"/>
          </w:tcPr>
          <w:p w14:paraId="66A65EA5">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47"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w:t>
            </w:r>
          </w:p>
        </w:tc>
      </w:tr>
      <w:tr w14:paraId="42893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09F56B7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3.2.1</w:t>
            </w:r>
          </w:p>
        </w:tc>
        <w:tc>
          <w:tcPr>
            <w:tcW w:w="2594" w:type="dxa"/>
            <w:gridSpan w:val="2"/>
            <w:vAlign w:val="center"/>
          </w:tcPr>
          <w:p w14:paraId="3DB22D7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增值税税金的计算方法</w:t>
            </w:r>
          </w:p>
        </w:tc>
        <w:tc>
          <w:tcPr>
            <w:tcW w:w="5628" w:type="dxa"/>
            <w:vAlign w:val="top"/>
          </w:tcPr>
          <w:p w14:paraId="7BCA79B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eastAsia" w:ascii="宋体" w:hAnsi="宋体" w:eastAsia="宋体" w:cs="宋体"/>
                <w:snapToGrid w:val="0"/>
                <w:color w:val="auto"/>
                <w:spacing w:val="0"/>
                <w:w w:val="100"/>
                <w:kern w:val="0"/>
                <w:position w:val="0"/>
                <w:sz w:val="21"/>
                <w:szCs w:val="21"/>
                <w:highlight w:val="none"/>
                <w:lang w:val="en-US" w:eastAsia="zh-CN" w:bidi="ar-SA"/>
              </w:rPr>
            </w:pPr>
            <w:r>
              <w:rPr>
                <w:rFonts w:hint="eastAsia" w:ascii="宋体" w:hAnsi="宋体" w:eastAsia="宋体" w:cs="宋体"/>
                <w:snapToGrid w:val="0"/>
                <w:color w:val="auto"/>
                <w:spacing w:val="0"/>
                <w:w w:val="100"/>
                <w:kern w:val="0"/>
                <w:position w:val="0"/>
                <w:sz w:val="21"/>
                <w:szCs w:val="21"/>
                <w:highlight w:val="none"/>
                <w:lang w:val="en-US" w:eastAsia="zh-CN" w:bidi="ar-SA"/>
              </w:rPr>
              <w:t>（1）计税方法</w:t>
            </w:r>
          </w:p>
          <w:p w14:paraId="0780F6F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eastAsia" w:ascii="宋体" w:hAnsi="宋体" w:eastAsia="宋体" w:cs="宋体"/>
                <w:snapToGrid w:val="0"/>
                <w:color w:val="auto"/>
                <w:spacing w:val="0"/>
                <w:w w:val="100"/>
                <w:kern w:val="0"/>
                <w:position w:val="0"/>
                <w:sz w:val="21"/>
                <w:szCs w:val="21"/>
                <w:highlight w:val="none"/>
                <w:lang w:val="en-US" w:eastAsia="zh-CN" w:bidi="ar-SA"/>
              </w:rPr>
            </w:pPr>
            <w:r>
              <w:rPr>
                <w:rFonts w:hint="eastAsia" w:ascii="宋体" w:hAnsi="宋体" w:eastAsia="宋体" w:cs="宋体"/>
                <w:snapToGrid w:val="0"/>
                <w:color w:val="auto"/>
                <w:spacing w:val="0"/>
                <w:w w:val="100"/>
                <w:kern w:val="0"/>
                <w:position w:val="0"/>
                <w:sz w:val="21"/>
                <w:szCs w:val="21"/>
                <w:highlight w:val="none"/>
                <w:lang w:val="en-US" w:eastAsia="zh-CN" w:bidi="ar-SA"/>
              </w:rPr>
              <w:t>☑一般计税方法；</w:t>
            </w:r>
          </w:p>
          <w:p w14:paraId="7C718A8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eastAsia" w:ascii="宋体" w:hAnsi="宋体" w:eastAsia="宋体" w:cs="宋体"/>
                <w:snapToGrid w:val="0"/>
                <w:color w:val="auto"/>
                <w:spacing w:val="0"/>
                <w:w w:val="100"/>
                <w:kern w:val="0"/>
                <w:position w:val="0"/>
                <w:sz w:val="21"/>
                <w:szCs w:val="21"/>
                <w:highlight w:val="none"/>
                <w:lang w:val="en-US" w:eastAsia="zh-CN" w:bidi="ar-SA"/>
              </w:rPr>
            </w:pPr>
            <w:r>
              <w:rPr>
                <w:rFonts w:hint="eastAsia" w:ascii="宋体" w:hAnsi="宋体" w:eastAsia="宋体" w:cs="宋体"/>
                <w:snapToGrid w:val="0"/>
                <w:color w:val="auto"/>
                <w:spacing w:val="0"/>
                <w:w w:val="100"/>
                <w:kern w:val="0"/>
                <w:position w:val="0"/>
                <w:sz w:val="21"/>
                <w:szCs w:val="21"/>
                <w:highlight w:val="none"/>
                <w:lang w:val="en-US" w:eastAsia="zh-CN" w:bidi="ar-SA"/>
              </w:rPr>
              <w:t>□简易计算方法；</w:t>
            </w:r>
          </w:p>
          <w:p w14:paraId="58CE0AF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eastAsia" w:ascii="宋体" w:hAnsi="宋体" w:eastAsia="宋体" w:cs="宋体"/>
                <w:snapToGrid w:val="0"/>
                <w:color w:val="auto"/>
                <w:spacing w:val="0"/>
                <w:w w:val="100"/>
                <w:kern w:val="0"/>
                <w:position w:val="0"/>
                <w:sz w:val="21"/>
                <w:szCs w:val="21"/>
                <w:highlight w:val="none"/>
                <w:lang w:val="en-US" w:eastAsia="zh-CN" w:bidi="ar-SA"/>
              </w:rPr>
            </w:pPr>
            <w:r>
              <w:rPr>
                <w:rFonts w:hint="eastAsia" w:ascii="宋体" w:hAnsi="宋体" w:eastAsia="宋体" w:cs="宋体"/>
                <w:snapToGrid w:val="0"/>
                <w:color w:val="auto"/>
                <w:spacing w:val="0"/>
                <w:w w:val="100"/>
                <w:kern w:val="0"/>
                <w:position w:val="0"/>
                <w:sz w:val="21"/>
                <w:szCs w:val="21"/>
                <w:highlight w:val="none"/>
                <w:lang w:val="en-US" w:eastAsia="zh-CN" w:bidi="ar-SA"/>
              </w:rPr>
              <w:t>（2）发票类型：</w:t>
            </w:r>
          </w:p>
          <w:p w14:paraId="1D0F4D3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eastAsia" w:ascii="宋体" w:hAnsi="宋体" w:eastAsia="宋体" w:cs="宋体"/>
                <w:snapToGrid w:val="0"/>
                <w:color w:val="auto"/>
                <w:spacing w:val="0"/>
                <w:w w:val="100"/>
                <w:kern w:val="0"/>
                <w:position w:val="0"/>
                <w:sz w:val="21"/>
                <w:szCs w:val="21"/>
                <w:highlight w:val="none"/>
                <w:lang w:val="en-US" w:eastAsia="zh-CN" w:bidi="ar-SA"/>
              </w:rPr>
            </w:pPr>
            <w:r>
              <w:rPr>
                <w:rFonts w:hint="eastAsia" w:ascii="宋体" w:hAnsi="宋体" w:eastAsia="宋体" w:cs="宋体"/>
                <w:snapToGrid w:val="0"/>
                <w:color w:val="auto"/>
                <w:spacing w:val="0"/>
                <w:w w:val="100"/>
                <w:kern w:val="0"/>
                <w:position w:val="0"/>
                <w:sz w:val="21"/>
                <w:szCs w:val="21"/>
                <w:highlight w:val="none"/>
                <w:lang w:val="en-US" w:eastAsia="zh-CN" w:bidi="ar-SA"/>
              </w:rPr>
              <w:t>☑增值税专用发票；</w:t>
            </w:r>
          </w:p>
          <w:p w14:paraId="51F5F39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eastAsia" w:ascii="宋体" w:hAnsi="宋体" w:eastAsia="宋体" w:cs="宋体"/>
                <w:snapToGrid w:val="0"/>
                <w:color w:val="auto"/>
                <w:spacing w:val="0"/>
                <w:w w:val="100"/>
                <w:kern w:val="0"/>
                <w:position w:val="0"/>
                <w:sz w:val="21"/>
                <w:szCs w:val="21"/>
                <w:highlight w:val="none"/>
                <w:lang w:val="en-US" w:eastAsia="zh-CN" w:bidi="ar-SA"/>
              </w:rPr>
            </w:pPr>
            <w:r>
              <w:rPr>
                <w:rFonts w:hint="eastAsia" w:ascii="宋体" w:hAnsi="宋体" w:eastAsia="宋体" w:cs="宋体"/>
                <w:snapToGrid w:val="0"/>
                <w:color w:val="auto"/>
                <w:spacing w:val="0"/>
                <w:w w:val="100"/>
                <w:kern w:val="0"/>
                <w:position w:val="0"/>
                <w:sz w:val="21"/>
                <w:szCs w:val="21"/>
                <w:highlight w:val="none"/>
                <w:lang w:val="en-US" w:eastAsia="zh-CN" w:bidi="ar-SA"/>
              </w:rPr>
              <w:t xml:space="preserve">□增值税普通发票；   </w:t>
            </w:r>
          </w:p>
          <w:p w14:paraId="2448705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7" w:right="98"/>
              <w:textAlignment w:val="baseline"/>
              <w:rPr>
                <w:rFonts w:hint="eastAsia" w:ascii="宋体" w:hAnsi="宋体" w:eastAsia="宋体" w:cs="宋体"/>
                <w:color w:val="auto"/>
                <w:spacing w:val="0"/>
                <w:w w:val="100"/>
                <w:position w:val="0"/>
                <w:highlight w:val="none"/>
              </w:rPr>
            </w:pPr>
            <w:r>
              <w:rPr>
                <w:rFonts w:hint="eastAsia" w:ascii="宋体" w:hAnsi="宋体" w:eastAsia="宋体" w:cs="宋体"/>
                <w:snapToGrid w:val="0"/>
                <w:color w:val="auto"/>
                <w:spacing w:val="0"/>
                <w:w w:val="100"/>
                <w:kern w:val="0"/>
                <w:position w:val="0"/>
                <w:sz w:val="21"/>
                <w:szCs w:val="21"/>
                <w:highlight w:val="none"/>
                <w:lang w:val="en-US" w:eastAsia="zh-CN" w:bidi="ar-SA"/>
              </w:rPr>
              <w:t>（3）增值税税率按照国家有关规定执行。</w:t>
            </w:r>
          </w:p>
        </w:tc>
      </w:tr>
      <w:tr w14:paraId="6969BF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5C87CBF0">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3.2.3</w:t>
            </w:r>
          </w:p>
        </w:tc>
        <w:tc>
          <w:tcPr>
            <w:tcW w:w="2594" w:type="dxa"/>
            <w:gridSpan w:val="2"/>
            <w:vAlign w:val="center"/>
          </w:tcPr>
          <w:p w14:paraId="069FCE9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报价方式</w:t>
            </w:r>
          </w:p>
        </w:tc>
        <w:tc>
          <w:tcPr>
            <w:tcW w:w="5628" w:type="dxa"/>
            <w:vAlign w:val="top"/>
          </w:tcPr>
          <w:p w14:paraId="4A4D3A0D">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eastAsia" w:ascii="宋体" w:hAnsi="宋体" w:eastAsia="宋体" w:cs="宋体"/>
                <w:color w:val="auto"/>
                <w:spacing w:val="0"/>
                <w:w w:val="100"/>
                <w:position w:val="0"/>
                <w:highlight w:val="none"/>
              </w:rPr>
            </w:pPr>
            <w:r>
              <w:rPr>
                <w:rFonts w:hint="eastAsia"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总价</w:t>
            </w:r>
          </w:p>
          <w:p w14:paraId="7989F63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2" w:right="0"/>
              <w:textAlignment w:val="baseline"/>
              <w:rPr>
                <w:rFonts w:hint="eastAsia" w:ascii="宋体" w:hAnsi="宋体" w:eastAsia="宋体" w:cs="宋体"/>
                <w:color w:val="auto"/>
                <w:spacing w:val="0"/>
                <w:w w:val="100"/>
                <w:position w:val="0"/>
                <w:highlight w:val="none"/>
              </w:rPr>
            </w:pPr>
            <w:r>
              <w:rPr>
                <w:rFonts w:hint="eastAsia"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单价</w:t>
            </w:r>
          </w:p>
        </w:tc>
      </w:tr>
      <w:tr w14:paraId="6ADF6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2DDB1352">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3.2.4</w:t>
            </w:r>
          </w:p>
        </w:tc>
        <w:tc>
          <w:tcPr>
            <w:tcW w:w="2594" w:type="dxa"/>
            <w:gridSpan w:val="2"/>
            <w:vAlign w:val="center"/>
          </w:tcPr>
          <w:p w14:paraId="5C1B9A3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7" w:right="98"/>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最高投标限价</w:t>
            </w:r>
          </w:p>
        </w:tc>
        <w:tc>
          <w:tcPr>
            <w:tcW w:w="5628" w:type="dxa"/>
            <w:vAlign w:val="top"/>
          </w:tcPr>
          <w:p w14:paraId="26956DE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7" w:right="98"/>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无</w:t>
            </w:r>
          </w:p>
          <w:p w14:paraId="3740DFC0">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7" w:right="98"/>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☑有，最高投标限价：</w:t>
            </w:r>
          </w:p>
          <w:p w14:paraId="789C69E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7" w:right="98"/>
              <w:textAlignment w:val="baseline"/>
              <w:rPr>
                <w:rFonts w:hint="default" w:ascii="宋体" w:hAnsi="宋体" w:eastAsia="宋体" w:cs="宋体"/>
                <w:b/>
                <w:bCs/>
                <w:color w:val="auto"/>
                <w:spacing w:val="0"/>
                <w:w w:val="100"/>
                <w:position w:val="0"/>
                <w:highlight w:val="none"/>
                <w:lang w:val="en-US" w:eastAsia="zh-CN"/>
              </w:rPr>
            </w:pPr>
            <w:r>
              <w:rPr>
                <w:rFonts w:hint="eastAsia" w:ascii="宋体" w:hAnsi="宋体" w:eastAsia="宋体" w:cs="宋体"/>
                <w:b/>
                <w:bCs/>
                <w:color w:val="auto"/>
                <w:spacing w:val="0"/>
                <w:w w:val="100"/>
                <w:position w:val="0"/>
                <w:highlight w:val="none"/>
              </w:rPr>
              <w:t>01标段最高投标限价：</w:t>
            </w:r>
            <w:r>
              <w:rPr>
                <w:rFonts w:hint="eastAsia" w:cs="宋体"/>
                <w:b/>
                <w:bCs/>
                <w:color w:val="auto"/>
                <w:spacing w:val="0"/>
                <w:w w:val="100"/>
                <w:position w:val="0"/>
                <w:highlight w:val="none"/>
                <w:lang w:val="en-US" w:eastAsia="zh-CN"/>
              </w:rPr>
              <w:t>总价最高限价为5800</w:t>
            </w:r>
            <w:r>
              <w:rPr>
                <w:rFonts w:hint="eastAsia" w:ascii="宋体" w:hAnsi="宋体" w:eastAsia="宋体" w:cs="宋体"/>
                <w:b/>
                <w:bCs/>
                <w:color w:val="auto"/>
                <w:spacing w:val="0"/>
                <w:w w:val="100"/>
                <w:position w:val="0"/>
                <w:highlight w:val="none"/>
              </w:rPr>
              <w:t>万元</w:t>
            </w:r>
            <w:r>
              <w:rPr>
                <w:rFonts w:hint="eastAsia" w:cs="宋体"/>
                <w:b/>
                <w:bCs/>
                <w:color w:val="auto"/>
                <w:spacing w:val="0"/>
                <w:w w:val="100"/>
                <w:position w:val="0"/>
                <w:highlight w:val="none"/>
                <w:lang w:eastAsia="zh-CN"/>
              </w:rPr>
              <w:t>（</w:t>
            </w:r>
            <w:r>
              <w:rPr>
                <w:rFonts w:hint="eastAsia" w:cs="宋体"/>
                <w:b/>
                <w:bCs/>
                <w:color w:val="auto"/>
                <w:spacing w:val="0"/>
                <w:w w:val="100"/>
                <w:position w:val="0"/>
                <w:highlight w:val="none"/>
                <w:lang w:val="en-US" w:eastAsia="zh-CN"/>
              </w:rPr>
              <w:t>含100万元暂列金</w:t>
            </w:r>
            <w:r>
              <w:rPr>
                <w:rFonts w:hint="eastAsia" w:cs="宋体"/>
                <w:b/>
                <w:bCs/>
                <w:color w:val="auto"/>
                <w:spacing w:val="0"/>
                <w:w w:val="100"/>
                <w:position w:val="0"/>
                <w:highlight w:val="none"/>
                <w:lang w:eastAsia="zh-CN"/>
              </w:rPr>
              <w:t>）</w:t>
            </w:r>
            <w:r>
              <w:rPr>
                <w:rFonts w:hint="eastAsia" w:ascii="宋体" w:hAnsi="宋体" w:eastAsia="宋体" w:cs="宋体"/>
                <w:b/>
                <w:bCs/>
                <w:color w:val="auto"/>
                <w:spacing w:val="0"/>
                <w:w w:val="100"/>
                <w:position w:val="0"/>
                <w:highlight w:val="none"/>
              </w:rPr>
              <w:t>；</w:t>
            </w:r>
          </w:p>
          <w:p w14:paraId="7910F98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7" w:right="98"/>
              <w:textAlignment w:val="baseline"/>
              <w:rPr>
                <w:rFonts w:hint="eastAsia" w:ascii="宋体" w:hAnsi="宋体" w:eastAsia="宋体" w:cs="宋体"/>
                <w:color w:val="auto"/>
                <w:spacing w:val="0"/>
                <w:w w:val="100"/>
                <w:position w:val="0"/>
                <w:highlight w:val="none"/>
              </w:rPr>
            </w:pPr>
            <w:r>
              <w:rPr>
                <w:rFonts w:hint="eastAsia" w:ascii="宋体" w:hAnsi="宋体" w:eastAsia="宋体" w:cs="宋体"/>
                <w:b/>
                <w:bCs/>
                <w:color w:val="auto"/>
                <w:spacing w:val="0"/>
                <w:w w:val="100"/>
                <w:position w:val="0"/>
                <w:highlight w:val="none"/>
              </w:rPr>
              <w:t>02标段最高投标限价：</w:t>
            </w:r>
            <w:r>
              <w:rPr>
                <w:rFonts w:hint="eastAsia" w:cs="宋体"/>
                <w:b/>
                <w:bCs/>
                <w:color w:val="auto"/>
                <w:spacing w:val="0"/>
                <w:w w:val="100"/>
                <w:position w:val="0"/>
                <w:highlight w:val="none"/>
                <w:lang w:val="en-US" w:eastAsia="zh-CN"/>
              </w:rPr>
              <w:t>290</w:t>
            </w:r>
            <w:r>
              <w:rPr>
                <w:rFonts w:hint="eastAsia" w:ascii="宋体" w:hAnsi="宋体" w:eastAsia="宋体" w:cs="宋体"/>
                <w:b/>
                <w:bCs/>
                <w:color w:val="auto"/>
                <w:spacing w:val="0"/>
                <w:w w:val="100"/>
                <w:position w:val="0"/>
                <w:highlight w:val="none"/>
              </w:rPr>
              <w:t>万元。</w:t>
            </w:r>
          </w:p>
        </w:tc>
      </w:tr>
      <w:tr w14:paraId="0A021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00E662B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3.2.5</w:t>
            </w:r>
          </w:p>
        </w:tc>
        <w:tc>
          <w:tcPr>
            <w:tcW w:w="2594" w:type="dxa"/>
            <w:gridSpan w:val="2"/>
            <w:vAlign w:val="center"/>
          </w:tcPr>
          <w:p w14:paraId="6566653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投标报价的其他要求</w:t>
            </w:r>
          </w:p>
        </w:tc>
        <w:tc>
          <w:tcPr>
            <w:tcW w:w="5628" w:type="dxa"/>
            <w:vAlign w:val="top"/>
          </w:tcPr>
          <w:p w14:paraId="7240C90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left"/>
              <w:textAlignment w:val="baseline"/>
              <w:rPr>
                <w:rFonts w:hint="eastAsia" w:ascii="宋体" w:hAnsi="宋体" w:eastAsia="宋体" w:cs="宋体"/>
                <w:color w:val="auto"/>
                <w:spacing w:val="0"/>
                <w:w w:val="100"/>
                <w:position w:val="0"/>
                <w:highlight w:val="none"/>
              </w:rPr>
            </w:pPr>
            <w:r>
              <w:rPr>
                <w:rFonts w:hint="eastAsia" w:ascii="宋体" w:hAnsi="宋体" w:eastAsia="宋体" w:cs="宋体"/>
                <w:snapToGrid w:val="0"/>
                <w:color w:val="auto"/>
                <w:spacing w:val="0"/>
                <w:w w:val="100"/>
                <w:kern w:val="0"/>
                <w:position w:val="0"/>
                <w:sz w:val="21"/>
                <w:szCs w:val="21"/>
                <w:highlight w:val="none"/>
                <w:lang w:val="en-US" w:eastAsia="zh-CN" w:bidi="ar-SA"/>
              </w:rPr>
              <w:t>详见第五章发包人要求</w:t>
            </w:r>
            <w:r>
              <w:rPr>
                <w:rFonts w:hint="eastAsia" w:ascii="宋体" w:hAnsi="宋体" w:eastAsia="宋体" w:cs="宋体"/>
                <w:snapToGrid w:val="0"/>
                <w:color w:val="auto"/>
                <w:spacing w:val="0"/>
                <w:w w:val="100"/>
                <w:kern w:val="0"/>
                <w:position w:val="0"/>
                <w:sz w:val="21"/>
                <w:szCs w:val="21"/>
                <w:highlight w:val="none"/>
                <w:lang w:val="en-US" w:eastAsia="en-US" w:bidi="ar-SA"/>
              </w:rPr>
              <w:t>。</w:t>
            </w:r>
          </w:p>
        </w:tc>
      </w:tr>
      <w:tr w14:paraId="5C87F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1002" w:type="dxa"/>
            <w:vAlign w:val="center"/>
          </w:tcPr>
          <w:p w14:paraId="41B30A0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3.3.1</w:t>
            </w:r>
          </w:p>
        </w:tc>
        <w:tc>
          <w:tcPr>
            <w:tcW w:w="2594" w:type="dxa"/>
            <w:gridSpan w:val="2"/>
            <w:vAlign w:val="center"/>
          </w:tcPr>
          <w:p w14:paraId="0F7EA0E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投标有效期</w:t>
            </w:r>
          </w:p>
        </w:tc>
        <w:tc>
          <w:tcPr>
            <w:tcW w:w="5628" w:type="dxa"/>
            <w:vAlign w:val="top"/>
          </w:tcPr>
          <w:p w14:paraId="112F16A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89"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自投标人提交投标文件截止之日起计算</w:t>
            </w:r>
            <w:r>
              <w:rPr>
                <w:rFonts w:hint="eastAsia" w:ascii="宋体" w:hAnsi="宋体" w:eastAsia="宋体" w:cs="宋体"/>
                <w:color w:val="auto"/>
                <w:spacing w:val="0"/>
                <w:w w:val="100"/>
                <w:position w:val="0"/>
                <w:highlight w:val="none"/>
                <w:u w:val="single"/>
              </w:rPr>
              <w:t xml:space="preserve"> </w:t>
            </w:r>
            <w:r>
              <w:rPr>
                <w:rFonts w:hint="eastAsia" w:ascii="宋体" w:hAnsi="宋体" w:eastAsia="宋体" w:cs="宋体"/>
                <w:color w:val="auto"/>
                <w:spacing w:val="0"/>
                <w:w w:val="100"/>
                <w:position w:val="0"/>
                <w:highlight w:val="none"/>
                <w:u w:val="single" w:color="auto"/>
              </w:rPr>
              <w:t xml:space="preserve">180 </w:t>
            </w:r>
            <w:r>
              <w:rPr>
                <w:rFonts w:hint="eastAsia" w:ascii="宋体" w:hAnsi="宋体" w:eastAsia="宋体" w:cs="宋体"/>
                <w:color w:val="auto"/>
                <w:spacing w:val="0"/>
                <w:w w:val="100"/>
                <w:position w:val="0"/>
                <w:highlight w:val="none"/>
              </w:rPr>
              <w:t>日</w:t>
            </w:r>
          </w:p>
        </w:tc>
      </w:tr>
      <w:tr w14:paraId="7F90E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0D1C5CE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3.4.1</w:t>
            </w:r>
          </w:p>
        </w:tc>
        <w:tc>
          <w:tcPr>
            <w:tcW w:w="2594" w:type="dxa"/>
            <w:gridSpan w:val="2"/>
            <w:vAlign w:val="center"/>
          </w:tcPr>
          <w:p w14:paraId="7CC655AF">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投标保证金</w:t>
            </w:r>
          </w:p>
        </w:tc>
        <w:tc>
          <w:tcPr>
            <w:tcW w:w="5628" w:type="dxa"/>
            <w:vAlign w:val="top"/>
          </w:tcPr>
          <w:p w14:paraId="2FFFE4D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1</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是否要求投标人递交投标保证金：</w:t>
            </w:r>
            <w:r>
              <w:rPr>
                <w:rFonts w:hint="eastAsia" w:ascii="宋体" w:hAnsi="宋体" w:eastAsia="宋体" w:cs="宋体"/>
                <w:color w:val="auto"/>
                <w:spacing w:val="0"/>
                <w:w w:val="100"/>
                <w:position w:val="0"/>
                <w:highlight w:val="none"/>
                <w:lang w:val="en-US" w:eastAsia="zh-CN"/>
              </w:rPr>
              <w:t>要求</w:t>
            </w:r>
          </w:p>
          <w:p w14:paraId="2388939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2</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投标保证金的形式：</w:t>
            </w:r>
            <w:r>
              <w:rPr>
                <w:rFonts w:hint="eastAsia" w:ascii="宋体" w:hAnsi="宋体" w:eastAsia="宋体" w:cs="宋体"/>
                <w:color w:val="auto"/>
                <w:spacing w:val="0"/>
                <w:w w:val="100"/>
                <w:position w:val="0"/>
                <w:highlight w:val="none"/>
                <w:lang w:val="en-US" w:eastAsia="zh-CN"/>
              </w:rPr>
              <w:t>现金（银行转账、银行电汇）、银行保函、担保机构担保、保证保险、电子保函。</w:t>
            </w:r>
          </w:p>
          <w:p w14:paraId="5FDC03D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b/>
                <w:bCs/>
                <w:color w:val="auto"/>
                <w:spacing w:val="0"/>
                <w:w w:val="100"/>
                <w:position w:val="0"/>
                <w:highlight w:val="none"/>
                <w:lang w:val="en-US" w:eastAsia="zh-CN"/>
              </w:rPr>
            </w:pPr>
            <w:r>
              <w:rPr>
                <w:rFonts w:hint="eastAsia" w:ascii="宋体" w:hAnsi="宋体" w:eastAsia="宋体" w:cs="宋体"/>
                <w:color w:val="auto"/>
                <w:spacing w:val="0"/>
                <w:w w:val="100"/>
                <w:position w:val="0"/>
                <w:highlight w:val="none"/>
              </w:rPr>
              <w:t>投标保证金的金额：</w:t>
            </w:r>
            <w:r>
              <w:rPr>
                <w:rFonts w:hint="eastAsia" w:ascii="宋体" w:hAnsi="宋体" w:eastAsia="宋体" w:cs="宋体"/>
                <w:b/>
                <w:bCs/>
                <w:color w:val="auto"/>
                <w:spacing w:val="0"/>
                <w:w w:val="100"/>
                <w:position w:val="0"/>
                <w:highlight w:val="none"/>
                <w:lang w:val="en-US" w:eastAsia="zh-CN"/>
              </w:rPr>
              <w:t>01标段</w:t>
            </w:r>
            <w:r>
              <w:rPr>
                <w:rFonts w:hint="eastAsia" w:ascii="宋体" w:hAnsi="宋体" w:eastAsia="宋体" w:cs="宋体"/>
                <w:b/>
                <w:bCs/>
                <w:color w:val="auto"/>
                <w:spacing w:val="0"/>
                <w:w w:val="100"/>
                <w:position w:val="0"/>
                <w:highlight w:val="none"/>
              </w:rPr>
              <w:t>人民币</w:t>
            </w:r>
            <w:r>
              <w:rPr>
                <w:rFonts w:hint="eastAsia" w:cs="宋体"/>
                <w:b/>
                <w:bCs/>
                <w:color w:val="auto"/>
                <w:spacing w:val="0"/>
                <w:w w:val="100"/>
                <w:position w:val="0"/>
                <w:highlight w:val="none"/>
                <w:u w:val="single"/>
                <w:lang w:val="en-US" w:eastAsia="zh-CN"/>
              </w:rPr>
              <w:t xml:space="preserve"> 10 </w:t>
            </w:r>
            <w:r>
              <w:rPr>
                <w:rFonts w:hint="eastAsia" w:ascii="宋体" w:hAnsi="宋体" w:eastAsia="宋体" w:cs="宋体"/>
                <w:b/>
                <w:bCs/>
                <w:color w:val="auto"/>
                <w:spacing w:val="0"/>
                <w:w w:val="100"/>
                <w:position w:val="0"/>
                <w:highlight w:val="none"/>
              </w:rPr>
              <w:t>万元</w:t>
            </w:r>
            <w:r>
              <w:rPr>
                <w:rFonts w:hint="eastAsia" w:ascii="宋体" w:hAnsi="宋体" w:eastAsia="宋体" w:cs="宋体"/>
                <w:b/>
                <w:bCs/>
                <w:color w:val="auto"/>
                <w:spacing w:val="0"/>
                <w:w w:val="100"/>
                <w:position w:val="0"/>
                <w:highlight w:val="none"/>
                <w:lang w:eastAsia="zh-CN"/>
              </w:rPr>
              <w:t>；</w:t>
            </w:r>
            <w:r>
              <w:rPr>
                <w:rFonts w:hint="eastAsia" w:ascii="宋体" w:hAnsi="宋体" w:eastAsia="宋体" w:cs="宋体"/>
                <w:b/>
                <w:bCs/>
                <w:color w:val="auto"/>
                <w:spacing w:val="0"/>
                <w:w w:val="100"/>
                <w:position w:val="0"/>
                <w:highlight w:val="none"/>
                <w:lang w:val="en-US" w:eastAsia="zh-CN"/>
              </w:rPr>
              <w:t>02标段</w:t>
            </w:r>
            <w:r>
              <w:rPr>
                <w:rFonts w:hint="eastAsia" w:ascii="宋体" w:hAnsi="宋体" w:eastAsia="宋体" w:cs="宋体"/>
                <w:b/>
                <w:bCs/>
                <w:color w:val="auto"/>
                <w:spacing w:val="0"/>
                <w:w w:val="100"/>
                <w:position w:val="0"/>
                <w:highlight w:val="none"/>
              </w:rPr>
              <w:t>人民币</w:t>
            </w:r>
            <w:r>
              <w:rPr>
                <w:rFonts w:hint="eastAsia" w:cs="宋体"/>
                <w:b/>
                <w:bCs/>
                <w:color w:val="auto"/>
                <w:spacing w:val="0"/>
                <w:w w:val="100"/>
                <w:position w:val="0"/>
                <w:highlight w:val="none"/>
                <w:u w:val="single"/>
                <w:lang w:val="en-US" w:eastAsia="zh-CN"/>
              </w:rPr>
              <w:t xml:space="preserve"> 5 </w:t>
            </w:r>
            <w:r>
              <w:rPr>
                <w:rFonts w:hint="eastAsia" w:ascii="宋体" w:hAnsi="宋体" w:eastAsia="宋体" w:cs="宋体"/>
                <w:b/>
                <w:bCs/>
                <w:color w:val="auto"/>
                <w:spacing w:val="0"/>
                <w:w w:val="100"/>
                <w:position w:val="0"/>
                <w:highlight w:val="none"/>
              </w:rPr>
              <w:t>万元</w:t>
            </w:r>
            <w:r>
              <w:rPr>
                <w:rFonts w:hint="eastAsia" w:ascii="宋体" w:hAnsi="宋体" w:eastAsia="宋体" w:cs="宋体"/>
                <w:b/>
                <w:bCs/>
                <w:color w:val="auto"/>
                <w:spacing w:val="0"/>
                <w:w w:val="100"/>
                <w:position w:val="0"/>
                <w:highlight w:val="none"/>
                <w:lang w:eastAsia="zh-CN"/>
              </w:rPr>
              <w:t>。</w:t>
            </w:r>
            <w:r>
              <w:rPr>
                <w:rFonts w:hint="eastAsia" w:ascii="宋体" w:hAnsi="宋体" w:eastAsia="宋体" w:cs="宋体"/>
                <w:b/>
                <w:bCs/>
                <w:color w:val="auto"/>
                <w:spacing w:val="0"/>
                <w:w w:val="100"/>
                <w:position w:val="0"/>
                <w:highlight w:val="none"/>
                <w:lang w:val="en-US" w:eastAsia="zh-CN"/>
              </w:rPr>
              <w:t>如投标人同时参加两个标段，则每个标段均需单独缴纳保证金。</w:t>
            </w:r>
            <w:r>
              <w:rPr>
                <w:rFonts w:hint="eastAsia" w:cs="宋体"/>
                <w:b/>
                <w:bCs/>
                <w:color w:val="auto"/>
                <w:spacing w:val="0"/>
                <w:w w:val="100"/>
                <w:position w:val="0"/>
                <w:highlight w:val="none"/>
                <w:lang w:val="en-US" w:eastAsia="zh-CN"/>
              </w:rPr>
              <w:t>（如为联合体投标，保证金由牵头人负责办理）</w:t>
            </w:r>
          </w:p>
          <w:p w14:paraId="14BB7FD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3</w:t>
            </w: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lang w:val="en-US" w:eastAsia="zh-CN"/>
              </w:rPr>
              <w:t>具体要求</w:t>
            </w:r>
            <w:r>
              <w:rPr>
                <w:rFonts w:hint="eastAsia" w:ascii="宋体" w:hAnsi="宋体" w:eastAsia="宋体" w:cs="宋体"/>
                <w:color w:val="auto"/>
                <w:spacing w:val="0"/>
                <w:w w:val="100"/>
                <w:position w:val="0"/>
                <w:highlight w:val="none"/>
              </w:rPr>
              <w:t>：</w:t>
            </w:r>
            <w:r>
              <w:rPr>
                <w:rFonts w:hint="eastAsia" w:ascii="宋体" w:hAnsi="宋体" w:eastAsia="宋体" w:cs="宋体"/>
                <w:color w:val="auto"/>
                <w:spacing w:val="0"/>
                <w:w w:val="100"/>
                <w:position w:val="0"/>
                <w:highlight w:val="none"/>
                <w:lang w:val="en-US" w:eastAsia="zh-CN"/>
              </w:rPr>
              <w:t xml:space="preserve">①采用现金形式的，投标保证金应当从投标人基本存款账户转出，投标保证金的到账截止时间为投标截止时间。投标保证金转出账户与投标人投标文件提供的基本存款账户不一致的，视为未按照招标文件规定提交投标保证金。提交投标保证金的开户银行及账号见招标公告（选择任何一家银行提交即可）。 </w:t>
            </w:r>
          </w:p>
          <w:p w14:paraId="41763F6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 xml:space="preserve">②采用银行保函的，应为投标人基本存款账户开户行出具的不可撤销、不可转让的见索即付独立保函。 </w:t>
            </w:r>
          </w:p>
          <w:p w14:paraId="634AB94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 xml:space="preserve">③采用担保机构担保的，应为经安徽省地方金融监督管理局审查批准，依法取得融资担保业务经营许可证的融资担保机构出具的不可撤销、不可转让的见索即付独立保函。 </w:t>
            </w:r>
          </w:p>
          <w:p w14:paraId="6C188EF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 xml:space="preserve">④采用保证保险的，应为保险公司出具的不可撤销、不可转让的见索即付保证保险。 </w:t>
            </w:r>
          </w:p>
          <w:p w14:paraId="504D5C1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⑤采用电子保函的，请登录全国公共资源交易平台（安徽省•合肥市）（安徽合肥公共资源交易中心网站）“通知公告”栏目查看《合肥市公共资源交易投标保证金电子保函操作手册》并按照操作手册规定内容办理。</w:t>
            </w:r>
          </w:p>
          <w:p w14:paraId="3172937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 xml:space="preserve">（4）是否适用投标保证金减免政策： </w:t>
            </w:r>
          </w:p>
          <w:p w14:paraId="1A508C9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w:t>
            </w:r>
            <w:r>
              <w:rPr>
                <w:rFonts w:hint="eastAsia" w:cs="宋体"/>
                <w:color w:val="auto"/>
                <w:spacing w:val="0"/>
                <w:w w:val="100"/>
                <w:position w:val="0"/>
                <w:highlight w:val="none"/>
                <w:lang w:val="en-US" w:eastAsia="zh-CN"/>
              </w:rPr>
              <w:t>不</w:t>
            </w:r>
            <w:r>
              <w:rPr>
                <w:rFonts w:hint="eastAsia" w:ascii="宋体" w:hAnsi="宋体" w:eastAsia="宋体" w:cs="宋体"/>
                <w:color w:val="auto"/>
                <w:spacing w:val="0"/>
                <w:w w:val="100"/>
                <w:position w:val="0"/>
                <w:highlight w:val="none"/>
                <w:lang w:val="en-US" w:eastAsia="zh-CN"/>
              </w:rPr>
              <w:t xml:space="preserve">适用 </w:t>
            </w:r>
          </w:p>
          <w:p w14:paraId="11689F9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 xml:space="preserve">（5）其他要求： </w:t>
            </w:r>
          </w:p>
          <w:p w14:paraId="16BB21C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 xml:space="preserve">①特别提醒 </w:t>
            </w:r>
          </w:p>
          <w:p w14:paraId="049952A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 xml:space="preserve">投标人采用银行保函、担保机构担保、保证保险方式提交投标保证金的，如出现本招标项目招标文件“投标人须知”第3.4.4 项所列情形的，提供担保的银行、担保机构及保险机构将无条件向招标人支付保函所列的全部投标保证金金额，该支付行为视同投标保证金不予退还。 </w:t>
            </w:r>
          </w:p>
          <w:p w14:paraId="004B137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 xml:space="preserve">②投标保证金弄虚作假情形 </w:t>
            </w:r>
          </w:p>
          <w:p w14:paraId="3BC8007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 xml:space="preserve">投标人采用虚假银行保函（或担保机构担保或保证保险）方式提交投标保证金的，除依法承担弄虚作假、骗取中标的法律责任外，还应根据招标文件规定承担投标保证金不予退还的民事责任，其承担方式为限时足额缴纳招标文件所列全部投标保证金，投标人在招标人发出追缴通知后的规定缴纳时间内不能足额支付投标保证金的，招标人将依法提起诉讼追缴，招标人因此发生的诉讼费、律师代理费等费用均由投标人承担。 </w:t>
            </w:r>
          </w:p>
          <w:p w14:paraId="48AE2A7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（6）投标保证金注意事项： </w:t>
            </w:r>
          </w:p>
          <w:p w14:paraId="2B755A9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①投标人采用银行保函、担保机构担保、保证保险形式的，须提供明确有效的查询途径（网址链接及查询方式），否则无效。 </w:t>
            </w:r>
          </w:p>
          <w:p w14:paraId="491E127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 xml:space="preserve">②保函存在明显异常情形的（如多家投标人的保函编号相同；保函存在明显伪造痕迹、内容前后矛盾等情形），评标委员会应根据投标人提供的查询途径进行核查，并在评标报告中予以记录。 </w:t>
            </w:r>
          </w:p>
          <w:p w14:paraId="274A819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9" w:right="98" w:hanging="4"/>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③中标候选人须在中标候选人公示期间将其开具至本招标项目的银行保函（或担保机构担保或保证保险）原件提交招标人（或招标代理机构），且原件须与投标文件中提供的扫描件一致，如存在未按照规定提交或提交内容不一致，或发现弄虚作假的，招标人（或招标代理机构）应报公共资源交易监督管理部门</w:t>
            </w:r>
            <w:r>
              <w:rPr>
                <w:rFonts w:hint="eastAsia" w:ascii="宋体" w:hAnsi="宋体" w:eastAsia="宋体" w:cs="宋体"/>
                <w:color w:val="auto"/>
                <w:spacing w:val="0"/>
                <w:w w:val="100"/>
                <w:position w:val="0"/>
                <w:highlight w:val="none"/>
              </w:rPr>
              <w:t>。</w:t>
            </w:r>
          </w:p>
        </w:tc>
      </w:tr>
      <w:tr w14:paraId="1BD286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5DFB00C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3.4.3</w:t>
            </w:r>
          </w:p>
        </w:tc>
        <w:tc>
          <w:tcPr>
            <w:tcW w:w="2593" w:type="dxa"/>
            <w:vAlign w:val="center"/>
          </w:tcPr>
          <w:p w14:paraId="591FC79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投标保证金的利息计算原则</w:t>
            </w:r>
          </w:p>
        </w:tc>
        <w:tc>
          <w:tcPr>
            <w:tcW w:w="5629" w:type="dxa"/>
            <w:gridSpan w:val="2"/>
            <w:vAlign w:val="top"/>
          </w:tcPr>
          <w:p w14:paraId="3874D96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8" w:right="97"/>
              <w:jc w:val="both"/>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按安徽合肥公共资源交易中心的相关规定执行。</w:t>
            </w:r>
          </w:p>
        </w:tc>
      </w:tr>
      <w:tr w14:paraId="0B1D9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093A1162">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3.4.4</w:t>
            </w:r>
          </w:p>
        </w:tc>
        <w:tc>
          <w:tcPr>
            <w:tcW w:w="2593" w:type="dxa"/>
            <w:vAlign w:val="center"/>
          </w:tcPr>
          <w:p w14:paraId="277D3DB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139"/>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其他可以不予退还投标保证金的情形</w:t>
            </w:r>
          </w:p>
        </w:tc>
        <w:tc>
          <w:tcPr>
            <w:tcW w:w="5629" w:type="dxa"/>
            <w:gridSpan w:val="2"/>
            <w:vAlign w:val="center"/>
          </w:tcPr>
          <w:p w14:paraId="3EB2AAA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4" w:right="98"/>
              <w:jc w:val="left"/>
              <w:textAlignment w:val="baseline"/>
              <w:rPr>
                <w:rFonts w:hint="eastAsia" w:ascii="宋体" w:hAnsi="宋体" w:eastAsia="宋体" w:cs="宋体"/>
                <w:color w:val="auto"/>
                <w:spacing w:val="0"/>
                <w:w w:val="100"/>
                <w:position w:val="0"/>
                <w:highlight w:val="none"/>
                <w:lang w:eastAsia="zh-CN"/>
              </w:rPr>
            </w:pPr>
            <w:r>
              <w:rPr>
                <w:rFonts w:hint="eastAsia" w:cs="宋体"/>
                <w:color w:val="auto"/>
                <w:spacing w:val="0"/>
                <w:w w:val="100"/>
                <w:position w:val="0"/>
                <w:highlight w:val="none"/>
                <w:lang w:val="en-US" w:eastAsia="zh-CN"/>
              </w:rPr>
              <w:t>/</w:t>
            </w:r>
          </w:p>
        </w:tc>
      </w:tr>
      <w:tr w14:paraId="69BAA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7440239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增</w:t>
            </w:r>
            <w:r>
              <w:rPr>
                <w:rFonts w:hint="eastAsia" w:cs="宋体"/>
                <w:color w:val="auto"/>
                <w:spacing w:val="0"/>
                <w:w w:val="100"/>
                <w:position w:val="0"/>
                <w:highlight w:val="none"/>
                <w:lang w:val="en-US" w:eastAsia="zh-CN"/>
              </w:rPr>
              <w:t xml:space="preserve"> </w:t>
            </w:r>
            <w:r>
              <w:rPr>
                <w:rFonts w:hint="eastAsia" w:ascii="宋体" w:hAnsi="宋体" w:eastAsia="宋体" w:cs="宋体"/>
                <w:color w:val="auto"/>
                <w:spacing w:val="0"/>
                <w:w w:val="100"/>
                <w:position w:val="0"/>
                <w:highlight w:val="none"/>
              </w:rPr>
              <w:t>3.4.5</w:t>
            </w:r>
          </w:p>
        </w:tc>
        <w:tc>
          <w:tcPr>
            <w:tcW w:w="2593" w:type="dxa"/>
            <w:vAlign w:val="center"/>
          </w:tcPr>
          <w:p w14:paraId="0CFABA3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特别提醒</w:t>
            </w:r>
          </w:p>
        </w:tc>
        <w:tc>
          <w:tcPr>
            <w:tcW w:w="5629" w:type="dxa"/>
            <w:gridSpan w:val="2"/>
            <w:vAlign w:val="top"/>
          </w:tcPr>
          <w:p w14:paraId="48DD38A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4" w:right="98"/>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投标人采用银行保函、担保机构担保函方式提交投标保证金的，如出现本项目招标文件“投标人须知”3.4.4 项所列情形以及招标文件所列其他投标保证金不予退还情形的，提供担保的银行、担保机构将无条件支付招标人保函所列的全部投标保证金金额，该支付行为视同投标保证金不予退还。</w:t>
            </w:r>
          </w:p>
        </w:tc>
      </w:tr>
      <w:tr w14:paraId="09709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11E2BFF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增 3.4.6</w:t>
            </w:r>
          </w:p>
        </w:tc>
        <w:tc>
          <w:tcPr>
            <w:tcW w:w="2593" w:type="dxa"/>
            <w:vAlign w:val="center"/>
          </w:tcPr>
          <w:p w14:paraId="255F117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投标保证金弄虚作假情形</w:t>
            </w:r>
          </w:p>
        </w:tc>
        <w:tc>
          <w:tcPr>
            <w:tcW w:w="5629" w:type="dxa"/>
            <w:gridSpan w:val="2"/>
            <w:vAlign w:val="top"/>
          </w:tcPr>
          <w:p w14:paraId="06D5CE1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4" w:right="98"/>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投标人采用虚假银行保函、担保机构担保函方式提交投标保证金的，除依法承担弄虚作假、骗取中标 的法律责任外，仍应根据招标文件规定承担投标保 证金不予退还的民事责任，其承担方式为限时足额 缴纳招标文件所列全部投标保证金，投标人在招标人/招标代理机构发出追缴通知后的规定缴纳时间内不能足额支付投标保证金的，招标人/招标代理机构将依法提起诉讼追缴，招标人/招标代理机构因此发生的诉讼费、律师代理费等费用均由投标人承担。</w:t>
            </w:r>
          </w:p>
        </w:tc>
      </w:tr>
      <w:tr w14:paraId="0AE6F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036B064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3.5</w:t>
            </w:r>
          </w:p>
        </w:tc>
        <w:tc>
          <w:tcPr>
            <w:tcW w:w="2593" w:type="dxa"/>
            <w:vAlign w:val="center"/>
          </w:tcPr>
          <w:p w14:paraId="3829D045">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资格审查资料的特殊要求</w:t>
            </w:r>
          </w:p>
        </w:tc>
        <w:tc>
          <w:tcPr>
            <w:tcW w:w="5629" w:type="dxa"/>
            <w:gridSpan w:val="2"/>
            <w:vAlign w:val="top"/>
          </w:tcPr>
          <w:p w14:paraId="2827A52F">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5" w:right="0"/>
              <w:textAlignment w:val="baseline"/>
              <w:rPr>
                <w:rFonts w:hint="eastAsia" w:ascii="宋体" w:hAnsi="宋体" w:eastAsia="宋体" w:cs="宋体"/>
                <w:color w:val="auto"/>
                <w:spacing w:val="0"/>
                <w:w w:val="100"/>
                <w:position w:val="0"/>
                <w:highlight w:val="none"/>
              </w:rPr>
            </w:pPr>
            <w:r>
              <w:rPr>
                <w:rFonts w:hint="eastAsia"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无</w:t>
            </w:r>
          </w:p>
          <w:p w14:paraId="785B4E0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3" w:right="0"/>
              <w:textAlignment w:val="baseline"/>
              <w:rPr>
                <w:rFonts w:hint="eastAsia" w:ascii="宋体" w:hAnsi="宋体" w:eastAsia="宋体" w:cs="宋体"/>
                <w:color w:val="auto"/>
                <w:spacing w:val="0"/>
                <w:w w:val="100"/>
                <w:position w:val="0"/>
                <w:highlight w:val="none"/>
              </w:rPr>
            </w:pPr>
            <w:r>
              <w:rPr>
                <w:rFonts w:hint="eastAsia"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有，具体要求：</w:t>
            </w:r>
          </w:p>
        </w:tc>
      </w:tr>
      <w:tr w14:paraId="5A83B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02" w:type="dxa"/>
            <w:vAlign w:val="center"/>
          </w:tcPr>
          <w:p w14:paraId="7900832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3.5.2</w:t>
            </w:r>
          </w:p>
        </w:tc>
        <w:tc>
          <w:tcPr>
            <w:tcW w:w="2593" w:type="dxa"/>
            <w:vAlign w:val="center"/>
          </w:tcPr>
          <w:p w14:paraId="2134233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近年完成的类似项目情况 的时间要求</w:t>
            </w:r>
          </w:p>
        </w:tc>
        <w:tc>
          <w:tcPr>
            <w:tcW w:w="5629" w:type="dxa"/>
            <w:gridSpan w:val="2"/>
            <w:vAlign w:val="center"/>
          </w:tcPr>
          <w:p w14:paraId="3107918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2" w:right="0"/>
              <w:jc w:val="both"/>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详见公告</w:t>
            </w:r>
          </w:p>
        </w:tc>
      </w:tr>
      <w:tr w14:paraId="2634E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79206ED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3.6.1</w:t>
            </w:r>
          </w:p>
        </w:tc>
        <w:tc>
          <w:tcPr>
            <w:tcW w:w="2593" w:type="dxa"/>
            <w:vAlign w:val="center"/>
          </w:tcPr>
          <w:p w14:paraId="4353EE9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是否允许递交备选投标方案</w:t>
            </w:r>
          </w:p>
        </w:tc>
        <w:tc>
          <w:tcPr>
            <w:tcW w:w="5629" w:type="dxa"/>
            <w:gridSpan w:val="2"/>
            <w:vAlign w:val="top"/>
          </w:tcPr>
          <w:p w14:paraId="06A072F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5"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☑不允许</w:t>
            </w:r>
          </w:p>
          <w:p w14:paraId="2648E2A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5" w:right="0"/>
              <w:textAlignment w:val="baseline"/>
              <w:rPr>
                <w:rFonts w:hint="eastAsia" w:ascii="宋体" w:hAnsi="宋体" w:eastAsia="宋体" w:cs="宋体"/>
                <w:color w:val="auto"/>
                <w:spacing w:val="0"/>
                <w:w w:val="100"/>
                <w:position w:val="0"/>
                <w:highlight w:val="none"/>
              </w:rPr>
            </w:pPr>
            <w:r>
              <w:rPr>
                <w:rFonts w:hint="eastAsia"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允许</w:t>
            </w:r>
          </w:p>
        </w:tc>
      </w:tr>
      <w:tr w14:paraId="1B6CF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1F896DF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3.7.3</w:t>
            </w:r>
          </w:p>
        </w:tc>
        <w:tc>
          <w:tcPr>
            <w:tcW w:w="2593" w:type="dxa"/>
            <w:vAlign w:val="center"/>
          </w:tcPr>
          <w:p w14:paraId="7C03DB9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投标文件制作</w:t>
            </w:r>
          </w:p>
        </w:tc>
        <w:tc>
          <w:tcPr>
            <w:tcW w:w="5629" w:type="dxa"/>
            <w:gridSpan w:val="2"/>
            <w:vAlign w:val="top"/>
          </w:tcPr>
          <w:p w14:paraId="76C77A62">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7"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增加：</w:t>
            </w:r>
          </w:p>
          <w:p w14:paraId="1C10424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4" w:right="98"/>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（5）本项目为电子招标，投标人无需编制纸质投标文件。</w:t>
            </w:r>
          </w:p>
        </w:tc>
      </w:tr>
      <w:tr w14:paraId="119D5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620E798F">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Times New Roman" w:cs="Times New Roman"/>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lang w:val="en-US" w:eastAsia="zh-CN"/>
              </w:rPr>
              <w:t>3.7.4</w:t>
            </w:r>
          </w:p>
        </w:tc>
        <w:tc>
          <w:tcPr>
            <w:tcW w:w="2594" w:type="dxa"/>
            <w:gridSpan w:val="2"/>
            <w:vAlign w:val="center"/>
          </w:tcPr>
          <w:p w14:paraId="1B946EC2">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color w:val="auto"/>
                <w:spacing w:val="0"/>
                <w:w w:val="100"/>
                <w:position w:val="0"/>
                <w:highlight w:val="none"/>
              </w:rPr>
            </w:pPr>
            <w:r>
              <w:rPr>
                <w:rFonts w:hint="default"/>
                <w:color w:val="auto"/>
                <w:spacing w:val="0"/>
                <w:w w:val="100"/>
                <w:position w:val="0"/>
                <w:highlight w:val="none"/>
                <w:lang w:val="en-US" w:eastAsia="zh-CN"/>
              </w:rPr>
              <w:t>非加密电子投标文件递交</w:t>
            </w:r>
          </w:p>
        </w:tc>
        <w:tc>
          <w:tcPr>
            <w:tcW w:w="5628" w:type="dxa"/>
            <w:vAlign w:val="top"/>
          </w:tcPr>
          <w:p w14:paraId="00380AE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84"/>
              <w:jc w:val="both"/>
              <w:textAlignment w:val="baseline"/>
              <w:rPr>
                <w:rFonts w:hint="default"/>
                <w:color w:val="auto"/>
                <w:spacing w:val="0"/>
                <w:w w:val="100"/>
                <w:position w:val="0"/>
                <w:highlight w:val="none"/>
              </w:rPr>
            </w:pPr>
            <w:r>
              <w:rPr>
                <w:rFonts w:hint="default"/>
                <w:color w:val="auto"/>
                <w:spacing w:val="0"/>
                <w:w w:val="100"/>
                <w:position w:val="0"/>
                <w:highlight w:val="none"/>
                <w:lang w:val="en-US" w:eastAsia="zh-CN"/>
              </w:rPr>
              <w:t xml:space="preserve">非加密电子投标文件由投标人自行确定是否递交。 </w:t>
            </w:r>
          </w:p>
          <w:p w14:paraId="2896C8C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84"/>
              <w:jc w:val="both"/>
              <w:textAlignment w:val="baseline"/>
              <w:rPr>
                <w:rFonts w:hint="default"/>
                <w:color w:val="auto"/>
                <w:spacing w:val="0"/>
                <w:w w:val="100"/>
                <w:position w:val="0"/>
                <w:highlight w:val="none"/>
              </w:rPr>
            </w:pPr>
            <w:r>
              <w:rPr>
                <w:rFonts w:hint="default"/>
                <w:color w:val="auto"/>
                <w:spacing w:val="0"/>
                <w:w w:val="100"/>
                <w:position w:val="0"/>
                <w:highlight w:val="none"/>
                <w:lang w:val="en-US" w:eastAsia="zh-CN"/>
              </w:rPr>
              <w:t xml:space="preserve">如递交，应在投标截止时间前在开标地点递交，并提供以下证明材料，否则招标人不予接收。 </w:t>
            </w:r>
          </w:p>
          <w:p w14:paraId="65086EA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84"/>
              <w:jc w:val="both"/>
              <w:textAlignment w:val="baseline"/>
              <w:rPr>
                <w:rFonts w:hint="default"/>
                <w:color w:val="auto"/>
                <w:spacing w:val="0"/>
                <w:w w:val="100"/>
                <w:position w:val="0"/>
                <w:highlight w:val="none"/>
              </w:rPr>
            </w:pPr>
            <w:r>
              <w:rPr>
                <w:rFonts w:hint="default"/>
                <w:color w:val="auto"/>
                <w:spacing w:val="0"/>
                <w:w w:val="100"/>
                <w:position w:val="0"/>
                <w:highlight w:val="none"/>
                <w:lang w:val="en-US" w:eastAsia="zh-CN"/>
              </w:rPr>
              <w:t xml:space="preserve">（1）法定代表人亲自递交的，应提供法定代表人身份证明和法定代表人的有效身份证件； </w:t>
            </w:r>
          </w:p>
          <w:p w14:paraId="4FAED24D">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84"/>
              <w:jc w:val="both"/>
              <w:textAlignment w:val="baseline"/>
              <w:rPr>
                <w:rFonts w:hint="default"/>
                <w:color w:val="auto"/>
                <w:spacing w:val="0"/>
                <w:w w:val="100"/>
                <w:position w:val="0"/>
                <w:highlight w:val="none"/>
              </w:rPr>
            </w:pPr>
            <w:r>
              <w:rPr>
                <w:rFonts w:hint="default"/>
                <w:color w:val="auto"/>
                <w:spacing w:val="0"/>
                <w:w w:val="100"/>
                <w:position w:val="0"/>
                <w:highlight w:val="none"/>
                <w:lang w:val="en-US" w:eastAsia="zh-CN"/>
              </w:rPr>
              <w:t xml:space="preserve">（2）委托代理人递交的，应提供授权委托书和委托代理人的有效身份证件。 </w:t>
            </w:r>
          </w:p>
          <w:p w14:paraId="1A82B59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84"/>
              <w:jc w:val="both"/>
              <w:textAlignment w:val="baseline"/>
              <w:rPr>
                <w:rFonts w:hint="default"/>
                <w:color w:val="auto"/>
                <w:spacing w:val="0"/>
                <w:w w:val="100"/>
                <w:position w:val="0"/>
                <w:highlight w:val="none"/>
              </w:rPr>
            </w:pPr>
            <w:r>
              <w:rPr>
                <w:rFonts w:hint="default"/>
                <w:color w:val="auto"/>
                <w:spacing w:val="0"/>
                <w:w w:val="100"/>
                <w:position w:val="0"/>
                <w:highlight w:val="none"/>
                <w:lang w:val="en-US" w:eastAsia="zh-CN"/>
              </w:rPr>
              <w:t xml:space="preserve">是否允许使用非加密投标文件作为备份： </w:t>
            </w:r>
          </w:p>
          <w:p w14:paraId="73B47D4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84"/>
              <w:jc w:val="both"/>
              <w:textAlignment w:val="baseline"/>
              <w:rPr>
                <w:rFonts w:hint="default"/>
                <w:color w:val="auto"/>
                <w:spacing w:val="0"/>
                <w:w w:val="100"/>
                <w:position w:val="0"/>
                <w:highlight w:val="none"/>
              </w:rPr>
            </w:pPr>
            <w:r>
              <w:rPr>
                <w:rFonts w:hint="eastAsia"/>
                <w:color w:val="auto"/>
                <w:spacing w:val="0"/>
                <w:w w:val="100"/>
                <w:position w:val="0"/>
                <w:highlight w:val="none"/>
                <w:lang w:val="en-US" w:eastAsia="zh-CN"/>
              </w:rPr>
              <w:t>☑</w:t>
            </w:r>
            <w:r>
              <w:rPr>
                <w:rFonts w:hint="default"/>
                <w:color w:val="auto"/>
                <w:spacing w:val="0"/>
                <w:w w:val="100"/>
                <w:position w:val="0"/>
                <w:highlight w:val="none"/>
                <w:lang w:val="en-US" w:eastAsia="zh-CN"/>
              </w:rPr>
              <w:t xml:space="preserve">不允许 </w:t>
            </w:r>
            <w:r>
              <w:rPr>
                <w:rFonts w:hint="eastAsia"/>
                <w:color w:val="auto"/>
                <w:spacing w:val="0"/>
                <w:w w:val="100"/>
                <w:position w:val="0"/>
                <w:highlight w:val="none"/>
                <w:lang w:val="en-US" w:eastAsia="zh-CN"/>
              </w:rPr>
              <w:t xml:space="preserve">    </w:t>
            </w:r>
            <w:r>
              <w:rPr>
                <w:rFonts w:hint="default"/>
                <w:color w:val="auto"/>
                <w:spacing w:val="0"/>
                <w:w w:val="100"/>
                <w:position w:val="0"/>
                <w:highlight w:val="none"/>
                <w:lang w:val="en-US" w:eastAsia="zh-CN"/>
              </w:rPr>
              <w:t>□允许</w:t>
            </w:r>
          </w:p>
        </w:tc>
      </w:tr>
      <w:tr w14:paraId="2ACB5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02" w:type="dxa"/>
            <w:vAlign w:val="center"/>
          </w:tcPr>
          <w:p w14:paraId="22CE09E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Times New Roman" w:cs="Times New Roman"/>
                <w:color w:val="auto"/>
                <w:spacing w:val="0"/>
                <w:w w:val="100"/>
                <w:position w:val="0"/>
                <w:sz w:val="21"/>
                <w:szCs w:val="21"/>
                <w:highlight w:val="none"/>
                <w:lang w:val="en-US"/>
              </w:rPr>
            </w:pPr>
            <w:r>
              <w:rPr>
                <w:rFonts w:hint="default" w:ascii="Times New Roman" w:hAnsi="Times New Roman" w:eastAsia="Times New Roman" w:cs="Times New Roman"/>
                <w:color w:val="auto"/>
                <w:spacing w:val="0"/>
                <w:w w:val="100"/>
                <w:position w:val="0"/>
                <w:sz w:val="21"/>
                <w:szCs w:val="21"/>
                <w:highlight w:val="none"/>
                <w:lang w:val="en-US" w:eastAsia="zh-CN"/>
              </w:rPr>
              <w:t>4.2.</w:t>
            </w:r>
            <w:r>
              <w:rPr>
                <w:rFonts w:hint="eastAsia" w:ascii="Times New Roman" w:hAnsi="Times New Roman" w:eastAsia="Times New Roman" w:cs="Times New Roman"/>
                <w:color w:val="auto"/>
                <w:spacing w:val="0"/>
                <w:w w:val="100"/>
                <w:position w:val="0"/>
                <w:sz w:val="21"/>
                <w:szCs w:val="21"/>
                <w:highlight w:val="none"/>
                <w:lang w:val="en-US" w:eastAsia="zh-CN"/>
              </w:rPr>
              <w:t>2</w:t>
            </w:r>
          </w:p>
        </w:tc>
        <w:tc>
          <w:tcPr>
            <w:tcW w:w="2594" w:type="dxa"/>
            <w:gridSpan w:val="2"/>
            <w:vAlign w:val="center"/>
          </w:tcPr>
          <w:p w14:paraId="30128E7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color w:val="auto"/>
                <w:spacing w:val="0"/>
                <w:w w:val="100"/>
                <w:position w:val="0"/>
                <w:highlight w:val="none"/>
              </w:rPr>
            </w:pPr>
            <w:r>
              <w:rPr>
                <w:rFonts w:hint="default"/>
                <w:color w:val="auto"/>
                <w:spacing w:val="0"/>
                <w:w w:val="100"/>
                <w:position w:val="0"/>
                <w:highlight w:val="none"/>
                <w:lang w:val="en-US" w:eastAsia="zh-CN"/>
              </w:rPr>
              <w:t>递交非加密电子投标文件地点</w:t>
            </w:r>
          </w:p>
        </w:tc>
        <w:tc>
          <w:tcPr>
            <w:tcW w:w="5628" w:type="dxa"/>
            <w:vAlign w:val="center"/>
          </w:tcPr>
          <w:p w14:paraId="3B3B9745">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4" w:right="60"/>
              <w:jc w:val="both"/>
              <w:textAlignment w:val="baseline"/>
              <w:rPr>
                <w:rFonts w:hint="default"/>
                <w:color w:val="auto"/>
                <w:spacing w:val="0"/>
                <w:w w:val="100"/>
                <w:position w:val="0"/>
                <w:highlight w:val="none"/>
                <w:lang w:val="en-US"/>
              </w:rPr>
            </w:pPr>
            <w:r>
              <w:rPr>
                <w:rFonts w:hint="default"/>
                <w:color w:val="auto"/>
                <w:spacing w:val="0"/>
                <w:w w:val="100"/>
                <w:position w:val="0"/>
                <w:highlight w:val="none"/>
                <w:lang w:val="en-US" w:eastAsia="zh-CN"/>
              </w:rPr>
              <w:t>同开标</w:t>
            </w:r>
            <w:r>
              <w:rPr>
                <w:rFonts w:hint="eastAsia"/>
                <w:color w:val="auto"/>
                <w:spacing w:val="0"/>
                <w:w w:val="100"/>
                <w:position w:val="0"/>
                <w:highlight w:val="none"/>
                <w:lang w:val="en-US" w:eastAsia="zh-CN"/>
              </w:rPr>
              <w:t>地点</w:t>
            </w:r>
          </w:p>
        </w:tc>
      </w:tr>
      <w:tr w14:paraId="68E3E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57AF14C4">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4.2.3</w:t>
            </w:r>
          </w:p>
        </w:tc>
        <w:tc>
          <w:tcPr>
            <w:tcW w:w="2594" w:type="dxa"/>
            <w:gridSpan w:val="2"/>
            <w:vAlign w:val="center"/>
          </w:tcPr>
          <w:p w14:paraId="2630795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0" w:right="0"/>
              <w:jc w:val="center"/>
              <w:textAlignment w:val="baseline"/>
              <w:rPr>
                <w:rFonts w:hint="default"/>
                <w:color w:val="auto"/>
                <w:spacing w:val="0"/>
                <w:w w:val="100"/>
                <w:position w:val="0"/>
                <w:highlight w:val="none"/>
              </w:rPr>
            </w:pPr>
            <w:r>
              <w:rPr>
                <w:rFonts w:hint="default"/>
                <w:color w:val="auto"/>
                <w:spacing w:val="0"/>
                <w:w w:val="100"/>
                <w:position w:val="0"/>
                <w:highlight w:val="none"/>
              </w:rPr>
              <w:t>是否退还投标文件</w:t>
            </w:r>
          </w:p>
        </w:tc>
        <w:tc>
          <w:tcPr>
            <w:tcW w:w="5628" w:type="dxa"/>
            <w:vAlign w:val="top"/>
          </w:tcPr>
          <w:p w14:paraId="2908A3D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0" w:right="0"/>
              <w:jc w:val="left"/>
              <w:textAlignment w:val="baseline"/>
              <w:rPr>
                <w:rFonts w:hint="default"/>
                <w:color w:val="auto"/>
                <w:highlight w:val="none"/>
              </w:rPr>
            </w:pPr>
            <w:r>
              <w:rPr>
                <w:rFonts w:hint="eastAsia" w:ascii="宋体" w:hAnsi="宋体" w:eastAsia="宋体" w:cs="宋体"/>
                <w:snapToGrid w:val="0"/>
                <w:color w:val="auto"/>
                <w:kern w:val="0"/>
                <w:sz w:val="21"/>
                <w:szCs w:val="21"/>
                <w:highlight w:val="none"/>
                <w:lang w:val="en-US" w:eastAsia="zh-CN" w:bidi="ar"/>
              </w:rPr>
              <w:t>☑否：</w:t>
            </w:r>
            <w:r>
              <w:rPr>
                <w:rFonts w:hint="default"/>
                <w:b/>
                <w:bCs/>
                <w:color w:val="auto"/>
                <w:spacing w:val="0"/>
                <w:w w:val="100"/>
                <w:position w:val="0"/>
                <w:highlight w:val="none"/>
              </w:rPr>
              <w:t>未进入第二个信封评审的，其报价文件不予解密，</w:t>
            </w:r>
            <w:r>
              <w:rPr>
                <w:rFonts w:hint="default"/>
                <w:color w:val="auto"/>
                <w:spacing w:val="0"/>
                <w:w w:val="100"/>
                <w:position w:val="0"/>
                <w:highlight w:val="none"/>
              </w:rPr>
              <w:t xml:space="preserve"> </w:t>
            </w:r>
            <w:r>
              <w:rPr>
                <w:rFonts w:hint="default"/>
                <w:b/>
                <w:bCs/>
                <w:color w:val="auto"/>
                <w:spacing w:val="0"/>
                <w:w w:val="100"/>
                <w:position w:val="0"/>
                <w:highlight w:val="none"/>
              </w:rPr>
              <w:t>其投标文件均不予退还。</w:t>
            </w:r>
          </w:p>
          <w:p w14:paraId="1E081F7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0" w:right="0"/>
              <w:jc w:val="left"/>
              <w:textAlignment w:val="baseline"/>
              <w:rPr>
                <w:rFonts w:hint="default"/>
                <w:color w:val="auto"/>
                <w:spacing w:val="0"/>
                <w:w w:val="100"/>
                <w:position w:val="0"/>
                <w:highlight w:val="none"/>
              </w:rPr>
            </w:pPr>
            <w:r>
              <w:rPr>
                <w:rFonts w:hint="eastAsia" w:ascii="宋体" w:hAnsi="宋体" w:eastAsia="宋体" w:cs="宋体"/>
                <w:snapToGrid w:val="0"/>
                <w:color w:val="auto"/>
                <w:kern w:val="0"/>
                <w:sz w:val="21"/>
                <w:szCs w:val="21"/>
                <w:highlight w:val="none"/>
                <w:lang w:val="en-US" w:eastAsia="zh-CN" w:bidi="ar"/>
              </w:rPr>
              <w:t>□是，退还时间：</w:t>
            </w:r>
          </w:p>
        </w:tc>
      </w:tr>
      <w:tr w14:paraId="272E3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5554C1B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5.1</w:t>
            </w:r>
          </w:p>
        </w:tc>
        <w:tc>
          <w:tcPr>
            <w:tcW w:w="2594" w:type="dxa"/>
            <w:gridSpan w:val="2"/>
            <w:vAlign w:val="center"/>
          </w:tcPr>
          <w:p w14:paraId="05A6D71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color w:val="auto"/>
                <w:spacing w:val="0"/>
                <w:w w:val="100"/>
                <w:position w:val="0"/>
                <w:highlight w:val="none"/>
              </w:rPr>
            </w:pPr>
            <w:r>
              <w:rPr>
                <w:rFonts w:hint="default"/>
                <w:color w:val="auto"/>
                <w:spacing w:val="0"/>
                <w:w w:val="100"/>
                <w:position w:val="0"/>
                <w:highlight w:val="none"/>
              </w:rPr>
              <w:t>开标时间和地点</w:t>
            </w:r>
          </w:p>
        </w:tc>
        <w:tc>
          <w:tcPr>
            <w:tcW w:w="5628" w:type="dxa"/>
            <w:vAlign w:val="top"/>
          </w:tcPr>
          <w:p w14:paraId="648FA39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default"/>
                <w:color w:val="auto"/>
                <w:spacing w:val="0"/>
                <w:w w:val="100"/>
                <w:position w:val="0"/>
                <w:highlight w:val="none"/>
              </w:rPr>
            </w:pPr>
            <w:r>
              <w:rPr>
                <w:rFonts w:hint="default"/>
                <w:color w:val="auto"/>
                <w:spacing w:val="0"/>
                <w:w w:val="100"/>
                <w:position w:val="0"/>
                <w:highlight w:val="none"/>
              </w:rPr>
              <w:t>投标文件第一个信封（商务及技术文件）开标时间：同投标截止时间；</w:t>
            </w:r>
          </w:p>
          <w:p w14:paraId="74549AD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default"/>
                <w:color w:val="auto"/>
                <w:spacing w:val="0"/>
                <w:w w:val="100"/>
                <w:position w:val="0"/>
                <w:highlight w:val="none"/>
              </w:rPr>
            </w:pPr>
            <w:r>
              <w:rPr>
                <w:rFonts w:hint="default"/>
                <w:color w:val="auto"/>
                <w:spacing w:val="0"/>
                <w:w w:val="100"/>
                <w:position w:val="0"/>
                <w:highlight w:val="none"/>
              </w:rPr>
              <w:t>投标文件第一个信封（商务及技术文件）开标地点：同递交投标文件地点；</w:t>
            </w:r>
          </w:p>
          <w:p w14:paraId="3FB23B7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default"/>
                <w:color w:val="auto"/>
                <w:spacing w:val="0"/>
                <w:w w:val="100"/>
                <w:position w:val="0"/>
                <w:highlight w:val="none"/>
              </w:rPr>
            </w:pPr>
            <w:r>
              <w:rPr>
                <w:rFonts w:hint="default"/>
                <w:color w:val="auto"/>
                <w:spacing w:val="0"/>
                <w:w w:val="100"/>
                <w:position w:val="0"/>
                <w:highlight w:val="none"/>
              </w:rPr>
              <w:t>投标文件第二个信封（报价文件）开标时间：</w:t>
            </w:r>
            <w:r>
              <w:rPr>
                <w:rFonts w:hint="default"/>
                <w:color w:val="auto"/>
                <w:spacing w:val="0"/>
                <w:w w:val="100"/>
                <w:position w:val="0"/>
                <w:highlight w:val="none"/>
                <w:lang w:val="en-US" w:eastAsia="zh-CN"/>
              </w:rPr>
              <w:t>商务及技术文件评审结束后</w:t>
            </w:r>
            <w:r>
              <w:rPr>
                <w:rFonts w:hint="default"/>
                <w:color w:val="auto"/>
                <w:spacing w:val="0"/>
                <w:w w:val="100"/>
                <w:position w:val="0"/>
                <w:highlight w:val="none"/>
              </w:rPr>
              <w:t>；</w:t>
            </w:r>
          </w:p>
          <w:p w14:paraId="62C23AF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default"/>
                <w:color w:val="auto"/>
                <w:spacing w:val="0"/>
                <w:w w:val="100"/>
                <w:position w:val="0"/>
                <w:highlight w:val="none"/>
              </w:rPr>
            </w:pPr>
            <w:r>
              <w:rPr>
                <w:rFonts w:hint="default"/>
                <w:color w:val="auto"/>
                <w:spacing w:val="0"/>
                <w:w w:val="100"/>
                <w:position w:val="0"/>
                <w:highlight w:val="none"/>
              </w:rPr>
              <w:t>投标文件第二个信封（报价文件）开标地点：安徽合肥公共资源交易中心（合肥市滨湖新区南京路</w:t>
            </w:r>
            <w:r>
              <w:rPr>
                <w:rFonts w:hint="default" w:ascii="Times New Roman" w:hAnsi="Times New Roman" w:eastAsia="Times New Roman" w:cs="Times New Roman"/>
                <w:color w:val="auto"/>
                <w:spacing w:val="0"/>
                <w:w w:val="100"/>
                <w:position w:val="0"/>
                <w:highlight w:val="none"/>
              </w:rPr>
              <w:t>2588</w:t>
            </w:r>
            <w:r>
              <w:rPr>
                <w:rFonts w:hint="default"/>
                <w:color w:val="auto"/>
                <w:spacing w:val="0"/>
                <w:w w:val="100"/>
                <w:position w:val="0"/>
                <w:highlight w:val="none"/>
              </w:rPr>
              <w:t>号）。</w:t>
            </w:r>
          </w:p>
          <w:p w14:paraId="67FDD5A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default"/>
                <w:color w:val="auto"/>
                <w:spacing w:val="0"/>
                <w:w w:val="100"/>
                <w:position w:val="0"/>
                <w:highlight w:val="none"/>
              </w:rPr>
            </w:pPr>
            <w:r>
              <w:rPr>
                <w:rFonts w:hint="default"/>
                <w:b/>
                <w:bCs/>
                <w:color w:val="auto"/>
                <w:spacing w:val="0"/>
                <w:w w:val="100"/>
                <w:position w:val="0"/>
                <w:highlight w:val="none"/>
              </w:rPr>
              <w:t>本项目无需递交未加密电子投标文件等电子数据资</w:t>
            </w:r>
            <w:r>
              <w:rPr>
                <w:rFonts w:hint="default"/>
                <w:color w:val="auto"/>
                <w:spacing w:val="0"/>
                <w:w w:val="100"/>
                <w:position w:val="0"/>
                <w:highlight w:val="none"/>
              </w:rPr>
              <w:t xml:space="preserve"> </w:t>
            </w:r>
            <w:r>
              <w:rPr>
                <w:rFonts w:hint="default"/>
                <w:b/>
                <w:bCs/>
                <w:color w:val="auto"/>
                <w:spacing w:val="0"/>
                <w:w w:val="100"/>
                <w:position w:val="0"/>
                <w:highlight w:val="none"/>
              </w:rPr>
              <w:t>料或其他纸质版材料，投标人应在投标截止时间前</w:t>
            </w:r>
            <w:r>
              <w:rPr>
                <w:rFonts w:hint="default"/>
                <w:color w:val="auto"/>
                <w:spacing w:val="0"/>
                <w:w w:val="100"/>
                <w:position w:val="0"/>
                <w:highlight w:val="none"/>
              </w:rPr>
              <w:t xml:space="preserve"> </w:t>
            </w:r>
            <w:r>
              <w:rPr>
                <w:rFonts w:hint="default"/>
                <w:b/>
                <w:bCs/>
                <w:color w:val="auto"/>
                <w:spacing w:val="0"/>
                <w:w w:val="100"/>
                <w:position w:val="0"/>
                <w:highlight w:val="none"/>
              </w:rPr>
              <w:t>将加密电子投标文件通过优质采云采购平台上传。</w:t>
            </w:r>
            <w:r>
              <w:rPr>
                <w:rFonts w:hint="default"/>
                <w:color w:val="auto"/>
                <w:spacing w:val="0"/>
                <w:w w:val="100"/>
                <w:position w:val="0"/>
                <w:highlight w:val="none"/>
              </w:rPr>
              <w:t xml:space="preserve"> </w:t>
            </w:r>
            <w:r>
              <w:rPr>
                <w:rFonts w:hint="default"/>
                <w:b/>
                <w:bCs/>
                <w:color w:val="auto"/>
                <w:spacing w:val="0"/>
                <w:w w:val="100"/>
                <w:position w:val="0"/>
                <w:highlight w:val="none"/>
              </w:rPr>
              <w:t>建议所有投标人通过优质采云采购平台投标工具网</w:t>
            </w:r>
            <w:r>
              <w:rPr>
                <w:rFonts w:hint="default"/>
                <w:color w:val="auto"/>
                <w:spacing w:val="0"/>
                <w:w w:val="100"/>
                <w:position w:val="0"/>
                <w:highlight w:val="none"/>
              </w:rPr>
              <w:t xml:space="preserve"> </w:t>
            </w:r>
            <w:r>
              <w:rPr>
                <w:rFonts w:hint="default"/>
                <w:b/>
                <w:bCs/>
                <w:color w:val="auto"/>
                <w:spacing w:val="0"/>
                <w:w w:val="100"/>
                <w:position w:val="0"/>
                <w:highlight w:val="none"/>
              </w:rPr>
              <w:t>上参与本项目开标。</w:t>
            </w:r>
          </w:p>
        </w:tc>
      </w:tr>
      <w:tr w14:paraId="74822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5232B40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5.2.1</w:t>
            </w:r>
          </w:p>
        </w:tc>
        <w:tc>
          <w:tcPr>
            <w:tcW w:w="2594" w:type="dxa"/>
            <w:gridSpan w:val="2"/>
            <w:vAlign w:val="center"/>
          </w:tcPr>
          <w:p w14:paraId="70640FF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46"/>
              <w:jc w:val="center"/>
              <w:textAlignment w:val="baseline"/>
              <w:rPr>
                <w:rFonts w:hint="default"/>
                <w:color w:val="auto"/>
                <w:spacing w:val="0"/>
                <w:w w:val="100"/>
                <w:position w:val="0"/>
                <w:highlight w:val="none"/>
              </w:rPr>
            </w:pPr>
            <w:r>
              <w:rPr>
                <w:rFonts w:hint="default"/>
                <w:color w:val="auto"/>
                <w:spacing w:val="0"/>
                <w:w w:val="100"/>
                <w:position w:val="0"/>
                <w:highlight w:val="none"/>
              </w:rPr>
              <w:t>第一个信封（商务及技术文 件）开标程序</w:t>
            </w:r>
          </w:p>
        </w:tc>
        <w:tc>
          <w:tcPr>
            <w:tcW w:w="5628" w:type="dxa"/>
            <w:vAlign w:val="top"/>
          </w:tcPr>
          <w:p w14:paraId="09E7150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default"/>
                <w:color w:val="auto"/>
                <w:spacing w:val="0"/>
                <w:w w:val="100"/>
                <w:position w:val="0"/>
                <w:highlight w:val="none"/>
                <w:lang w:val="en-US" w:eastAsia="zh-CN"/>
              </w:rPr>
            </w:pPr>
            <w:r>
              <w:rPr>
                <w:rFonts w:hint="default"/>
                <w:color w:val="auto"/>
                <w:spacing w:val="0"/>
                <w:w w:val="100"/>
                <w:position w:val="0"/>
                <w:highlight w:val="none"/>
                <w:lang w:val="en-US" w:eastAsia="zh-CN"/>
              </w:rPr>
              <w:t xml:space="preserve">（1）宣布开标纪律； </w:t>
            </w:r>
          </w:p>
          <w:p w14:paraId="524929B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default"/>
                <w:color w:val="auto"/>
                <w:spacing w:val="0"/>
                <w:w w:val="100"/>
                <w:position w:val="0"/>
                <w:highlight w:val="none"/>
                <w:lang w:val="en-US" w:eastAsia="zh-CN"/>
              </w:rPr>
            </w:pPr>
            <w:r>
              <w:rPr>
                <w:rFonts w:hint="default"/>
                <w:color w:val="auto"/>
                <w:spacing w:val="0"/>
                <w:w w:val="100"/>
                <w:position w:val="0"/>
                <w:highlight w:val="none"/>
                <w:lang w:val="en-US" w:eastAsia="zh-CN"/>
              </w:rPr>
              <w:t xml:space="preserve">（2）公布在投标截止时间前递交投标文件的投标人数量； </w:t>
            </w:r>
          </w:p>
          <w:p w14:paraId="54B9EA3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default"/>
                <w:color w:val="auto"/>
                <w:spacing w:val="0"/>
                <w:w w:val="100"/>
                <w:position w:val="0"/>
                <w:highlight w:val="none"/>
                <w:lang w:val="en-US" w:eastAsia="zh-CN"/>
              </w:rPr>
            </w:pPr>
            <w:r>
              <w:rPr>
                <w:rFonts w:hint="default"/>
                <w:color w:val="auto"/>
                <w:spacing w:val="0"/>
                <w:w w:val="100"/>
                <w:position w:val="0"/>
                <w:highlight w:val="none"/>
                <w:lang w:val="en-US" w:eastAsia="zh-CN"/>
              </w:rPr>
              <w:t xml:space="preserve">（3）宣布开标人、唱标人、记录人等有关人员姓名； </w:t>
            </w:r>
          </w:p>
          <w:p w14:paraId="573977D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default"/>
                <w:color w:val="auto"/>
                <w:spacing w:val="0"/>
                <w:w w:val="100"/>
                <w:position w:val="0"/>
                <w:highlight w:val="none"/>
              </w:rPr>
            </w:pPr>
            <w:r>
              <w:rPr>
                <w:rFonts w:hint="default"/>
                <w:color w:val="auto"/>
                <w:spacing w:val="0"/>
                <w:w w:val="100"/>
                <w:position w:val="0"/>
                <w:highlight w:val="none"/>
                <w:lang w:val="en-US" w:eastAsia="zh-CN"/>
              </w:rPr>
              <w:t>（4）投标人应在投标截止时间后</w:t>
            </w:r>
            <w:r>
              <w:rPr>
                <w:rFonts w:hint="default"/>
                <w:b/>
                <w:bCs/>
                <w:color w:val="auto"/>
                <w:spacing w:val="0"/>
                <w:w w:val="100"/>
                <w:position w:val="0"/>
                <w:sz w:val="28"/>
                <w:szCs w:val="28"/>
                <w:highlight w:val="none"/>
                <w:lang w:val="en-US" w:eastAsia="zh-CN"/>
              </w:rPr>
              <w:t>60</w:t>
            </w:r>
            <w:r>
              <w:rPr>
                <w:rFonts w:hint="default"/>
                <w:color w:val="auto"/>
                <w:spacing w:val="0"/>
                <w:w w:val="100"/>
                <w:position w:val="0"/>
                <w:highlight w:val="none"/>
                <w:lang w:val="en-US" w:eastAsia="zh-CN"/>
              </w:rPr>
              <w:t>分钟内完成电子投标文件第一个信封（商务及技术文件）解密工作，否则视为撤销其投标文件，其投标无效。若电子投标文件解密失败，视为投标无效。</w:t>
            </w:r>
          </w:p>
        </w:tc>
      </w:tr>
      <w:tr w14:paraId="0FE291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4F841105">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5.2.3</w:t>
            </w:r>
          </w:p>
        </w:tc>
        <w:tc>
          <w:tcPr>
            <w:tcW w:w="2594" w:type="dxa"/>
            <w:gridSpan w:val="2"/>
            <w:vAlign w:val="center"/>
          </w:tcPr>
          <w:p w14:paraId="181CC1D0">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color w:val="auto"/>
                <w:spacing w:val="0"/>
                <w:w w:val="100"/>
                <w:position w:val="0"/>
                <w:highlight w:val="none"/>
              </w:rPr>
            </w:pPr>
            <w:r>
              <w:rPr>
                <w:rFonts w:hint="default"/>
                <w:color w:val="auto"/>
                <w:spacing w:val="0"/>
                <w:w w:val="100"/>
                <w:position w:val="0"/>
                <w:highlight w:val="none"/>
              </w:rPr>
              <w:t>第二个信封（报价文件）开标程序</w:t>
            </w:r>
          </w:p>
        </w:tc>
        <w:tc>
          <w:tcPr>
            <w:tcW w:w="5628" w:type="dxa"/>
            <w:vAlign w:val="top"/>
          </w:tcPr>
          <w:p w14:paraId="409F659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default"/>
                <w:color w:val="auto"/>
                <w:spacing w:val="0"/>
                <w:w w:val="100"/>
                <w:position w:val="0"/>
                <w:highlight w:val="none"/>
                <w:lang w:val="en-US" w:eastAsia="zh-CN"/>
              </w:rPr>
            </w:pPr>
            <w:r>
              <w:rPr>
                <w:rFonts w:hint="eastAsia"/>
                <w:color w:val="auto"/>
                <w:spacing w:val="0"/>
                <w:w w:val="100"/>
                <w:position w:val="0"/>
                <w:highlight w:val="none"/>
                <w:lang w:val="en-US" w:eastAsia="zh-CN"/>
              </w:rPr>
              <w:t>增加：</w:t>
            </w:r>
          </w:p>
          <w:p w14:paraId="7596F0A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eastAsia"/>
                <w:color w:val="auto"/>
                <w:spacing w:val="0"/>
                <w:w w:val="100"/>
                <w:position w:val="0"/>
                <w:highlight w:val="none"/>
                <w:lang w:val="en-US" w:eastAsia="zh-CN"/>
              </w:rPr>
            </w:pPr>
            <w:r>
              <w:rPr>
                <w:rFonts w:hint="eastAsia"/>
                <w:color w:val="auto"/>
                <w:spacing w:val="0"/>
                <w:w w:val="100"/>
                <w:position w:val="0"/>
                <w:highlight w:val="none"/>
                <w:lang w:val="en-US" w:eastAsia="zh-CN"/>
              </w:rPr>
              <w:t xml:space="preserve">（1）由监督员监督招标人（或招标代理机构）解密通过投标文件第一个信封（商务及技术文件）评审的投标人的加密电子投标文件第二个信封（报价文件）； </w:t>
            </w:r>
          </w:p>
          <w:p w14:paraId="06A4D68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eastAsia"/>
                <w:color w:val="auto"/>
                <w:spacing w:val="0"/>
                <w:w w:val="100"/>
                <w:position w:val="0"/>
                <w:highlight w:val="none"/>
                <w:lang w:val="en-US" w:eastAsia="zh-CN"/>
              </w:rPr>
            </w:pPr>
            <w:r>
              <w:rPr>
                <w:rFonts w:hint="eastAsia"/>
                <w:color w:val="auto"/>
                <w:spacing w:val="0"/>
                <w:w w:val="100"/>
                <w:position w:val="0"/>
                <w:highlight w:val="none"/>
                <w:lang w:val="en-US" w:eastAsia="zh-CN"/>
              </w:rPr>
              <w:t>（2）导入并公布所有解密成功的投标文件第二个信封（报价文件）的相关内容。</w:t>
            </w:r>
          </w:p>
          <w:p w14:paraId="433E096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eastAsia"/>
                <w:color w:val="auto"/>
                <w:spacing w:val="0"/>
                <w:w w:val="100"/>
                <w:position w:val="0"/>
                <w:highlight w:val="none"/>
                <w:lang w:val="en-US" w:eastAsia="zh-CN"/>
              </w:rPr>
            </w:pPr>
            <w:r>
              <w:rPr>
                <w:rFonts w:hint="eastAsia"/>
                <w:color w:val="auto"/>
                <w:spacing w:val="0"/>
                <w:w w:val="100"/>
                <w:position w:val="0"/>
                <w:highlight w:val="none"/>
                <w:lang w:val="en-US" w:eastAsia="zh-CN"/>
              </w:rPr>
              <w:t>（3）计算并宣布评标基准价。</w:t>
            </w:r>
          </w:p>
          <w:p w14:paraId="7B60920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4" w:right="45" w:hanging="17"/>
              <w:textAlignment w:val="baseline"/>
              <w:rPr>
                <w:rFonts w:hint="default"/>
                <w:color w:val="auto"/>
                <w:spacing w:val="0"/>
                <w:w w:val="100"/>
                <w:position w:val="0"/>
                <w:highlight w:val="none"/>
              </w:rPr>
            </w:pPr>
            <w:r>
              <w:rPr>
                <w:rFonts w:hint="eastAsia" w:ascii="宋体" w:hAnsi="宋体" w:eastAsia="宋体" w:cs="宋体"/>
                <w:b/>
                <w:bCs/>
                <w:color w:val="auto"/>
                <w:kern w:val="2"/>
                <w:sz w:val="21"/>
                <w:szCs w:val="21"/>
                <w:highlight w:val="none"/>
                <w:lang w:val="en-US" w:eastAsia="zh-CN" w:bidi="ar"/>
              </w:rPr>
              <w:t>注：招标人将在交易系统开标大厅或将以</w:t>
            </w:r>
            <w:r>
              <w:rPr>
                <w:rFonts w:hint="eastAsia" w:hAnsi="宋体" w:cs="宋体"/>
                <w:b/>
                <w:bCs/>
                <w:color w:val="auto"/>
                <w:kern w:val="2"/>
                <w:sz w:val="21"/>
                <w:szCs w:val="21"/>
                <w:highlight w:val="none"/>
                <w:lang w:val="en-US" w:eastAsia="zh-CN" w:bidi="ar"/>
              </w:rPr>
              <w:t>短信形式</w:t>
            </w:r>
            <w:r>
              <w:rPr>
                <w:rFonts w:hint="eastAsia" w:ascii="宋体" w:hAnsi="宋体" w:eastAsia="宋体" w:cs="宋体"/>
                <w:b/>
                <w:bCs/>
                <w:color w:val="auto"/>
                <w:kern w:val="2"/>
                <w:sz w:val="21"/>
                <w:szCs w:val="21"/>
                <w:highlight w:val="none"/>
                <w:lang w:val="en-US" w:eastAsia="zh-CN" w:bidi="ar"/>
              </w:rPr>
              <w:t>通知所有投标人第二个信封（报价文件）的开标时间，第二信封无需投标人解密，采用招标人直接解密方式进行。</w:t>
            </w:r>
          </w:p>
        </w:tc>
      </w:tr>
      <w:tr w14:paraId="4FE8E9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1A8FB79A">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5.2.4</w:t>
            </w:r>
          </w:p>
        </w:tc>
        <w:tc>
          <w:tcPr>
            <w:tcW w:w="2594" w:type="dxa"/>
            <w:gridSpan w:val="2"/>
            <w:vAlign w:val="center"/>
          </w:tcPr>
          <w:p w14:paraId="0B65F20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46"/>
              <w:jc w:val="center"/>
              <w:textAlignment w:val="baseline"/>
              <w:rPr>
                <w:rFonts w:hint="default"/>
                <w:color w:val="auto"/>
                <w:spacing w:val="0"/>
                <w:w w:val="100"/>
                <w:position w:val="0"/>
                <w:highlight w:val="none"/>
              </w:rPr>
            </w:pPr>
            <w:r>
              <w:rPr>
                <w:rFonts w:hint="default"/>
                <w:color w:val="auto"/>
                <w:spacing w:val="0"/>
                <w:w w:val="100"/>
                <w:position w:val="0"/>
                <w:highlight w:val="none"/>
              </w:rPr>
              <w:t>第二个信封（报价文件）开标过程中，投标报价不参加评标基准价的计算的情况</w:t>
            </w:r>
          </w:p>
        </w:tc>
        <w:tc>
          <w:tcPr>
            <w:tcW w:w="5628" w:type="dxa"/>
            <w:vAlign w:val="top"/>
          </w:tcPr>
          <w:p w14:paraId="71FC96C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4" w:right="98"/>
              <w:jc w:val="both"/>
              <w:textAlignment w:val="baseline"/>
              <w:rPr>
                <w:rFonts w:hint="default"/>
                <w:color w:val="auto"/>
                <w:spacing w:val="0"/>
                <w:w w:val="100"/>
                <w:position w:val="0"/>
                <w:highlight w:val="none"/>
              </w:rPr>
            </w:pPr>
            <w:r>
              <w:rPr>
                <w:rFonts w:hint="default"/>
                <w:color w:val="auto"/>
                <w:spacing w:val="0"/>
                <w:w w:val="100"/>
                <w:position w:val="0"/>
                <w:highlight w:val="none"/>
              </w:rPr>
              <w:t>在投标文件第二个信封(报价文件)开标现场，招标 人将按第三章“评标办法”规定的原则计算并宣布评标基准价。</w:t>
            </w:r>
          </w:p>
          <w:p w14:paraId="5F58C07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1" w:right="0"/>
              <w:textAlignment w:val="baseline"/>
              <w:rPr>
                <w:rFonts w:hint="default"/>
                <w:color w:val="auto"/>
                <w:spacing w:val="0"/>
                <w:w w:val="100"/>
                <w:position w:val="0"/>
                <w:highlight w:val="none"/>
              </w:rPr>
            </w:pPr>
            <w:r>
              <w:rPr>
                <w:rFonts w:hint="default"/>
                <w:color w:val="auto"/>
                <w:spacing w:val="0"/>
                <w:w w:val="100"/>
                <w:position w:val="0"/>
                <w:highlight w:val="none"/>
              </w:rPr>
              <w:t>投标报价不参加评标基准价的计算的情况：</w:t>
            </w:r>
          </w:p>
          <w:p w14:paraId="161E9DC2">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1"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（1）未在投标函上填写投标总价；</w:t>
            </w:r>
          </w:p>
          <w:p w14:paraId="348AD10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1"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（2）投标报价超出招标人公布的最高投标限价；</w:t>
            </w:r>
          </w:p>
          <w:p w14:paraId="687FE2A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56" w:firstLine="6"/>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（3）投标函上投标报价的大写金额无法确定具体数值。</w:t>
            </w:r>
          </w:p>
          <w:p w14:paraId="089A702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7" w:right="0"/>
              <w:textAlignment w:val="baseline"/>
              <w:rPr>
                <w:rFonts w:hint="default"/>
                <w:color w:val="auto"/>
                <w:spacing w:val="0"/>
                <w:w w:val="100"/>
                <w:position w:val="0"/>
                <w:highlight w:val="none"/>
              </w:rPr>
            </w:pPr>
            <w:r>
              <w:rPr>
                <w:rFonts w:hint="eastAsia" w:ascii="宋体" w:hAnsi="宋体" w:eastAsia="宋体" w:cs="宋体"/>
                <w:color w:val="auto"/>
                <w:spacing w:val="0"/>
                <w:w w:val="100"/>
                <w:position w:val="0"/>
                <w:highlight w:val="none"/>
              </w:rPr>
              <w:t>（4）投标函大写金额报价与报价清单中的汇总价格不一致，由四舍五入引起的除外。不参加评标基准价计算的情况同样不参加评标价平均值的计算。</w:t>
            </w:r>
          </w:p>
        </w:tc>
      </w:tr>
      <w:tr w14:paraId="124D99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1731BE8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6.1.1</w:t>
            </w:r>
          </w:p>
        </w:tc>
        <w:tc>
          <w:tcPr>
            <w:tcW w:w="2594" w:type="dxa"/>
            <w:gridSpan w:val="2"/>
            <w:vAlign w:val="center"/>
          </w:tcPr>
          <w:p w14:paraId="672189E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56" w:firstLine="6"/>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评标委员会的组建</w:t>
            </w:r>
          </w:p>
        </w:tc>
        <w:tc>
          <w:tcPr>
            <w:tcW w:w="5628" w:type="dxa"/>
            <w:vAlign w:val="top"/>
          </w:tcPr>
          <w:p w14:paraId="29869ECD">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56" w:firstLine="6"/>
              <w:textAlignment w:val="baseline"/>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评标委员会构成：</w:t>
            </w:r>
            <w:r>
              <w:rPr>
                <w:rFonts w:hint="eastAsia" w:cs="宋体"/>
                <w:color w:val="auto"/>
                <w:spacing w:val="0"/>
                <w:w w:val="100"/>
                <w:position w:val="0"/>
                <w:highlight w:val="none"/>
                <w:lang w:val="en-US" w:eastAsia="zh-CN"/>
              </w:rPr>
              <w:t>专家评委5</w:t>
            </w:r>
            <w:r>
              <w:rPr>
                <w:rFonts w:hint="eastAsia" w:ascii="宋体" w:hAnsi="宋体" w:eastAsia="宋体" w:cs="宋体"/>
                <w:color w:val="auto"/>
                <w:spacing w:val="0"/>
                <w:w w:val="100"/>
                <w:position w:val="0"/>
                <w:highlight w:val="none"/>
              </w:rPr>
              <w:t>人</w:t>
            </w:r>
            <w:r>
              <w:rPr>
                <w:rFonts w:hint="eastAsia" w:cs="宋体"/>
                <w:color w:val="auto"/>
                <w:spacing w:val="0"/>
                <w:w w:val="100"/>
                <w:position w:val="0"/>
                <w:highlight w:val="none"/>
                <w:lang w:eastAsia="zh-CN"/>
              </w:rPr>
              <w:t>，</w:t>
            </w:r>
            <w:r>
              <w:rPr>
                <w:rFonts w:hint="eastAsia" w:cs="宋体"/>
                <w:color w:val="auto"/>
                <w:spacing w:val="0"/>
                <w:w w:val="100"/>
                <w:position w:val="0"/>
                <w:highlight w:val="none"/>
                <w:lang w:val="en-US" w:eastAsia="zh-CN"/>
              </w:rPr>
              <w:t>招标人</w:t>
            </w:r>
            <w:r>
              <w:rPr>
                <w:rFonts w:hint="eastAsia" w:ascii="宋体" w:hAnsi="宋体" w:eastAsia="宋体" w:cs="宋体"/>
                <w:color w:val="auto"/>
                <w:spacing w:val="0"/>
                <w:w w:val="100"/>
                <w:position w:val="0"/>
                <w:highlight w:val="none"/>
              </w:rPr>
              <w:t>代表</w:t>
            </w:r>
            <w:r>
              <w:rPr>
                <w:rFonts w:hint="eastAsia" w:cs="宋体"/>
                <w:color w:val="auto"/>
                <w:spacing w:val="0"/>
                <w:w w:val="100"/>
                <w:position w:val="0"/>
                <w:highlight w:val="none"/>
                <w:lang w:val="en-US" w:eastAsia="zh-CN"/>
              </w:rPr>
              <w:t>2</w:t>
            </w:r>
            <w:r>
              <w:rPr>
                <w:rFonts w:hint="eastAsia" w:ascii="宋体" w:hAnsi="宋体" w:eastAsia="宋体" w:cs="宋体"/>
                <w:color w:val="auto"/>
                <w:spacing w:val="0"/>
                <w:w w:val="100"/>
                <w:position w:val="0"/>
                <w:highlight w:val="none"/>
              </w:rPr>
              <w:t>人</w:t>
            </w:r>
            <w:r>
              <w:rPr>
                <w:rFonts w:hint="eastAsia" w:cs="宋体"/>
                <w:color w:val="auto"/>
                <w:spacing w:val="0"/>
                <w:w w:val="100"/>
                <w:position w:val="0"/>
                <w:highlight w:val="none"/>
                <w:lang w:eastAsia="zh-CN"/>
              </w:rPr>
              <w:t>。</w:t>
            </w:r>
          </w:p>
          <w:p w14:paraId="67A0C89F">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56" w:firstLine="6"/>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评标专家确定方式：</w:t>
            </w:r>
            <w:r>
              <w:rPr>
                <w:rFonts w:hint="eastAsia" w:cs="宋体"/>
                <w:color w:val="auto"/>
                <w:spacing w:val="0"/>
                <w:w w:val="100"/>
                <w:position w:val="0"/>
                <w:highlight w:val="none"/>
                <w:lang w:val="en-US" w:eastAsia="zh-CN"/>
              </w:rPr>
              <w:t>评标</w:t>
            </w:r>
            <w:r>
              <w:rPr>
                <w:rFonts w:hint="eastAsia" w:ascii="宋体" w:hAnsi="宋体" w:eastAsia="宋体" w:cs="宋体"/>
                <w:color w:val="auto"/>
                <w:spacing w:val="0"/>
                <w:w w:val="100"/>
                <w:position w:val="0"/>
                <w:highlight w:val="none"/>
              </w:rPr>
              <w:t>专家依法从</w:t>
            </w:r>
            <w:r>
              <w:rPr>
                <w:rFonts w:hint="eastAsia" w:ascii="宋体" w:hAnsi="宋体" w:eastAsia="宋体" w:cs="宋体"/>
                <w:color w:val="auto"/>
                <w:spacing w:val="0"/>
                <w:w w:val="100"/>
                <w:position w:val="0"/>
                <w:highlight w:val="none"/>
                <w:lang w:val="en-US" w:eastAsia="zh-CN"/>
              </w:rPr>
              <w:t>交通运输部</w:t>
            </w:r>
            <w:r>
              <w:rPr>
                <w:rFonts w:hint="eastAsia" w:ascii="宋体" w:hAnsi="宋体" w:eastAsia="宋体" w:cs="宋体"/>
                <w:color w:val="auto"/>
                <w:spacing w:val="0"/>
                <w:w w:val="100"/>
                <w:position w:val="0"/>
                <w:highlight w:val="none"/>
              </w:rPr>
              <w:t>评标专家库中随机抽取。</w:t>
            </w:r>
          </w:p>
        </w:tc>
      </w:tr>
      <w:tr w14:paraId="7E19D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10E9446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6.3.2</w:t>
            </w:r>
          </w:p>
        </w:tc>
        <w:tc>
          <w:tcPr>
            <w:tcW w:w="2594" w:type="dxa"/>
            <w:gridSpan w:val="2"/>
            <w:vAlign w:val="center"/>
          </w:tcPr>
          <w:p w14:paraId="5D198A7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56" w:firstLine="6"/>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评标委员会推荐中标候选人的人数</w:t>
            </w:r>
          </w:p>
        </w:tc>
        <w:tc>
          <w:tcPr>
            <w:tcW w:w="5628" w:type="dxa"/>
            <w:vAlign w:val="center"/>
          </w:tcPr>
          <w:p w14:paraId="3EB9387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56"/>
              <w:jc w:val="both"/>
              <w:textAlignment w:val="baseline"/>
              <w:rPr>
                <w:rFonts w:hint="eastAsia" w:ascii="宋体" w:hAnsi="宋体" w:eastAsia="宋体" w:cs="宋体"/>
                <w:color w:val="auto"/>
                <w:spacing w:val="0"/>
                <w:w w:val="100"/>
                <w:position w:val="0"/>
                <w:highlight w:val="none"/>
              </w:rPr>
            </w:pPr>
            <w:r>
              <w:rPr>
                <w:rFonts w:hint="eastAsia" w:cs="宋体"/>
                <w:color w:val="auto"/>
                <w:spacing w:val="0"/>
                <w:w w:val="100"/>
                <w:position w:val="0"/>
                <w:highlight w:val="none"/>
                <w:lang w:val="en-US" w:eastAsia="zh-CN"/>
              </w:rPr>
              <w:t>每标段推荐1名</w:t>
            </w:r>
            <w:r>
              <w:rPr>
                <w:rFonts w:hint="eastAsia" w:ascii="宋体" w:hAnsi="宋体" w:eastAsia="宋体" w:cs="宋体"/>
                <w:color w:val="auto"/>
                <w:spacing w:val="0"/>
                <w:w w:val="100"/>
                <w:position w:val="0"/>
                <w:highlight w:val="none"/>
                <w:lang w:val="en-US" w:eastAsia="zh-CN"/>
              </w:rPr>
              <w:t>。</w:t>
            </w:r>
          </w:p>
        </w:tc>
      </w:tr>
      <w:tr w14:paraId="22D8E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1DA248C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6.3.2</w:t>
            </w:r>
          </w:p>
        </w:tc>
        <w:tc>
          <w:tcPr>
            <w:tcW w:w="2594" w:type="dxa"/>
            <w:gridSpan w:val="2"/>
            <w:vAlign w:val="center"/>
          </w:tcPr>
          <w:p w14:paraId="5F03AE73">
            <w:pPr>
              <w:keepNext w:val="0"/>
              <w:keepLines w:val="0"/>
              <w:widowControl/>
              <w:suppressLineNumbers w:val="0"/>
              <w:spacing w:before="0" w:beforeAutospacing="0" w:after="0" w:afterAutospacing="0"/>
              <w:ind w:left="0" w:right="0"/>
              <w:jc w:val="center"/>
              <w:rPr>
                <w:rFonts w:hint="eastAsia" w:ascii="宋体" w:hAnsi="宋体" w:eastAsia="宋体" w:cs="宋体"/>
                <w:color w:val="auto"/>
                <w:spacing w:val="0"/>
                <w:w w:val="100"/>
                <w:position w:val="0"/>
                <w:sz w:val="21"/>
                <w:szCs w:val="21"/>
                <w:highlight w:val="none"/>
              </w:rPr>
            </w:pPr>
            <w:r>
              <w:rPr>
                <w:rFonts w:hint="eastAsia" w:ascii="宋体" w:hAnsi="宋体" w:eastAsia="宋体" w:cs="宋体"/>
                <w:snapToGrid w:val="0"/>
                <w:color w:val="auto"/>
                <w:kern w:val="0"/>
                <w:sz w:val="20"/>
                <w:szCs w:val="20"/>
                <w:highlight w:val="none"/>
                <w:lang w:val="en-US" w:eastAsia="zh-CN" w:bidi="ar"/>
              </w:rPr>
              <w:t>推荐中标候选人原则</w:t>
            </w:r>
          </w:p>
        </w:tc>
        <w:tc>
          <w:tcPr>
            <w:tcW w:w="5628" w:type="dxa"/>
            <w:vAlign w:val="center"/>
          </w:tcPr>
          <w:p w14:paraId="1003387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56" w:firstLine="6"/>
              <w:textAlignment w:val="baseline"/>
              <w:rPr>
                <w:rFonts w:hint="eastAsia" w:ascii="宋体" w:hAnsi="宋体" w:eastAsia="宋体" w:cs="宋体"/>
                <w:color w:val="auto"/>
                <w:spacing w:val="0"/>
                <w:w w:val="100"/>
                <w:position w:val="0"/>
                <w:highlight w:val="none"/>
                <w:lang w:val="en-US" w:eastAsia="zh-CN"/>
              </w:rPr>
            </w:pPr>
            <w:r>
              <w:rPr>
                <w:rFonts w:hint="eastAsia" w:cs="宋体"/>
                <w:b w:val="0"/>
                <w:bCs w:val="0"/>
                <w:snapToGrid w:val="0"/>
                <w:color w:val="auto"/>
                <w:kern w:val="0"/>
                <w:sz w:val="20"/>
                <w:szCs w:val="20"/>
                <w:highlight w:val="none"/>
                <w:lang w:val="en-US" w:eastAsia="zh-CN" w:bidi="ar"/>
              </w:rPr>
              <w:t>1.</w:t>
            </w:r>
            <w:r>
              <w:rPr>
                <w:rFonts w:hint="eastAsia" w:ascii="宋体" w:hAnsi="宋体" w:eastAsia="宋体" w:cs="宋体"/>
                <w:color w:val="auto"/>
                <w:spacing w:val="0"/>
                <w:w w:val="100"/>
                <w:position w:val="0"/>
                <w:highlight w:val="none"/>
                <w:lang w:val="en-US" w:eastAsia="zh-CN"/>
              </w:rPr>
              <w:t xml:space="preserve">本项目2个标段按01标段→02标段的顺序评标并推荐中标候选人。如某投标人在01标段中被推荐为第一中标候选人，其在02标段也参与了投标，可作为02标段的有效投标人但不再推荐为02标段的中标候选人。 </w:t>
            </w:r>
          </w:p>
          <w:p w14:paraId="19FA850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56" w:firstLine="6"/>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highlight w:val="none"/>
                <w:lang w:val="en-US" w:eastAsia="zh-CN"/>
              </w:rPr>
              <w:t>2.中标候选人公示发布后，如其中某个标段的中标候选人或中标人发生变化，不影响其他标段中标候选人排序。</w:t>
            </w:r>
          </w:p>
        </w:tc>
      </w:tr>
      <w:tr w14:paraId="12FA0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1223EB82">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增加</w:t>
            </w:r>
            <w:r>
              <w:rPr>
                <w:rFonts w:hint="eastAsia" w:cs="宋体"/>
                <w:color w:val="auto"/>
                <w:spacing w:val="0"/>
                <w:w w:val="100"/>
                <w:position w:val="0"/>
                <w:highlight w:val="none"/>
                <w:lang w:val="en-US" w:eastAsia="zh-CN"/>
              </w:rPr>
              <w:t>6</w:t>
            </w:r>
            <w:r>
              <w:rPr>
                <w:rFonts w:hint="eastAsia" w:ascii="宋体" w:hAnsi="宋体" w:eastAsia="宋体" w:cs="宋体"/>
                <w:color w:val="auto"/>
                <w:spacing w:val="0"/>
                <w:w w:val="100"/>
                <w:position w:val="0"/>
                <w:highlight w:val="none"/>
              </w:rPr>
              <w:t>.4.4</w:t>
            </w:r>
          </w:p>
        </w:tc>
        <w:tc>
          <w:tcPr>
            <w:tcW w:w="2594" w:type="dxa"/>
            <w:gridSpan w:val="2"/>
            <w:vAlign w:val="center"/>
          </w:tcPr>
          <w:p w14:paraId="76DDB4A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投标文件的澄清和说明</w:t>
            </w:r>
          </w:p>
        </w:tc>
        <w:tc>
          <w:tcPr>
            <w:tcW w:w="5628" w:type="dxa"/>
            <w:vAlign w:val="top"/>
          </w:tcPr>
          <w:p w14:paraId="4958D9A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7" w:right="45"/>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在评标过程中，评标委员会将以询标函形式要求投标人对投标文件的相关内容进行澄清或说明，投标人应在第一个信封（商务及技术文件）解密后密切 关注相关信息并及时回复，直至评审结束。投标人 未在规定的时间内（</w:t>
            </w:r>
            <w:r>
              <w:rPr>
                <w:rFonts w:hint="eastAsia" w:cs="宋体"/>
                <w:b/>
                <w:bCs/>
                <w:color w:val="auto"/>
                <w:spacing w:val="0"/>
                <w:w w:val="100"/>
                <w:position w:val="0"/>
                <w:sz w:val="24"/>
                <w:szCs w:val="24"/>
                <w:highlight w:val="none"/>
                <w:lang w:val="en-US" w:eastAsia="zh-CN"/>
              </w:rPr>
              <w:t>30</w:t>
            </w:r>
            <w:r>
              <w:rPr>
                <w:rFonts w:hint="eastAsia" w:ascii="宋体" w:hAnsi="宋体" w:eastAsia="宋体" w:cs="宋体"/>
                <w:b/>
                <w:bCs/>
                <w:color w:val="auto"/>
                <w:spacing w:val="0"/>
                <w:w w:val="100"/>
                <w:position w:val="0"/>
                <w:sz w:val="24"/>
                <w:szCs w:val="24"/>
                <w:highlight w:val="none"/>
              </w:rPr>
              <w:t>分钟</w:t>
            </w:r>
            <w:r>
              <w:rPr>
                <w:rFonts w:hint="eastAsia" w:ascii="宋体" w:hAnsi="宋体" w:eastAsia="宋体" w:cs="宋体"/>
                <w:color w:val="auto"/>
                <w:spacing w:val="0"/>
                <w:w w:val="100"/>
                <w:position w:val="0"/>
                <w:highlight w:val="none"/>
              </w:rPr>
              <w:t>）进行澄清或说明，视为默认投标人评标委员会的评审意见。</w:t>
            </w:r>
          </w:p>
        </w:tc>
      </w:tr>
      <w:tr w14:paraId="3C724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67ED12B7">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7.1</w:t>
            </w:r>
          </w:p>
        </w:tc>
        <w:tc>
          <w:tcPr>
            <w:tcW w:w="2594" w:type="dxa"/>
            <w:gridSpan w:val="2"/>
            <w:vAlign w:val="center"/>
          </w:tcPr>
          <w:p w14:paraId="2E2923F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中标候选人公示媒介及期限</w:t>
            </w:r>
          </w:p>
        </w:tc>
        <w:tc>
          <w:tcPr>
            <w:tcW w:w="5628" w:type="dxa"/>
            <w:vAlign w:val="top"/>
          </w:tcPr>
          <w:p w14:paraId="6E88F580">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1"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公示媒介：同招标公告发布媒介</w:t>
            </w:r>
          </w:p>
          <w:p w14:paraId="3AAB904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1"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公示期限：</w:t>
            </w:r>
            <w:r>
              <w:rPr>
                <w:rFonts w:hint="eastAsia" w:ascii="宋体" w:hAnsi="宋体" w:eastAsia="宋体" w:cs="宋体"/>
                <w:color w:val="auto"/>
                <w:spacing w:val="0"/>
                <w:w w:val="100"/>
                <w:position w:val="0"/>
                <w:highlight w:val="none"/>
                <w:lang w:val="en-US" w:eastAsia="zh-CN"/>
              </w:rPr>
              <w:t>不少于</w:t>
            </w:r>
            <w:r>
              <w:rPr>
                <w:rFonts w:hint="eastAsia" w:ascii="宋体" w:hAnsi="宋体" w:eastAsia="宋体" w:cs="宋体"/>
                <w:color w:val="auto"/>
                <w:spacing w:val="0"/>
                <w:w w:val="100"/>
                <w:position w:val="0"/>
                <w:highlight w:val="none"/>
              </w:rPr>
              <w:t>3日</w:t>
            </w:r>
          </w:p>
          <w:p w14:paraId="780A929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1" w:right="0"/>
              <w:textAlignment w:val="baseline"/>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公示的其他内容：无</w:t>
            </w:r>
            <w:r>
              <w:rPr>
                <w:rFonts w:hint="eastAsia" w:cs="宋体"/>
                <w:color w:val="auto"/>
                <w:spacing w:val="0"/>
                <w:w w:val="100"/>
                <w:position w:val="0"/>
                <w:highlight w:val="none"/>
                <w:lang w:eastAsia="zh-CN"/>
              </w:rPr>
              <w:t>。</w:t>
            </w:r>
          </w:p>
          <w:p w14:paraId="73A1042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7" w:right="45"/>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若经查实投标人在投标过程中围标、串标、提供了虚假资料，将依法依规处理。评标结果公示期满后，招标人将依法履行定标程序</w:t>
            </w:r>
            <w:r>
              <w:rPr>
                <w:rFonts w:hint="eastAsia" w:ascii="宋体" w:hAnsi="宋体" w:eastAsia="宋体" w:cs="宋体"/>
                <w:color w:val="auto"/>
                <w:spacing w:val="0"/>
                <w:w w:val="100"/>
                <w:position w:val="0"/>
                <w:highlight w:val="none"/>
              </w:rPr>
              <w:t>。</w:t>
            </w:r>
          </w:p>
        </w:tc>
      </w:tr>
      <w:tr w14:paraId="56F57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41D5CE4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7.4</w:t>
            </w:r>
          </w:p>
        </w:tc>
        <w:tc>
          <w:tcPr>
            <w:tcW w:w="2594" w:type="dxa"/>
            <w:gridSpan w:val="2"/>
            <w:vAlign w:val="center"/>
          </w:tcPr>
          <w:p w14:paraId="048B32A8">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是否授权评标委员会确定中标人</w:t>
            </w:r>
          </w:p>
        </w:tc>
        <w:tc>
          <w:tcPr>
            <w:tcW w:w="5628" w:type="dxa"/>
            <w:vAlign w:val="top"/>
          </w:tcPr>
          <w:p w14:paraId="15D912D0">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2" w:right="0"/>
              <w:textAlignment w:val="baseline"/>
              <w:rPr>
                <w:rFonts w:hint="eastAsia" w:ascii="宋体" w:hAnsi="宋体" w:eastAsia="宋体" w:cs="宋体"/>
                <w:color w:val="auto"/>
                <w:spacing w:val="0"/>
                <w:w w:val="100"/>
                <w:position w:val="0"/>
                <w:highlight w:val="none"/>
              </w:rPr>
            </w:pPr>
            <w:r>
              <w:rPr>
                <w:rFonts w:hint="eastAsia"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是</w:t>
            </w:r>
          </w:p>
          <w:p w14:paraId="2B67382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☑否</w:t>
            </w:r>
          </w:p>
        </w:tc>
      </w:tr>
      <w:tr w14:paraId="1F477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5066423D">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7.5</w:t>
            </w:r>
          </w:p>
        </w:tc>
        <w:tc>
          <w:tcPr>
            <w:tcW w:w="2594" w:type="dxa"/>
            <w:gridSpan w:val="2"/>
            <w:vAlign w:val="center"/>
          </w:tcPr>
          <w:p w14:paraId="547F15E2">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14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中标通知书和中标结果通知发出的形式</w:t>
            </w:r>
          </w:p>
        </w:tc>
        <w:tc>
          <w:tcPr>
            <w:tcW w:w="5628" w:type="dxa"/>
            <w:vAlign w:val="center"/>
          </w:tcPr>
          <w:p w14:paraId="1F9F05AE">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jc w:val="both"/>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☑数据电文  □纸质</w:t>
            </w:r>
          </w:p>
        </w:tc>
      </w:tr>
      <w:tr w14:paraId="01DD03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7CBDD7E2">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7.6</w:t>
            </w:r>
          </w:p>
        </w:tc>
        <w:tc>
          <w:tcPr>
            <w:tcW w:w="2594" w:type="dxa"/>
            <w:gridSpan w:val="2"/>
            <w:vAlign w:val="center"/>
          </w:tcPr>
          <w:p w14:paraId="60820F4D">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中标结果公告媒介</w:t>
            </w:r>
          </w:p>
        </w:tc>
        <w:tc>
          <w:tcPr>
            <w:tcW w:w="5628" w:type="dxa"/>
            <w:vAlign w:val="top"/>
          </w:tcPr>
          <w:p w14:paraId="59EB47A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7" w:right="45"/>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公示媒介：同招标公告发布媒介。</w:t>
            </w:r>
          </w:p>
        </w:tc>
      </w:tr>
      <w:tr w14:paraId="13845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55B9C5E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7.7</w:t>
            </w:r>
          </w:p>
        </w:tc>
        <w:tc>
          <w:tcPr>
            <w:tcW w:w="2594" w:type="dxa"/>
            <w:gridSpan w:val="2"/>
            <w:vAlign w:val="center"/>
          </w:tcPr>
          <w:p w14:paraId="3E71DBD5">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技术成果经济补偿</w:t>
            </w:r>
          </w:p>
        </w:tc>
        <w:tc>
          <w:tcPr>
            <w:tcW w:w="5628" w:type="dxa"/>
            <w:vAlign w:val="top"/>
          </w:tcPr>
          <w:p w14:paraId="2199A513">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不补偿</w:t>
            </w:r>
          </w:p>
          <w:p w14:paraId="6DF63D8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2"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补偿，补偿标准：</w:t>
            </w:r>
          </w:p>
        </w:tc>
      </w:tr>
      <w:tr w14:paraId="4D86E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75448E6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7.8.1</w:t>
            </w:r>
          </w:p>
        </w:tc>
        <w:tc>
          <w:tcPr>
            <w:tcW w:w="2594" w:type="dxa"/>
            <w:gridSpan w:val="2"/>
            <w:vAlign w:val="center"/>
          </w:tcPr>
          <w:p w14:paraId="0B9C9CA0">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履约担保</w:t>
            </w:r>
          </w:p>
        </w:tc>
        <w:tc>
          <w:tcPr>
            <w:tcW w:w="5628" w:type="dxa"/>
            <w:vAlign w:val="top"/>
          </w:tcPr>
          <w:p w14:paraId="02CA287F">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3" w:right="338" w:hanging="2"/>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（1）形式：☑银行转账☑银行电汇☑银行保函 ☑担保机构担保☑保证保险</w:t>
            </w:r>
          </w:p>
          <w:p w14:paraId="0253A7DA">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4" w:right="0" w:firstLine="7"/>
              <w:textAlignment w:val="baseline"/>
              <w:rPr>
                <w:rFonts w:hint="eastAsia" w:ascii="宋体" w:hAnsi="宋体" w:eastAsia="宋体" w:cs="宋体"/>
                <w:b/>
                <w:bCs/>
                <w:color w:val="auto"/>
                <w:spacing w:val="0"/>
                <w:w w:val="100"/>
                <w:position w:val="0"/>
                <w:highlight w:val="none"/>
                <w:lang w:eastAsia="zh-CN"/>
              </w:rPr>
            </w:pPr>
            <w:r>
              <w:rPr>
                <w:rFonts w:hint="eastAsia" w:ascii="宋体" w:hAnsi="宋体" w:eastAsia="宋体" w:cs="宋体"/>
                <w:color w:val="auto"/>
                <w:spacing w:val="0"/>
                <w:w w:val="100"/>
                <w:position w:val="0"/>
                <w:highlight w:val="none"/>
              </w:rPr>
              <w:t>（2）金额：中标金额的3%。</w:t>
            </w:r>
            <w:r>
              <w:rPr>
                <w:rFonts w:hint="eastAsia" w:cs="宋体"/>
                <w:b/>
                <w:bCs/>
                <w:color w:val="auto"/>
                <w:spacing w:val="0"/>
                <w:w w:val="100"/>
                <w:position w:val="0"/>
                <w:highlight w:val="none"/>
                <w:lang w:eastAsia="zh-CN"/>
              </w:rPr>
              <w:t>（</w:t>
            </w:r>
            <w:r>
              <w:rPr>
                <w:rFonts w:hint="eastAsia" w:cs="宋体"/>
                <w:b/>
                <w:bCs/>
                <w:color w:val="auto"/>
                <w:spacing w:val="0"/>
                <w:w w:val="100"/>
                <w:position w:val="0"/>
                <w:highlight w:val="none"/>
                <w:lang w:val="en-US" w:eastAsia="zh-CN"/>
              </w:rPr>
              <w:t>如为联合体中标，由联合体牵头人负责办理</w:t>
            </w:r>
            <w:r>
              <w:rPr>
                <w:rFonts w:hint="eastAsia" w:cs="宋体"/>
                <w:b/>
                <w:bCs/>
                <w:color w:val="auto"/>
                <w:spacing w:val="0"/>
                <w:w w:val="100"/>
                <w:position w:val="0"/>
                <w:highlight w:val="none"/>
                <w:lang w:eastAsia="zh-CN"/>
              </w:rPr>
              <w:t>）</w:t>
            </w:r>
          </w:p>
          <w:p w14:paraId="6359DAC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7" w:right="45"/>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（3）如采用银行保函，银行保函应为</w:t>
            </w:r>
            <w:r>
              <w:rPr>
                <w:rFonts w:hint="eastAsia" w:cs="宋体"/>
                <w:color w:val="auto"/>
                <w:spacing w:val="0"/>
                <w:w w:val="100"/>
                <w:position w:val="0"/>
                <w:highlight w:val="none"/>
                <w:lang w:eastAsia="zh-CN"/>
              </w:rPr>
              <w:t>在</w:t>
            </w:r>
            <w:r>
              <w:rPr>
                <w:rFonts w:hint="eastAsia" w:cs="宋体"/>
                <w:color w:val="auto"/>
                <w:spacing w:val="0"/>
                <w:w w:val="100"/>
                <w:position w:val="0"/>
                <w:highlight w:val="none"/>
                <w:lang w:val="en-US" w:eastAsia="zh-CN"/>
              </w:rPr>
              <w:t>项目所在地</w:t>
            </w:r>
            <w:r>
              <w:rPr>
                <w:rFonts w:hint="eastAsia" w:ascii="宋体" w:hAnsi="宋体" w:eastAsia="宋体" w:cs="宋体"/>
                <w:color w:val="auto"/>
                <w:spacing w:val="0"/>
                <w:w w:val="100"/>
                <w:position w:val="0"/>
                <w:highlight w:val="none"/>
              </w:rPr>
              <w:t>具有分支机构的银行出具的见索即付无条件保函。</w:t>
            </w:r>
          </w:p>
          <w:p w14:paraId="2079F4C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7" w:right="45"/>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如采用担保机构出具的保函（担保机构担保），应为经安徽省地方金融监督管理局审查批准，注册地在</w:t>
            </w:r>
            <w:r>
              <w:rPr>
                <w:rFonts w:hint="eastAsia" w:cs="宋体"/>
                <w:color w:val="auto"/>
                <w:spacing w:val="0"/>
                <w:w w:val="100"/>
                <w:position w:val="0"/>
                <w:highlight w:val="none"/>
                <w:lang w:val="en-US" w:eastAsia="zh-CN"/>
              </w:rPr>
              <w:t>项目所在地</w:t>
            </w:r>
            <w:r>
              <w:rPr>
                <w:rFonts w:hint="eastAsia" w:ascii="宋体" w:hAnsi="宋体" w:eastAsia="宋体" w:cs="宋体"/>
                <w:color w:val="auto"/>
                <w:spacing w:val="0"/>
                <w:w w:val="100"/>
                <w:position w:val="0"/>
                <w:highlight w:val="none"/>
                <w:lang w:val="en-US" w:eastAsia="zh-CN"/>
              </w:rPr>
              <w:t>，依法取得融资担保业务经营许可证的融资担保机构出具的不可撤销、不可转让的见索即付独立保函。</w:t>
            </w:r>
          </w:p>
          <w:p w14:paraId="75CE99D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7" w:right="45"/>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履约保证金提交时间：中标通知书</w:t>
            </w:r>
            <w:r>
              <w:rPr>
                <w:rFonts w:hint="eastAsia" w:ascii="宋体" w:hAnsi="宋体" w:eastAsia="宋体" w:cs="宋体"/>
                <w:color w:val="auto"/>
                <w:spacing w:val="0"/>
                <w:w w:val="100"/>
                <w:position w:val="0"/>
                <w:highlight w:val="none"/>
                <w:lang w:val="en-US" w:eastAsia="zh-CN"/>
              </w:rPr>
              <w:t>发出</w:t>
            </w:r>
            <w:r>
              <w:rPr>
                <w:rFonts w:hint="eastAsia" w:ascii="宋体" w:hAnsi="宋体" w:eastAsia="宋体" w:cs="宋体"/>
                <w:color w:val="auto"/>
                <w:spacing w:val="0"/>
                <w:w w:val="100"/>
                <w:position w:val="0"/>
                <w:highlight w:val="none"/>
              </w:rPr>
              <w:t>后21天内；</w:t>
            </w:r>
          </w:p>
          <w:p w14:paraId="2C880FA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7" w:right="45"/>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履约保证金退还时间：</w:t>
            </w:r>
            <w:r>
              <w:rPr>
                <w:rFonts w:hint="eastAsia" w:ascii="宋体" w:hAnsi="宋体" w:eastAsia="宋体" w:cs="宋体"/>
                <w:color w:val="auto"/>
                <w:spacing w:val="0"/>
                <w:w w:val="100"/>
                <w:position w:val="0"/>
                <w:highlight w:val="none"/>
                <w:lang w:val="en-US" w:eastAsia="zh-CN"/>
              </w:rPr>
              <w:t>交工验收后且收到服务单位关于退还履约保证金的申请后28天内退还</w:t>
            </w:r>
            <w:r>
              <w:rPr>
                <w:rFonts w:hint="eastAsia" w:ascii="宋体" w:hAnsi="宋体" w:eastAsia="宋体" w:cs="宋体"/>
                <w:color w:val="auto"/>
                <w:spacing w:val="0"/>
                <w:w w:val="100"/>
                <w:position w:val="0"/>
                <w:highlight w:val="none"/>
              </w:rPr>
              <w:t>。</w:t>
            </w:r>
          </w:p>
        </w:tc>
      </w:tr>
      <w:tr w14:paraId="0755A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381AD534">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8.5.1</w:t>
            </w:r>
          </w:p>
        </w:tc>
        <w:tc>
          <w:tcPr>
            <w:tcW w:w="2594" w:type="dxa"/>
            <w:gridSpan w:val="2"/>
            <w:vAlign w:val="center"/>
          </w:tcPr>
          <w:p w14:paraId="2668E17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投诉</w:t>
            </w:r>
          </w:p>
        </w:tc>
        <w:tc>
          <w:tcPr>
            <w:tcW w:w="5628" w:type="dxa"/>
            <w:vAlign w:val="top"/>
          </w:tcPr>
          <w:p w14:paraId="47EE456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7" w:right="45"/>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投标人或者其他利害关系人认为招标投标活动不符合法律、行政法规规定的，可以自知道或者应当知道之日起10日内向有关行政监督部门投诉。投诉应有明确的请求和必要的证明材料。</w:t>
            </w:r>
          </w:p>
        </w:tc>
      </w:tr>
      <w:tr w14:paraId="52169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62F3002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8.5.1</w:t>
            </w:r>
          </w:p>
        </w:tc>
        <w:tc>
          <w:tcPr>
            <w:tcW w:w="2594" w:type="dxa"/>
            <w:gridSpan w:val="2"/>
            <w:vAlign w:val="center"/>
          </w:tcPr>
          <w:p w14:paraId="2A3C7AD0">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监督部门</w:t>
            </w:r>
          </w:p>
        </w:tc>
        <w:tc>
          <w:tcPr>
            <w:tcW w:w="5628" w:type="dxa"/>
            <w:vAlign w:val="center"/>
          </w:tcPr>
          <w:p w14:paraId="0398434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9" w:right="0"/>
              <w:jc w:val="both"/>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安徽省交通运输厅</w:t>
            </w:r>
          </w:p>
          <w:p w14:paraId="088B2B7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6" w:right="0"/>
              <w:jc w:val="both"/>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联系电话：0551-63629541</w:t>
            </w:r>
          </w:p>
          <w:p w14:paraId="706A9BEC">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55" w:right="0"/>
              <w:jc w:val="both"/>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地址：安徽省合肥市包河区高铁路98号</w:t>
            </w:r>
          </w:p>
        </w:tc>
      </w:tr>
      <w:tr w14:paraId="0490B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35E1951B">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9</w:t>
            </w:r>
          </w:p>
        </w:tc>
        <w:tc>
          <w:tcPr>
            <w:tcW w:w="2594" w:type="dxa"/>
            <w:gridSpan w:val="2"/>
            <w:vAlign w:val="center"/>
          </w:tcPr>
          <w:p w14:paraId="147F63CD">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是否采用电子招标投标</w:t>
            </w:r>
          </w:p>
        </w:tc>
        <w:tc>
          <w:tcPr>
            <w:tcW w:w="5628" w:type="dxa"/>
            <w:vAlign w:val="top"/>
          </w:tcPr>
          <w:p w14:paraId="11EDD0B9">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eastAsia" w:ascii="宋体" w:hAnsi="宋体" w:eastAsia="宋体" w:cs="宋体"/>
                <w:color w:val="auto"/>
                <w:spacing w:val="0"/>
                <w:w w:val="100"/>
                <w:position w:val="0"/>
                <w:highlight w:val="none"/>
              </w:rPr>
            </w:pPr>
            <w:r>
              <w:rPr>
                <w:rFonts w:hint="eastAsia" w:cs="宋体"/>
                <w:color w:val="auto"/>
                <w:spacing w:val="0"/>
                <w:w w:val="100"/>
                <w:position w:val="0"/>
                <w:highlight w:val="none"/>
                <w:lang w:eastAsia="zh-CN"/>
              </w:rPr>
              <w:t>□</w:t>
            </w:r>
            <w:r>
              <w:rPr>
                <w:rFonts w:hint="eastAsia" w:ascii="宋体" w:hAnsi="宋体" w:eastAsia="宋体" w:cs="宋体"/>
                <w:color w:val="auto"/>
                <w:spacing w:val="0"/>
                <w:w w:val="100"/>
                <w:position w:val="0"/>
                <w:highlight w:val="none"/>
              </w:rPr>
              <w:t>否</w:t>
            </w:r>
          </w:p>
          <w:p w14:paraId="63B4D8ED">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64"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rPr>
              <w:t>☑是，具体要求：</w:t>
            </w:r>
          </w:p>
        </w:tc>
      </w:tr>
      <w:tr w14:paraId="030AC3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224" w:type="dxa"/>
            <w:gridSpan w:val="4"/>
            <w:vAlign w:val="top"/>
          </w:tcPr>
          <w:p w14:paraId="27259C41">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70"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b/>
                <w:bCs/>
                <w:color w:val="auto"/>
                <w:spacing w:val="0"/>
                <w:w w:val="100"/>
                <w:position w:val="0"/>
                <w:highlight w:val="none"/>
              </w:rPr>
              <w:t>需要补充的其他内容</w:t>
            </w:r>
          </w:p>
        </w:tc>
      </w:tr>
      <w:tr w14:paraId="3E0D6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2BCE7716">
            <w:pPr>
              <w:pStyle w:val="19"/>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宋体" w:hAnsi="宋体" w:eastAsia="宋体" w:cs="宋体"/>
                <w:color w:val="auto"/>
                <w:spacing w:val="0"/>
                <w:w w:val="100"/>
                <w:position w:val="0"/>
                <w:highlight w:val="none"/>
                <w:lang w:eastAsia="zh-CN"/>
              </w:rPr>
            </w:pPr>
            <w:r>
              <w:rPr>
                <w:rFonts w:hint="eastAsia" w:ascii="宋体" w:hAnsi="宋体" w:eastAsia="宋体" w:cs="宋体"/>
                <w:color w:val="auto"/>
                <w:spacing w:val="0"/>
                <w:w w:val="100"/>
                <w:position w:val="0"/>
                <w:highlight w:val="none"/>
              </w:rPr>
              <w:t>10.</w:t>
            </w:r>
            <w:r>
              <w:rPr>
                <w:rFonts w:hint="eastAsia" w:cs="宋体"/>
                <w:color w:val="auto"/>
                <w:spacing w:val="0"/>
                <w:w w:val="100"/>
                <w:position w:val="0"/>
                <w:highlight w:val="none"/>
                <w:lang w:val="en-US" w:eastAsia="zh-CN"/>
              </w:rPr>
              <w:t>3</w:t>
            </w:r>
          </w:p>
        </w:tc>
        <w:tc>
          <w:tcPr>
            <w:tcW w:w="8222" w:type="dxa"/>
            <w:gridSpan w:val="3"/>
            <w:vAlign w:val="top"/>
          </w:tcPr>
          <w:p w14:paraId="5A0D583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对招标文件、招标过程及评标结果异议的提出： </w:t>
            </w:r>
          </w:p>
          <w:p w14:paraId="172851B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1、投标人对招标文件有异议的，请在投标截止时间10日前通过电子交易系统在线提出或以其他书面形式提出，逾期视为认可招标文件所有内容。 </w:t>
            </w:r>
          </w:p>
          <w:p w14:paraId="34B92D9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2、投标人对开标过程提出异议的，应于开标现场提出。 </w:t>
            </w:r>
          </w:p>
          <w:p w14:paraId="28947C3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3、招标投标相关各方对评标结果有异议，应在评标结果公示期内通过电子交易系统在线提出或以其他书面形式提出。 </w:t>
            </w:r>
          </w:p>
          <w:p w14:paraId="7FD8321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（1）异议材料应当包括以下内容： </w:t>
            </w:r>
          </w:p>
          <w:p w14:paraId="4130846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①提出异议的投标人的名称、地址及有效联系方式； </w:t>
            </w:r>
          </w:p>
          <w:p w14:paraId="61C168A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②异议对象的投标人的名称； </w:t>
            </w:r>
          </w:p>
          <w:p w14:paraId="4C0E5C2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③异议事项的基本事实；</w:t>
            </w:r>
          </w:p>
          <w:p w14:paraId="570F2FC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④相关请求和主张；</w:t>
            </w:r>
          </w:p>
          <w:p w14:paraId="125898A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⑤有效线索和相关证明材料；</w:t>
            </w:r>
          </w:p>
          <w:p w14:paraId="1E2E5D9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⑥提出异议的投标人是法人的，异议材料必须由其法定代表人签字并加盖单位公章，并附法定代表人及其委托联系人的有效身份证明复印件、注明联系方式；其他组织或者自然人提出异议的，异议材料必须由其主要负责人签字（有公章的须单位加盖公章），并附主要负责人及其委托联系人的有效身份证明复印件、注明联系方式。异议有关材料是外文的，应当同时提供其中文译本。 </w:t>
            </w:r>
          </w:p>
          <w:p w14:paraId="7E92098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（2）有下列情形的异议材料不予受理： </w:t>
            </w:r>
          </w:p>
          <w:p w14:paraId="0B6AE9E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①书面异议材料不完整的； </w:t>
            </w:r>
          </w:p>
          <w:p w14:paraId="394CB50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②异议事项含有主观猜测等内容且无充分有效证据的； </w:t>
            </w:r>
          </w:p>
          <w:p w14:paraId="79B464C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③对其他投标人的投标文件详细内容异议，无法提供合法来源渠道的；</w:t>
            </w:r>
          </w:p>
          <w:p w14:paraId="4F51AD2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④违反相关法律法规的。 </w:t>
            </w:r>
          </w:p>
          <w:p w14:paraId="2BDE77F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 xml:space="preserve">4、对于虚假、恶意异议： </w:t>
            </w:r>
          </w:p>
          <w:p w14:paraId="1C00650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提出异议的投标人不得以异议为名进行虚假、恶意异议，干扰招标投标活动的正常进行。对于提供虚假材料，以异议为名谋取中标或恶意异议扰乱招标工作秩序的，招标代理机构将报请行政监管部门处理。</w:t>
            </w:r>
          </w:p>
          <w:p w14:paraId="1331396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5、受理异议（质疑）的联系方式：</w:t>
            </w:r>
          </w:p>
          <w:p w14:paraId="75BA8D1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招标代理机构：滁州市城投工程咨询管理有限公司</w:t>
            </w:r>
          </w:p>
          <w:p w14:paraId="6AA4F99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ascii="宋体" w:hAnsi="宋体" w:eastAsia="宋体" w:cs="宋体"/>
                <w:color w:val="auto"/>
                <w:spacing w:val="0"/>
                <w:w w:val="100"/>
                <w:position w:val="0"/>
                <w:highlight w:val="none"/>
                <w:lang w:val="en-US" w:eastAsia="zh-CN"/>
              </w:rPr>
              <w:t>地址：滁州市龙蟠大道109号房产大厦6楼620室</w:t>
            </w:r>
          </w:p>
          <w:p w14:paraId="23F306B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lang w:val="en-US" w:eastAsia="zh-CN"/>
              </w:rPr>
            </w:pPr>
            <w:r>
              <w:rPr>
                <w:rFonts w:hint="eastAsia" w:cs="宋体"/>
                <w:color w:val="auto"/>
                <w:spacing w:val="0"/>
                <w:w w:val="100"/>
                <w:position w:val="0"/>
                <w:highlight w:val="none"/>
                <w:lang w:val="en-US" w:eastAsia="zh-CN"/>
              </w:rPr>
              <w:t>项目负责人</w:t>
            </w:r>
            <w:r>
              <w:rPr>
                <w:rFonts w:hint="eastAsia" w:ascii="宋体" w:hAnsi="宋体" w:eastAsia="宋体" w:cs="宋体"/>
                <w:color w:val="auto"/>
                <w:spacing w:val="0"/>
                <w:w w:val="100"/>
                <w:position w:val="0"/>
                <w:highlight w:val="none"/>
                <w:lang w:val="en-US" w:eastAsia="zh-CN"/>
              </w:rPr>
              <w:t xml:space="preserve">：关勤勤 </w:t>
            </w:r>
          </w:p>
          <w:p w14:paraId="5877967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9" w:right="0"/>
              <w:textAlignment w:val="baseline"/>
              <w:rPr>
                <w:rFonts w:hint="eastAsia" w:ascii="宋体" w:hAnsi="宋体" w:eastAsia="宋体" w:cs="宋体"/>
                <w:color w:val="auto"/>
                <w:spacing w:val="0"/>
                <w:w w:val="100"/>
                <w:position w:val="0"/>
                <w:highlight w:val="none"/>
              </w:rPr>
            </w:pPr>
            <w:r>
              <w:rPr>
                <w:rFonts w:hint="eastAsia" w:ascii="宋体" w:hAnsi="宋体" w:eastAsia="宋体" w:cs="宋体"/>
                <w:color w:val="auto"/>
                <w:spacing w:val="0"/>
                <w:w w:val="100"/>
                <w:position w:val="0"/>
                <w:highlight w:val="none"/>
                <w:lang w:val="en-US" w:eastAsia="zh-CN"/>
              </w:rPr>
              <w:t>电话：18909605753</w:t>
            </w:r>
          </w:p>
        </w:tc>
      </w:tr>
      <w:tr w14:paraId="64FF9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02" w:type="dxa"/>
            <w:vAlign w:val="center"/>
          </w:tcPr>
          <w:p w14:paraId="60657718">
            <w:pPr>
              <w:keepNext w:val="0"/>
              <w:keepLines w:val="0"/>
              <w:pageBreakBefore w:val="0"/>
              <w:widowControl/>
              <w:suppressLineNumbers w:val="0"/>
              <w:kinsoku w:val="0"/>
              <w:overflowPunct/>
              <w:topLinePunct w:val="0"/>
              <w:autoSpaceDE w:val="0"/>
              <w:autoSpaceDN w:val="0"/>
              <w:bidi w:val="0"/>
              <w:adjustRightInd w:val="0"/>
              <w:spacing w:before="0" w:beforeAutospacing="0" w:after="0" w:afterAutospacing="0" w:line="440" w:lineRule="exact"/>
              <w:ind w:left="0" w:right="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eastAsia" w:ascii="宋体" w:hAnsi="宋体" w:eastAsia="宋体" w:cs="宋体"/>
                <w:color w:val="auto"/>
                <w:spacing w:val="-1"/>
                <w:sz w:val="21"/>
                <w:szCs w:val="21"/>
                <w:highlight w:val="none"/>
              </w:rPr>
              <w:t>10.</w:t>
            </w:r>
            <w:r>
              <w:rPr>
                <w:rFonts w:hint="eastAsia" w:ascii="宋体" w:hAnsi="宋体" w:cs="宋体"/>
                <w:color w:val="auto"/>
                <w:spacing w:val="-1"/>
                <w:sz w:val="21"/>
                <w:szCs w:val="21"/>
                <w:highlight w:val="none"/>
                <w:lang w:val="en-US" w:eastAsia="zh-CN"/>
              </w:rPr>
              <w:t>4</w:t>
            </w:r>
          </w:p>
        </w:tc>
        <w:tc>
          <w:tcPr>
            <w:tcW w:w="8222" w:type="dxa"/>
            <w:gridSpan w:val="3"/>
            <w:vAlign w:val="center"/>
          </w:tcPr>
          <w:p w14:paraId="61A542F3">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 xml:space="preserve">入库/注册 </w:t>
            </w:r>
          </w:p>
          <w:p w14:paraId="50D83336">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投标人可通过以下两种方式入库/注册电子服务系统或电子交易系统账号（选其一即可）</w:t>
            </w:r>
          </w:p>
          <w:p w14:paraId="2389E5C0">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1）投标人可在安徽（区域）·公共资源交易电子服务系统办理入库：安徽（区域）·公共资源交易电子服务系统（以下简称“服务系统”）入库办理流程请参中心网站“办事指南”栏目中的“投标人”--“主体库登记”--“交易主体登记指南”。入库后投标人通过登录服务系统跳转至交易系统获取招标文件。 </w:t>
            </w:r>
          </w:p>
          <w:p w14:paraId="2C36E0A9">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（2）投标人可在优质采云采购平台（电子交易系统）办理注册：投标人注册优质采云采购平台（电子交易系统）账号，注册成功后可登录电子交易系统获取招标文件并参与项目。注册流程详见注册指南。</w:t>
            </w:r>
          </w:p>
          <w:p w14:paraId="1A223363">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2、关于数字证书办理 </w:t>
            </w:r>
          </w:p>
          <w:p w14:paraId="73B87E9B">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投标人可办理服务平台或交易平台数字证书，选其一即可： </w:t>
            </w:r>
          </w:p>
          <w:p w14:paraId="795FEA06">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（1）服务系统数字证书办理，详情参见电子服务系统CA办理。 </w:t>
            </w:r>
          </w:p>
          <w:p w14:paraId="64A00F64">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（2）优质采云采购平台数字办理，详情参见关于优质采平台数字证书办理的须知。</w:t>
            </w:r>
          </w:p>
          <w:p w14:paraId="41990094">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3、投标文件制作与递交 </w:t>
            </w:r>
          </w:p>
          <w:p w14:paraId="426C7C7C">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（1）投标人通过优质采投标文件制作工具导入投标文件，并加密上传。 </w:t>
            </w:r>
          </w:p>
          <w:p w14:paraId="0DFE705F">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（2）加密与解密：解密与加密必须使用同一个数字证书 </w:t>
            </w:r>
          </w:p>
          <w:p w14:paraId="10DD07EA">
            <w:pPr>
              <w:keepNext w:val="0"/>
              <w:keepLines w:val="0"/>
              <w:pageBreakBefore w:val="0"/>
              <w:widowControl/>
              <w:suppressLineNumbers w:val="0"/>
              <w:kinsoku w:val="0"/>
              <w:wordWrap/>
              <w:overflowPunct/>
              <w:topLinePunct w:val="0"/>
              <w:autoSpaceDE w:val="0"/>
              <w:autoSpaceDN w:val="0"/>
              <w:bidi w:val="0"/>
              <w:adjustRightInd w:val="0"/>
              <w:spacing w:before="0" w:beforeAutospacing="0" w:after="0" w:afterAutospacing="0" w:line="400" w:lineRule="exact"/>
              <w:ind w:left="0" w:right="0"/>
              <w:jc w:val="left"/>
              <w:textAlignment w:val="baseline"/>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（3）优质采投标文件制作工具下载地址</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http://file.youzhicai.com/files/BidderTools.rar</w:t>
            </w:r>
            <w:r>
              <w:rPr>
                <w:rFonts w:hint="eastAsia" w:ascii="宋体" w:hAnsi="宋体" w:cs="宋体"/>
                <w:b w:val="0"/>
                <w:bCs w:val="0"/>
                <w:color w:val="auto"/>
                <w:sz w:val="21"/>
                <w:szCs w:val="21"/>
                <w:highlight w:val="none"/>
                <w:lang w:val="en-US" w:eastAsia="zh-CN"/>
              </w:rPr>
              <w:t>。</w:t>
            </w:r>
          </w:p>
          <w:p w14:paraId="32FBC49E">
            <w:pPr>
              <w:keepNext w:val="0"/>
              <w:keepLines w:val="0"/>
              <w:pageBreakBefore w:val="0"/>
              <w:widowControl/>
              <w:suppressLineNumbers w:val="0"/>
              <w:kinsoku w:val="0"/>
              <w:wordWrap/>
              <w:overflowPunct/>
              <w:topLinePunct w:val="0"/>
              <w:autoSpaceDE w:val="0"/>
              <w:autoSpaceDN w:val="0"/>
              <w:bidi w:val="0"/>
              <w:adjustRightInd w:val="0"/>
              <w:snapToGrid/>
              <w:spacing w:before="0" w:beforeAutospacing="0" w:after="0" w:afterAutospacing="0" w:line="400" w:lineRule="exact"/>
              <w:ind w:left="0" w:right="0"/>
              <w:jc w:val="left"/>
              <w:textAlignment w:val="baseline"/>
              <w:rPr>
                <w:rFonts w:hint="default"/>
                <w:color w:val="auto"/>
                <w:spacing w:val="0"/>
                <w:w w:val="100"/>
                <w:position w:val="0"/>
                <w:sz w:val="21"/>
                <w:szCs w:val="21"/>
                <w:highlight w:val="none"/>
              </w:rPr>
            </w:pPr>
            <w:r>
              <w:rPr>
                <w:rFonts w:hint="eastAsia" w:ascii="宋体" w:hAnsi="宋体" w:eastAsia="宋体" w:cs="宋体"/>
                <w:b w:val="0"/>
                <w:bCs w:val="0"/>
                <w:color w:val="auto"/>
                <w:sz w:val="21"/>
                <w:szCs w:val="21"/>
                <w:highlight w:val="none"/>
                <w:lang w:val="en-US" w:eastAsia="zh-CN"/>
              </w:rPr>
              <w:t>4、使用优质采投标工具时需在国际互联网络通畅状态下进行，若因投标人没有及时更新软件或其他自身原因造成的电子投标文件制作错误，将责任自负。</w:t>
            </w:r>
          </w:p>
        </w:tc>
      </w:tr>
      <w:tr w14:paraId="02B13A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02" w:type="dxa"/>
            <w:vAlign w:val="center"/>
          </w:tcPr>
          <w:p w14:paraId="4574312B">
            <w:pPr>
              <w:keepNext w:val="0"/>
              <w:keepLines w:val="0"/>
              <w:pageBreakBefore w:val="0"/>
              <w:widowControl/>
              <w:suppressLineNumbers w:val="0"/>
              <w:overflowPunct/>
              <w:topLinePunct w:val="0"/>
              <w:bidi w:val="0"/>
              <w:spacing w:before="0" w:beforeAutospacing="0" w:after="0" w:afterAutospacing="0" w:line="480" w:lineRule="exact"/>
              <w:ind w:left="0" w:right="0"/>
              <w:jc w:val="center"/>
              <w:rPr>
                <w:rFonts w:hint="default" w:ascii="Times New Roman" w:hAnsi="Times New Roman" w:eastAsia="Times New Roman" w:cs="Times New Roman"/>
                <w:color w:val="auto"/>
                <w:spacing w:val="0"/>
                <w:w w:val="100"/>
                <w:position w:val="0"/>
                <w:sz w:val="21"/>
                <w:szCs w:val="21"/>
                <w:highlight w:val="none"/>
              </w:rPr>
            </w:pPr>
            <w:r>
              <w:rPr>
                <w:rFonts w:hint="eastAsia" w:ascii="宋体" w:hAnsi="宋体" w:eastAsia="宋体" w:cs="宋体"/>
                <w:b/>
                <w:bCs/>
                <w:color w:val="auto"/>
                <w:spacing w:val="-1"/>
                <w:sz w:val="22"/>
                <w:szCs w:val="22"/>
                <w:highlight w:val="none"/>
                <w:lang w:val="en-US" w:eastAsia="zh-CN"/>
              </w:rPr>
              <w:t>10.</w:t>
            </w:r>
            <w:r>
              <w:rPr>
                <w:rFonts w:hint="eastAsia" w:ascii="宋体" w:hAnsi="宋体" w:cs="宋体"/>
                <w:b/>
                <w:bCs/>
                <w:color w:val="auto"/>
                <w:spacing w:val="-1"/>
                <w:sz w:val="22"/>
                <w:szCs w:val="22"/>
                <w:highlight w:val="none"/>
                <w:lang w:val="en-US" w:eastAsia="zh-CN"/>
              </w:rPr>
              <w:t>5</w:t>
            </w:r>
          </w:p>
        </w:tc>
        <w:tc>
          <w:tcPr>
            <w:tcW w:w="8222" w:type="dxa"/>
            <w:gridSpan w:val="3"/>
            <w:vAlign w:val="center"/>
          </w:tcPr>
          <w:p w14:paraId="149676B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0" w:right="0"/>
              <w:jc w:val="left"/>
              <w:textAlignment w:val="baseline"/>
              <w:rPr>
                <w:rFonts w:hint="default"/>
                <w:color w:val="auto"/>
                <w:spacing w:val="0"/>
                <w:w w:val="100"/>
                <w:position w:val="0"/>
                <w:highlight w:val="none"/>
              </w:rPr>
            </w:pPr>
            <w:r>
              <w:rPr>
                <w:rFonts w:hint="eastAsia" w:ascii="宋体" w:hAnsi="宋体" w:cs="宋体"/>
                <w:b/>
                <w:color w:val="auto"/>
                <w:kern w:val="0"/>
                <w:sz w:val="22"/>
                <w:szCs w:val="22"/>
                <w:highlight w:val="none"/>
              </w:rPr>
              <w:t>电子投标文件须按格式文件要求签字或盖章（电子签章），招标文件格式中要求“签章”部位，指电子签章或盖章后扫描上传均可。</w:t>
            </w:r>
            <w:r>
              <w:rPr>
                <w:rFonts w:hint="eastAsia" w:ascii="宋体" w:hAnsi="宋体" w:cs="宋体"/>
                <w:b/>
                <w:color w:val="auto"/>
                <w:kern w:val="0"/>
                <w:sz w:val="22"/>
                <w:szCs w:val="22"/>
                <w:highlight w:val="none"/>
                <w:lang w:val="en-US" w:eastAsia="zh-CN"/>
              </w:rPr>
              <w:t>委托代理人签署投标文件需上传有手写签名的扫描件。</w:t>
            </w:r>
          </w:p>
        </w:tc>
      </w:tr>
      <w:tr w14:paraId="46BAC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6" w:hRule="atLeast"/>
        </w:trPr>
        <w:tc>
          <w:tcPr>
            <w:tcW w:w="1002" w:type="dxa"/>
            <w:vAlign w:val="center"/>
          </w:tcPr>
          <w:p w14:paraId="00201BC7">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eastAsia" w:ascii="Times New Roman" w:hAnsi="Times New Roman" w:eastAsia="宋体" w:cs="Times New Roman"/>
                <w:b/>
                <w:bCs/>
                <w:color w:val="auto"/>
                <w:spacing w:val="0"/>
                <w:w w:val="100"/>
                <w:position w:val="0"/>
                <w:sz w:val="21"/>
                <w:szCs w:val="21"/>
                <w:highlight w:val="none"/>
                <w:lang w:eastAsia="zh-CN"/>
              </w:rPr>
            </w:pPr>
            <w:r>
              <w:rPr>
                <w:rFonts w:hint="default" w:ascii="Times New Roman" w:hAnsi="Times New Roman" w:eastAsia="Times New Roman" w:cs="Times New Roman"/>
                <w:b/>
                <w:bCs/>
                <w:color w:val="auto"/>
                <w:spacing w:val="0"/>
                <w:w w:val="100"/>
                <w:position w:val="0"/>
                <w:sz w:val="21"/>
                <w:szCs w:val="21"/>
                <w:highlight w:val="none"/>
              </w:rPr>
              <w:t>10.</w:t>
            </w:r>
            <w:r>
              <w:rPr>
                <w:rFonts w:hint="eastAsia" w:ascii="Times New Roman" w:hAnsi="Times New Roman" w:eastAsia="宋体" w:cs="Times New Roman"/>
                <w:b/>
                <w:bCs/>
                <w:color w:val="auto"/>
                <w:spacing w:val="0"/>
                <w:w w:val="100"/>
                <w:position w:val="0"/>
                <w:sz w:val="21"/>
                <w:szCs w:val="21"/>
                <w:highlight w:val="none"/>
                <w:lang w:val="en-US" w:eastAsia="zh-CN"/>
              </w:rPr>
              <w:t>6</w:t>
            </w:r>
          </w:p>
        </w:tc>
        <w:tc>
          <w:tcPr>
            <w:tcW w:w="8222" w:type="dxa"/>
            <w:gridSpan w:val="3"/>
            <w:vAlign w:val="top"/>
          </w:tcPr>
          <w:p w14:paraId="47632EA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7" w:right="47" w:firstLine="16"/>
              <w:textAlignment w:val="baseline"/>
              <w:rPr>
                <w:rFonts w:hint="default"/>
                <w:b/>
                <w:bCs/>
                <w:color w:val="auto"/>
                <w:spacing w:val="0"/>
                <w:w w:val="100"/>
                <w:position w:val="0"/>
                <w:highlight w:val="none"/>
              </w:rPr>
            </w:pPr>
            <w:r>
              <w:rPr>
                <w:rFonts w:hint="eastAsia"/>
                <w:b/>
                <w:bCs/>
                <w:color w:val="auto"/>
                <w:spacing w:val="0"/>
                <w:w w:val="100"/>
                <w:position w:val="0"/>
                <w:highlight w:val="none"/>
                <w:lang w:eastAsia="zh-CN"/>
              </w:rPr>
              <w:t>（</w:t>
            </w:r>
            <w:r>
              <w:rPr>
                <w:rFonts w:hint="eastAsia"/>
                <w:b/>
                <w:bCs/>
                <w:color w:val="auto"/>
                <w:spacing w:val="0"/>
                <w:w w:val="100"/>
                <w:position w:val="0"/>
                <w:highlight w:val="none"/>
                <w:lang w:val="en-US" w:eastAsia="zh-CN"/>
              </w:rPr>
              <w:t>1</w:t>
            </w:r>
            <w:r>
              <w:rPr>
                <w:rFonts w:hint="eastAsia"/>
                <w:b/>
                <w:bCs/>
                <w:color w:val="auto"/>
                <w:spacing w:val="0"/>
                <w:w w:val="100"/>
                <w:position w:val="0"/>
                <w:highlight w:val="none"/>
                <w:lang w:eastAsia="zh-CN"/>
              </w:rPr>
              <w:t>）</w:t>
            </w:r>
            <w:r>
              <w:rPr>
                <w:rFonts w:hint="default"/>
                <w:b/>
                <w:bCs/>
                <w:color w:val="auto"/>
                <w:spacing w:val="0"/>
                <w:w w:val="100"/>
                <w:position w:val="0"/>
                <w:highlight w:val="none"/>
              </w:rPr>
              <w:t>中标人在领取中标通知书前须向招标代理机构缴纳招标代理服务费，可以银行转账、银行电汇方式。</w:t>
            </w:r>
          </w:p>
          <w:p w14:paraId="5AA5CB2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3" w:right="0"/>
              <w:textAlignment w:val="baseline"/>
              <w:rPr>
                <w:rFonts w:hint="default"/>
                <w:b/>
                <w:bCs/>
                <w:color w:val="auto"/>
                <w:spacing w:val="0"/>
                <w:w w:val="100"/>
                <w:position w:val="0"/>
                <w:highlight w:val="none"/>
              </w:rPr>
            </w:pPr>
            <w:r>
              <w:rPr>
                <w:rFonts w:hint="default" w:ascii="Times New Roman" w:hAnsi="Times New Roman" w:eastAsia="Times New Roman" w:cs="Times New Roman"/>
                <w:b/>
                <w:bCs/>
                <w:color w:val="auto"/>
                <w:spacing w:val="0"/>
                <w:w w:val="100"/>
                <w:position w:val="0"/>
                <w:highlight w:val="none"/>
              </w:rPr>
              <w:t>01</w:t>
            </w:r>
            <w:r>
              <w:rPr>
                <w:rFonts w:hint="default"/>
                <w:b/>
                <w:bCs/>
                <w:color w:val="auto"/>
                <w:spacing w:val="0"/>
                <w:w w:val="100"/>
                <w:position w:val="0"/>
                <w:highlight w:val="none"/>
              </w:rPr>
              <w:t>标段招标代理服务费</w:t>
            </w:r>
            <w:r>
              <w:rPr>
                <w:rFonts w:hint="eastAsia" w:ascii="Times New Roman" w:hAnsi="Times New Roman" w:cs="Times New Roman"/>
                <w:b/>
                <w:bCs/>
                <w:color w:val="auto"/>
                <w:spacing w:val="0"/>
                <w:w w:val="100"/>
                <w:position w:val="0"/>
                <w:highlight w:val="none"/>
                <w:lang w:val="en-US" w:eastAsia="zh-CN"/>
              </w:rPr>
              <w:t>9</w:t>
            </w:r>
            <w:r>
              <w:rPr>
                <w:rFonts w:hint="default"/>
                <w:b/>
                <w:bCs/>
                <w:color w:val="auto"/>
                <w:spacing w:val="0"/>
                <w:w w:val="100"/>
                <w:position w:val="0"/>
                <w:highlight w:val="none"/>
              </w:rPr>
              <w:t>万元，</w:t>
            </w:r>
            <w:r>
              <w:rPr>
                <w:rFonts w:hint="default" w:ascii="Times New Roman" w:hAnsi="Times New Roman" w:eastAsia="Times New Roman" w:cs="Times New Roman"/>
                <w:b/>
                <w:bCs/>
                <w:color w:val="auto"/>
                <w:spacing w:val="0"/>
                <w:w w:val="100"/>
                <w:position w:val="0"/>
                <w:highlight w:val="none"/>
              </w:rPr>
              <w:t>02</w:t>
            </w:r>
            <w:r>
              <w:rPr>
                <w:rFonts w:hint="default"/>
                <w:b/>
                <w:bCs/>
                <w:color w:val="auto"/>
                <w:spacing w:val="0"/>
                <w:w w:val="100"/>
                <w:position w:val="0"/>
                <w:highlight w:val="none"/>
              </w:rPr>
              <w:t>标段招标代理服务费</w:t>
            </w:r>
            <w:r>
              <w:rPr>
                <w:rFonts w:hint="eastAsia" w:ascii="Times New Roman" w:hAnsi="Times New Roman" w:cs="Times New Roman"/>
                <w:b/>
                <w:bCs/>
                <w:color w:val="auto"/>
                <w:spacing w:val="0"/>
                <w:w w:val="100"/>
                <w:position w:val="0"/>
                <w:highlight w:val="none"/>
                <w:lang w:val="en-US" w:eastAsia="zh-CN"/>
              </w:rPr>
              <w:t>1</w:t>
            </w:r>
            <w:r>
              <w:rPr>
                <w:rFonts w:hint="default"/>
                <w:b/>
                <w:bCs/>
                <w:color w:val="auto"/>
                <w:spacing w:val="0"/>
                <w:w w:val="100"/>
                <w:position w:val="0"/>
                <w:highlight w:val="none"/>
              </w:rPr>
              <w:t>万元。</w:t>
            </w:r>
          </w:p>
          <w:p w14:paraId="3409ABC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7" w:right="47" w:firstLine="16"/>
              <w:textAlignment w:val="baseline"/>
              <w:rPr>
                <w:rFonts w:hint="default"/>
                <w:b/>
                <w:bCs/>
                <w:color w:val="auto"/>
                <w:spacing w:val="0"/>
                <w:w w:val="100"/>
                <w:position w:val="0"/>
                <w:highlight w:val="none"/>
              </w:rPr>
            </w:pPr>
            <w:r>
              <w:rPr>
                <w:rFonts w:hint="default"/>
                <w:b/>
                <w:bCs/>
                <w:color w:val="auto"/>
                <w:spacing w:val="0"/>
                <w:w w:val="100"/>
                <w:position w:val="0"/>
                <w:highlight w:val="none"/>
              </w:rPr>
              <w:t>（</w:t>
            </w:r>
            <w:r>
              <w:rPr>
                <w:rFonts w:hint="default" w:ascii="Times New Roman" w:hAnsi="Times New Roman" w:eastAsia="Times New Roman" w:cs="Times New Roman"/>
                <w:b/>
                <w:bCs/>
                <w:color w:val="auto"/>
                <w:spacing w:val="0"/>
                <w:w w:val="100"/>
                <w:position w:val="0"/>
                <w:highlight w:val="none"/>
              </w:rPr>
              <w:t>2</w:t>
            </w:r>
            <w:r>
              <w:rPr>
                <w:rFonts w:hint="default"/>
                <w:b/>
                <w:bCs/>
                <w:color w:val="auto"/>
                <w:spacing w:val="0"/>
                <w:w w:val="100"/>
                <w:position w:val="0"/>
                <w:highlight w:val="none"/>
              </w:rPr>
              <w:t>）以上相关费用，投标人在报价单中不单列，包含在投标总价中，招标人不再单独计量支付。</w:t>
            </w:r>
          </w:p>
        </w:tc>
      </w:tr>
      <w:tr w14:paraId="0CB6C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6" w:hRule="atLeast"/>
        </w:trPr>
        <w:tc>
          <w:tcPr>
            <w:tcW w:w="1002" w:type="dxa"/>
            <w:vAlign w:val="center"/>
          </w:tcPr>
          <w:p w14:paraId="258D89D8">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Times New Roman" w:cs="Times New Roman"/>
                <w:color w:val="auto"/>
                <w:spacing w:val="0"/>
                <w:w w:val="100"/>
                <w:position w:val="0"/>
                <w:sz w:val="21"/>
                <w:szCs w:val="21"/>
                <w:highlight w:val="none"/>
              </w:rPr>
              <w:t>10</w:t>
            </w:r>
            <w:r>
              <w:rPr>
                <w:rFonts w:hint="eastAsia" w:ascii="Times New Roman" w:hAnsi="Times New Roman" w:eastAsia="宋体" w:cs="Times New Roman"/>
                <w:color w:val="auto"/>
                <w:spacing w:val="0"/>
                <w:w w:val="100"/>
                <w:position w:val="0"/>
                <w:sz w:val="21"/>
                <w:szCs w:val="21"/>
                <w:highlight w:val="none"/>
                <w:lang w:val="en-US" w:eastAsia="zh-CN"/>
              </w:rPr>
              <w:t>.7</w:t>
            </w:r>
          </w:p>
        </w:tc>
        <w:tc>
          <w:tcPr>
            <w:tcW w:w="8222" w:type="dxa"/>
            <w:gridSpan w:val="3"/>
            <w:vAlign w:val="top"/>
          </w:tcPr>
          <w:p w14:paraId="42044C2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6" w:right="0"/>
              <w:textAlignment w:val="baseline"/>
              <w:rPr>
                <w:rFonts w:hint="default"/>
                <w:color w:val="auto"/>
                <w:spacing w:val="0"/>
                <w:w w:val="100"/>
                <w:position w:val="0"/>
                <w:highlight w:val="none"/>
              </w:rPr>
            </w:pPr>
            <w:r>
              <w:rPr>
                <w:rFonts w:hint="default"/>
                <w:color w:val="auto"/>
                <w:spacing w:val="0"/>
                <w:w w:val="100"/>
                <w:position w:val="0"/>
                <w:highlight w:val="none"/>
              </w:rPr>
              <w:t>构成招标文件组成部分的“通用合同条款”、“专用合同条款”、“</w:t>
            </w:r>
            <w:r>
              <w:rPr>
                <w:rFonts w:hint="default"/>
                <w:color w:val="auto"/>
                <w:spacing w:val="0"/>
                <w:w w:val="100"/>
                <w:position w:val="0"/>
                <w:highlight w:val="none"/>
                <w:lang w:val="en-US" w:eastAsia="zh-CN"/>
              </w:rPr>
              <w:t>委托人要求</w:t>
            </w:r>
            <w:r>
              <w:rPr>
                <w:rFonts w:hint="default"/>
                <w:color w:val="auto"/>
                <w:spacing w:val="0"/>
                <w:w w:val="100"/>
                <w:position w:val="0"/>
                <w:highlight w:val="none"/>
              </w:rPr>
              <w:t>”等章节中“</w:t>
            </w:r>
            <w:r>
              <w:rPr>
                <w:rFonts w:hint="default"/>
                <w:color w:val="auto"/>
                <w:spacing w:val="0"/>
                <w:w w:val="100"/>
                <w:position w:val="0"/>
                <w:highlight w:val="none"/>
                <w:lang w:val="en-US" w:eastAsia="zh-CN"/>
              </w:rPr>
              <w:t>委托人</w:t>
            </w:r>
            <w:r>
              <w:rPr>
                <w:rFonts w:hint="default"/>
                <w:color w:val="auto"/>
                <w:spacing w:val="0"/>
                <w:w w:val="100"/>
                <w:position w:val="0"/>
                <w:highlight w:val="none"/>
              </w:rPr>
              <w:t>”和“</w:t>
            </w:r>
            <w:r>
              <w:rPr>
                <w:rFonts w:hint="default"/>
                <w:color w:val="auto"/>
                <w:spacing w:val="0"/>
                <w:w w:val="100"/>
                <w:position w:val="0"/>
                <w:highlight w:val="none"/>
                <w:lang w:val="en-US" w:eastAsia="zh-CN"/>
              </w:rPr>
              <w:t>受托人</w:t>
            </w:r>
            <w:r>
              <w:rPr>
                <w:rFonts w:hint="default"/>
                <w:color w:val="auto"/>
                <w:spacing w:val="0"/>
                <w:w w:val="100"/>
                <w:position w:val="0"/>
                <w:highlight w:val="none"/>
              </w:rPr>
              <w:t>”，除特殊约定外，等同于招标投标阶段的“招标人”和“投标人/中标人”。</w:t>
            </w:r>
          </w:p>
        </w:tc>
      </w:tr>
      <w:tr w14:paraId="724E77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1002" w:type="dxa"/>
            <w:vAlign w:val="center"/>
          </w:tcPr>
          <w:p w14:paraId="0198CBEE">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eastAsia" w:ascii="Times New Roman" w:hAnsi="Times New Roman" w:eastAsia="宋体" w:cs="Times New Roman"/>
                <w:color w:val="auto"/>
                <w:spacing w:val="0"/>
                <w:w w:val="100"/>
                <w:position w:val="0"/>
                <w:sz w:val="21"/>
                <w:szCs w:val="21"/>
                <w:highlight w:val="none"/>
                <w:lang w:val="en-US" w:eastAsia="zh-CN"/>
              </w:rPr>
              <w:t>10.8</w:t>
            </w:r>
          </w:p>
        </w:tc>
        <w:tc>
          <w:tcPr>
            <w:tcW w:w="8222" w:type="dxa"/>
            <w:gridSpan w:val="3"/>
            <w:vAlign w:val="top"/>
          </w:tcPr>
          <w:p w14:paraId="158DBAF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6" w:right="0"/>
              <w:textAlignment w:val="baseline"/>
              <w:rPr>
                <w:rFonts w:hint="default"/>
                <w:color w:val="auto"/>
                <w:spacing w:val="0"/>
                <w:w w:val="100"/>
                <w:position w:val="0"/>
                <w:highlight w:val="none"/>
              </w:rPr>
            </w:pPr>
            <w:r>
              <w:rPr>
                <w:rFonts w:hint="default"/>
                <w:color w:val="auto"/>
                <w:spacing w:val="0"/>
                <w:w w:val="100"/>
                <w:position w:val="0"/>
                <w:highlight w:val="none"/>
              </w:rPr>
              <w:t>(1)构成本招标文件的各个组成文件应互为解释，互为说明；</w:t>
            </w:r>
          </w:p>
          <w:p w14:paraId="7579D7E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6" w:right="0"/>
              <w:textAlignment w:val="baseline"/>
              <w:rPr>
                <w:rFonts w:hint="default"/>
                <w:color w:val="auto"/>
                <w:spacing w:val="0"/>
                <w:w w:val="100"/>
                <w:position w:val="0"/>
                <w:highlight w:val="none"/>
              </w:rPr>
            </w:pPr>
            <w:r>
              <w:rPr>
                <w:rFonts w:hint="default"/>
                <w:color w:val="auto"/>
                <w:spacing w:val="0"/>
                <w:w w:val="100"/>
                <w:position w:val="0"/>
                <w:highlight w:val="none"/>
              </w:rPr>
              <w:t>(2)同一组成文件中就同一事项的规定或约定不一致的，以编排顺序在后者为准；</w:t>
            </w:r>
          </w:p>
          <w:p w14:paraId="7E03B02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6" w:right="0"/>
              <w:textAlignment w:val="baseline"/>
              <w:rPr>
                <w:rFonts w:hint="default"/>
                <w:color w:val="auto"/>
                <w:spacing w:val="0"/>
                <w:w w:val="100"/>
                <w:position w:val="0"/>
                <w:highlight w:val="none"/>
              </w:rPr>
            </w:pPr>
            <w:r>
              <w:rPr>
                <w:rFonts w:hint="default"/>
                <w:color w:val="auto"/>
                <w:spacing w:val="0"/>
                <w:w w:val="100"/>
                <w:position w:val="0"/>
                <w:highlight w:val="none"/>
              </w:rPr>
              <w:t>(3)如有不明确或不一致，构成合同文件组成内容的，以合同文件约定内容为准，且以专用合同条款约定的合同文件优先顺序解释；</w:t>
            </w:r>
          </w:p>
          <w:p w14:paraId="51DC2B0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6" w:right="0"/>
              <w:textAlignment w:val="baseline"/>
              <w:rPr>
                <w:rFonts w:hint="default"/>
                <w:color w:val="auto"/>
                <w:spacing w:val="0"/>
                <w:w w:val="100"/>
                <w:position w:val="0"/>
                <w:highlight w:val="none"/>
              </w:rPr>
            </w:pPr>
            <w:r>
              <w:rPr>
                <w:rFonts w:hint="default"/>
                <w:color w:val="auto"/>
                <w:spacing w:val="0"/>
                <w:w w:val="100"/>
                <w:position w:val="0"/>
                <w:highlight w:val="none"/>
              </w:rPr>
              <w:t>(4)除招标文件中有特别规定外，仅适用于招标投标阶段的规定，按招标公告、投标人须知、评标办法、投标文件格式的先后顺序解释；</w:t>
            </w:r>
          </w:p>
          <w:p w14:paraId="4BBFA4E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6" w:right="0"/>
              <w:textAlignment w:val="baseline"/>
              <w:rPr>
                <w:rFonts w:hint="default"/>
                <w:color w:val="auto"/>
                <w:spacing w:val="0"/>
                <w:w w:val="100"/>
                <w:position w:val="0"/>
                <w:highlight w:val="none"/>
              </w:rPr>
            </w:pPr>
            <w:r>
              <w:rPr>
                <w:rFonts w:hint="default"/>
                <w:color w:val="auto"/>
                <w:spacing w:val="0"/>
                <w:w w:val="100"/>
                <w:position w:val="0"/>
                <w:highlight w:val="none"/>
              </w:rPr>
              <w:t>(5)按本款前述规定仍不能形成结论的，由招标人负责解释。</w:t>
            </w:r>
          </w:p>
        </w:tc>
      </w:tr>
      <w:tr w14:paraId="70C347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1002" w:type="dxa"/>
            <w:vAlign w:val="center"/>
          </w:tcPr>
          <w:p w14:paraId="1FF6B5DF">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宋体" w:cs="Times New Roman"/>
                <w:b/>
                <w:bCs/>
                <w:color w:val="auto"/>
                <w:spacing w:val="0"/>
                <w:w w:val="100"/>
                <w:position w:val="0"/>
                <w:sz w:val="21"/>
                <w:szCs w:val="21"/>
                <w:highlight w:val="none"/>
                <w:lang w:val="en-US" w:eastAsia="zh-CN"/>
              </w:rPr>
            </w:pPr>
            <w:r>
              <w:rPr>
                <w:rFonts w:hint="eastAsia" w:ascii="Times New Roman" w:hAnsi="Times New Roman" w:eastAsia="宋体" w:cs="Times New Roman"/>
                <w:b/>
                <w:bCs/>
                <w:color w:val="auto"/>
                <w:spacing w:val="0"/>
                <w:w w:val="100"/>
                <w:position w:val="0"/>
                <w:sz w:val="21"/>
                <w:szCs w:val="21"/>
                <w:highlight w:val="none"/>
                <w:lang w:val="en-US" w:eastAsia="zh-CN"/>
              </w:rPr>
              <w:t>10.9</w:t>
            </w:r>
          </w:p>
        </w:tc>
        <w:tc>
          <w:tcPr>
            <w:tcW w:w="8222" w:type="dxa"/>
            <w:gridSpan w:val="3"/>
            <w:vAlign w:val="top"/>
          </w:tcPr>
          <w:p w14:paraId="0A0D6C8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7" w:right="0"/>
              <w:textAlignment w:val="baseline"/>
              <w:rPr>
                <w:rFonts w:hint="default"/>
                <w:b/>
                <w:bCs/>
                <w:color w:val="auto"/>
                <w:spacing w:val="0"/>
                <w:w w:val="100"/>
                <w:position w:val="0"/>
                <w:highlight w:val="none"/>
              </w:rPr>
            </w:pPr>
            <w:r>
              <w:rPr>
                <w:rFonts w:hint="default"/>
                <w:b/>
                <w:bCs/>
                <w:color w:val="auto"/>
                <w:spacing w:val="0"/>
                <w:w w:val="100"/>
                <w:position w:val="0"/>
                <w:highlight w:val="none"/>
              </w:rPr>
              <w:t>1、各投标人无须至开标现场参与开标，投标人参与在线开标即可。</w:t>
            </w:r>
          </w:p>
          <w:p w14:paraId="4793B1E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7" w:right="0"/>
              <w:textAlignment w:val="baseline"/>
              <w:rPr>
                <w:rFonts w:hint="default"/>
                <w:b/>
                <w:bCs/>
                <w:color w:val="auto"/>
                <w:spacing w:val="0"/>
                <w:w w:val="100"/>
                <w:position w:val="0"/>
                <w:highlight w:val="none"/>
              </w:rPr>
            </w:pPr>
            <w:r>
              <w:rPr>
                <w:rFonts w:hint="default"/>
                <w:b/>
                <w:bCs/>
                <w:color w:val="auto"/>
                <w:spacing w:val="0"/>
                <w:w w:val="100"/>
                <w:position w:val="0"/>
                <w:highlight w:val="none"/>
              </w:rPr>
              <w:t>2、投标人应按招标文件规定的时间，在线参加开标过程中对投标文件进行解密。逾期解密或解密不成功的投标视为无效投标。</w:t>
            </w:r>
          </w:p>
          <w:p w14:paraId="0033FE9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7" w:right="0"/>
              <w:textAlignment w:val="baseline"/>
              <w:rPr>
                <w:rFonts w:hint="default"/>
                <w:b/>
                <w:bCs/>
                <w:color w:val="auto"/>
                <w:spacing w:val="0"/>
                <w:w w:val="100"/>
                <w:position w:val="0"/>
                <w:highlight w:val="none"/>
              </w:rPr>
            </w:pPr>
            <w:r>
              <w:rPr>
                <w:rFonts w:hint="default"/>
                <w:b/>
                <w:bCs/>
                <w:color w:val="auto"/>
                <w:spacing w:val="0"/>
                <w:w w:val="100"/>
                <w:position w:val="0"/>
                <w:highlight w:val="none"/>
              </w:rPr>
              <w:t>3、本项目评标期间，投标人应保持通讯畅通。评标委员会要求投标人对投标文件进行澄清的，一律采用在线询标方式，投标人应关注交易系统并及时回复，否则视为认可评标委员会评审意见。</w:t>
            </w:r>
          </w:p>
          <w:p w14:paraId="31F922A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7" w:right="0"/>
              <w:textAlignment w:val="baseline"/>
              <w:rPr>
                <w:rFonts w:hint="default"/>
                <w:b/>
                <w:bCs/>
                <w:color w:val="auto"/>
                <w:spacing w:val="0"/>
                <w:w w:val="100"/>
                <w:position w:val="0"/>
                <w:highlight w:val="none"/>
                <w:lang w:eastAsia="zh-CN"/>
              </w:rPr>
            </w:pPr>
            <w:r>
              <w:rPr>
                <w:rFonts w:hint="default"/>
                <w:b/>
                <w:bCs/>
                <w:color w:val="auto"/>
                <w:spacing w:val="0"/>
                <w:w w:val="100"/>
                <w:position w:val="0"/>
                <w:highlight w:val="none"/>
                <w:lang w:val="en-US" w:eastAsia="zh-CN"/>
              </w:rPr>
              <w:t>4、</w:t>
            </w:r>
            <w:r>
              <w:rPr>
                <w:rFonts w:hint="default"/>
                <w:b/>
                <w:bCs/>
                <w:color w:val="auto"/>
                <w:spacing w:val="0"/>
                <w:w w:val="100"/>
                <w:position w:val="0"/>
                <w:highlight w:val="none"/>
              </w:rPr>
              <w:t>因电子服务系统或电子交易系统出现软件设计或功能缺陷、运行异常等情况，可能影响招投标活动公平、公正进行的，招标人（或招标代理机构）有权中止或终止招投标活动，招投标各方免责</w:t>
            </w:r>
            <w:r>
              <w:rPr>
                <w:rFonts w:hint="default"/>
                <w:b/>
                <w:bCs/>
                <w:color w:val="auto"/>
                <w:spacing w:val="0"/>
                <w:w w:val="100"/>
                <w:position w:val="0"/>
                <w:highlight w:val="none"/>
                <w:lang w:eastAsia="zh-CN"/>
              </w:rPr>
              <w:t>。</w:t>
            </w:r>
          </w:p>
          <w:p w14:paraId="67708E2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7" w:right="0"/>
              <w:textAlignment w:val="baseline"/>
              <w:rPr>
                <w:rFonts w:hint="default"/>
                <w:b/>
                <w:bCs/>
                <w:color w:val="auto"/>
                <w:spacing w:val="0"/>
                <w:w w:val="100"/>
                <w:position w:val="0"/>
                <w:highlight w:val="none"/>
                <w:lang w:val="en-US" w:eastAsia="zh-CN"/>
              </w:rPr>
            </w:pPr>
            <w:r>
              <w:rPr>
                <w:rFonts w:hint="default"/>
                <w:b/>
                <w:bCs/>
                <w:color w:val="auto"/>
                <w:spacing w:val="0"/>
                <w:w w:val="100"/>
                <w:position w:val="0"/>
                <w:highlight w:val="none"/>
                <w:lang w:val="en-US" w:eastAsia="zh-CN"/>
              </w:rPr>
              <w:t>5、本项目投标保证金、履约保证金、工程质量保证金、农民工工资保证金均支持保函使用。以现金形式提交保证金的，应当同时退还保证金本金和银行同期存款利息。</w:t>
            </w:r>
          </w:p>
          <w:p w14:paraId="07E964F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80" w:lineRule="exact"/>
              <w:ind w:left="57" w:right="0"/>
              <w:textAlignment w:val="baseline"/>
              <w:rPr>
                <w:rFonts w:hint="default"/>
                <w:b/>
                <w:bCs/>
                <w:color w:val="auto"/>
                <w:spacing w:val="0"/>
                <w:w w:val="100"/>
                <w:position w:val="0"/>
                <w:highlight w:val="none"/>
              </w:rPr>
            </w:pPr>
            <w:r>
              <w:rPr>
                <w:rFonts w:hint="default"/>
                <w:b/>
                <w:bCs/>
                <w:color w:val="auto"/>
                <w:spacing w:val="0"/>
                <w:w w:val="100"/>
                <w:position w:val="0"/>
                <w:highlight w:val="none"/>
                <w:lang w:val="en-US" w:eastAsia="zh-CN"/>
              </w:rPr>
              <w:t>6、电子交易系统中提示必须填写报价和服务期信息，上述信息与上传的电子投标文件不一致的，以上传的电子投标文件为准。</w:t>
            </w:r>
          </w:p>
        </w:tc>
      </w:tr>
    </w:tbl>
    <w:p w14:paraId="5DF12FA0">
      <w:pPr>
        <w:pStyle w:val="6"/>
        <w:spacing w:before="91" w:line="233" w:lineRule="auto"/>
        <w:ind w:left="1713"/>
        <w:outlineLvl w:val="1"/>
        <w:rPr>
          <w:b/>
          <w:bCs/>
          <w:color w:val="auto"/>
          <w:spacing w:val="0"/>
          <w:w w:val="100"/>
          <w:position w:val="0"/>
          <w:sz w:val="28"/>
          <w:szCs w:val="28"/>
          <w:highlight w:val="none"/>
        </w:rPr>
      </w:pPr>
      <w:bookmarkStart w:id="7" w:name="bookmark13"/>
      <w:bookmarkEnd w:id="7"/>
    </w:p>
    <w:p w14:paraId="585672B0">
      <w:pPr>
        <w:pStyle w:val="6"/>
        <w:spacing w:before="91" w:line="233" w:lineRule="auto"/>
        <w:ind w:left="1713"/>
        <w:outlineLvl w:val="1"/>
        <w:rPr>
          <w:b/>
          <w:bCs/>
          <w:color w:val="auto"/>
          <w:spacing w:val="0"/>
          <w:w w:val="100"/>
          <w:position w:val="0"/>
          <w:sz w:val="28"/>
          <w:szCs w:val="28"/>
          <w:highlight w:val="none"/>
        </w:rPr>
      </w:pPr>
    </w:p>
    <w:p w14:paraId="4832D330">
      <w:pPr>
        <w:pStyle w:val="6"/>
        <w:spacing w:before="91" w:line="233" w:lineRule="auto"/>
        <w:ind w:left="1713"/>
        <w:outlineLvl w:val="1"/>
        <w:rPr>
          <w:b/>
          <w:bCs/>
          <w:color w:val="auto"/>
          <w:spacing w:val="0"/>
          <w:w w:val="100"/>
          <w:position w:val="0"/>
          <w:sz w:val="28"/>
          <w:szCs w:val="28"/>
          <w:highlight w:val="none"/>
        </w:rPr>
      </w:pPr>
    </w:p>
    <w:p w14:paraId="44082FBA">
      <w:pPr>
        <w:pStyle w:val="6"/>
        <w:spacing w:before="91" w:line="233" w:lineRule="auto"/>
        <w:ind w:left="1713"/>
        <w:outlineLvl w:val="1"/>
        <w:rPr>
          <w:b/>
          <w:bCs/>
          <w:color w:val="auto"/>
          <w:spacing w:val="0"/>
          <w:w w:val="100"/>
          <w:position w:val="0"/>
          <w:sz w:val="28"/>
          <w:szCs w:val="28"/>
          <w:highlight w:val="none"/>
        </w:rPr>
      </w:pPr>
    </w:p>
    <w:p w14:paraId="2459D8F1">
      <w:pPr>
        <w:pStyle w:val="6"/>
        <w:spacing w:before="91" w:line="233" w:lineRule="auto"/>
        <w:ind w:left="1713"/>
        <w:outlineLvl w:val="1"/>
        <w:rPr>
          <w:b/>
          <w:bCs/>
          <w:color w:val="auto"/>
          <w:spacing w:val="0"/>
          <w:w w:val="100"/>
          <w:position w:val="0"/>
          <w:sz w:val="28"/>
          <w:szCs w:val="28"/>
          <w:highlight w:val="none"/>
        </w:rPr>
      </w:pPr>
    </w:p>
    <w:p w14:paraId="3E0C617E">
      <w:pPr>
        <w:pStyle w:val="6"/>
        <w:spacing w:before="91" w:line="233" w:lineRule="auto"/>
        <w:ind w:left="1713"/>
        <w:outlineLvl w:val="1"/>
        <w:rPr>
          <w:b/>
          <w:bCs/>
          <w:color w:val="auto"/>
          <w:spacing w:val="0"/>
          <w:w w:val="100"/>
          <w:position w:val="0"/>
          <w:sz w:val="28"/>
          <w:szCs w:val="28"/>
          <w:highlight w:val="none"/>
        </w:rPr>
      </w:pPr>
    </w:p>
    <w:p w14:paraId="0A54410E">
      <w:pPr>
        <w:pStyle w:val="6"/>
        <w:spacing w:before="91" w:line="233" w:lineRule="auto"/>
        <w:ind w:left="1713"/>
        <w:outlineLvl w:val="1"/>
        <w:rPr>
          <w:b/>
          <w:bCs/>
          <w:color w:val="auto"/>
          <w:spacing w:val="0"/>
          <w:w w:val="100"/>
          <w:position w:val="0"/>
          <w:sz w:val="28"/>
          <w:szCs w:val="28"/>
          <w:highlight w:val="none"/>
        </w:rPr>
      </w:pPr>
    </w:p>
    <w:p w14:paraId="70D7B169">
      <w:pPr>
        <w:pStyle w:val="6"/>
        <w:spacing w:before="91" w:line="233" w:lineRule="auto"/>
        <w:ind w:left="1713"/>
        <w:outlineLvl w:val="1"/>
        <w:rPr>
          <w:b/>
          <w:bCs/>
          <w:color w:val="auto"/>
          <w:spacing w:val="0"/>
          <w:w w:val="100"/>
          <w:position w:val="0"/>
          <w:sz w:val="28"/>
          <w:szCs w:val="28"/>
          <w:highlight w:val="none"/>
        </w:rPr>
      </w:pPr>
    </w:p>
    <w:p w14:paraId="688E85EC">
      <w:pPr>
        <w:pStyle w:val="6"/>
        <w:spacing w:before="91" w:line="233" w:lineRule="auto"/>
        <w:ind w:left="1713"/>
        <w:outlineLvl w:val="1"/>
        <w:rPr>
          <w:b/>
          <w:bCs/>
          <w:color w:val="auto"/>
          <w:spacing w:val="0"/>
          <w:w w:val="100"/>
          <w:position w:val="0"/>
          <w:sz w:val="28"/>
          <w:szCs w:val="28"/>
          <w:highlight w:val="none"/>
        </w:rPr>
      </w:pPr>
    </w:p>
    <w:p w14:paraId="174685BA">
      <w:pPr>
        <w:pStyle w:val="6"/>
        <w:spacing w:before="91" w:line="233" w:lineRule="auto"/>
        <w:ind w:left="1713"/>
        <w:outlineLvl w:val="1"/>
        <w:rPr>
          <w:b/>
          <w:bCs/>
          <w:color w:val="auto"/>
          <w:spacing w:val="0"/>
          <w:w w:val="100"/>
          <w:position w:val="0"/>
          <w:sz w:val="28"/>
          <w:szCs w:val="28"/>
          <w:highlight w:val="none"/>
        </w:rPr>
      </w:pPr>
    </w:p>
    <w:p w14:paraId="0B7CA3D2">
      <w:pPr>
        <w:pStyle w:val="6"/>
        <w:spacing w:before="91" w:line="233" w:lineRule="auto"/>
        <w:ind w:left="1713"/>
        <w:outlineLvl w:val="1"/>
        <w:rPr>
          <w:b/>
          <w:bCs/>
          <w:color w:val="auto"/>
          <w:spacing w:val="0"/>
          <w:w w:val="100"/>
          <w:position w:val="0"/>
          <w:sz w:val="28"/>
          <w:szCs w:val="28"/>
          <w:highlight w:val="none"/>
        </w:rPr>
      </w:pPr>
    </w:p>
    <w:p w14:paraId="4B021172">
      <w:pPr>
        <w:pStyle w:val="6"/>
        <w:spacing w:before="91" w:line="233" w:lineRule="auto"/>
        <w:ind w:left="1713"/>
        <w:outlineLvl w:val="1"/>
        <w:rPr>
          <w:b/>
          <w:bCs/>
          <w:color w:val="auto"/>
          <w:spacing w:val="0"/>
          <w:w w:val="100"/>
          <w:position w:val="0"/>
          <w:sz w:val="28"/>
          <w:szCs w:val="28"/>
          <w:highlight w:val="none"/>
        </w:rPr>
      </w:pPr>
    </w:p>
    <w:p w14:paraId="192E3A3E">
      <w:pPr>
        <w:pStyle w:val="6"/>
        <w:spacing w:before="91" w:line="233" w:lineRule="auto"/>
        <w:ind w:left="1713"/>
        <w:outlineLvl w:val="1"/>
        <w:rPr>
          <w:b/>
          <w:bCs/>
          <w:color w:val="auto"/>
          <w:spacing w:val="0"/>
          <w:w w:val="100"/>
          <w:position w:val="0"/>
          <w:sz w:val="28"/>
          <w:szCs w:val="28"/>
          <w:highlight w:val="none"/>
        </w:rPr>
      </w:pPr>
    </w:p>
    <w:p w14:paraId="5923E39D">
      <w:pPr>
        <w:pStyle w:val="6"/>
        <w:spacing w:before="91" w:line="233" w:lineRule="auto"/>
        <w:ind w:left="1713"/>
        <w:outlineLvl w:val="1"/>
        <w:rPr>
          <w:b/>
          <w:bCs/>
          <w:color w:val="auto"/>
          <w:spacing w:val="0"/>
          <w:w w:val="100"/>
          <w:position w:val="0"/>
          <w:sz w:val="28"/>
          <w:szCs w:val="28"/>
          <w:highlight w:val="none"/>
        </w:rPr>
      </w:pPr>
    </w:p>
    <w:p w14:paraId="121006A1">
      <w:pPr>
        <w:pStyle w:val="6"/>
        <w:spacing w:before="91" w:line="233" w:lineRule="auto"/>
        <w:ind w:left="1713"/>
        <w:outlineLvl w:val="1"/>
        <w:rPr>
          <w:b/>
          <w:bCs/>
          <w:color w:val="auto"/>
          <w:spacing w:val="0"/>
          <w:w w:val="100"/>
          <w:position w:val="0"/>
          <w:sz w:val="28"/>
          <w:szCs w:val="28"/>
          <w:highlight w:val="none"/>
        </w:rPr>
      </w:pPr>
    </w:p>
    <w:p w14:paraId="536F9B95">
      <w:pPr>
        <w:pStyle w:val="6"/>
        <w:spacing w:before="91" w:line="233" w:lineRule="auto"/>
        <w:ind w:left="1713"/>
        <w:outlineLvl w:val="1"/>
        <w:rPr>
          <w:b/>
          <w:bCs/>
          <w:color w:val="auto"/>
          <w:spacing w:val="0"/>
          <w:w w:val="100"/>
          <w:position w:val="0"/>
          <w:sz w:val="28"/>
          <w:szCs w:val="28"/>
          <w:highlight w:val="none"/>
        </w:rPr>
      </w:pPr>
    </w:p>
    <w:p w14:paraId="62FF8EB4">
      <w:pPr>
        <w:pStyle w:val="6"/>
        <w:spacing w:before="91" w:line="233" w:lineRule="auto"/>
        <w:ind w:left="1713"/>
        <w:outlineLvl w:val="1"/>
        <w:rPr>
          <w:b/>
          <w:bCs/>
          <w:color w:val="auto"/>
          <w:spacing w:val="0"/>
          <w:w w:val="100"/>
          <w:position w:val="0"/>
          <w:sz w:val="28"/>
          <w:szCs w:val="28"/>
          <w:highlight w:val="none"/>
        </w:rPr>
      </w:pPr>
    </w:p>
    <w:p w14:paraId="50A41328">
      <w:pPr>
        <w:pStyle w:val="6"/>
        <w:spacing w:before="91" w:line="233" w:lineRule="auto"/>
        <w:ind w:left="1713"/>
        <w:outlineLvl w:val="1"/>
        <w:rPr>
          <w:b/>
          <w:bCs/>
          <w:color w:val="auto"/>
          <w:spacing w:val="0"/>
          <w:w w:val="100"/>
          <w:position w:val="0"/>
          <w:sz w:val="28"/>
          <w:szCs w:val="28"/>
          <w:highlight w:val="none"/>
        </w:rPr>
      </w:pPr>
    </w:p>
    <w:p w14:paraId="4C1FDE2F">
      <w:pPr>
        <w:pStyle w:val="6"/>
        <w:spacing w:before="91" w:line="233" w:lineRule="auto"/>
        <w:ind w:left="1713"/>
        <w:outlineLvl w:val="1"/>
        <w:rPr>
          <w:b/>
          <w:bCs/>
          <w:color w:val="auto"/>
          <w:spacing w:val="0"/>
          <w:w w:val="100"/>
          <w:position w:val="0"/>
          <w:sz w:val="28"/>
          <w:szCs w:val="28"/>
          <w:highlight w:val="none"/>
        </w:rPr>
      </w:pPr>
    </w:p>
    <w:p w14:paraId="6E1F2166">
      <w:pPr>
        <w:pStyle w:val="6"/>
        <w:spacing w:before="91" w:line="233" w:lineRule="auto"/>
        <w:ind w:left="1713"/>
        <w:outlineLvl w:val="1"/>
        <w:rPr>
          <w:b/>
          <w:bCs/>
          <w:color w:val="auto"/>
          <w:spacing w:val="0"/>
          <w:w w:val="100"/>
          <w:position w:val="0"/>
          <w:sz w:val="28"/>
          <w:szCs w:val="28"/>
          <w:highlight w:val="none"/>
        </w:rPr>
      </w:pPr>
    </w:p>
    <w:p w14:paraId="20A3F3B3">
      <w:pPr>
        <w:pStyle w:val="6"/>
        <w:spacing w:before="91" w:line="233" w:lineRule="auto"/>
        <w:ind w:left="1713"/>
        <w:outlineLvl w:val="1"/>
        <w:rPr>
          <w:b/>
          <w:bCs/>
          <w:color w:val="auto"/>
          <w:spacing w:val="0"/>
          <w:w w:val="100"/>
          <w:position w:val="0"/>
          <w:sz w:val="28"/>
          <w:szCs w:val="28"/>
          <w:highlight w:val="none"/>
        </w:rPr>
      </w:pPr>
    </w:p>
    <w:p w14:paraId="22792812">
      <w:pPr>
        <w:pStyle w:val="6"/>
        <w:spacing w:before="91" w:line="233" w:lineRule="auto"/>
        <w:ind w:left="1713"/>
        <w:outlineLvl w:val="1"/>
        <w:rPr>
          <w:b/>
          <w:bCs/>
          <w:color w:val="auto"/>
          <w:spacing w:val="0"/>
          <w:w w:val="100"/>
          <w:position w:val="0"/>
          <w:sz w:val="28"/>
          <w:szCs w:val="28"/>
          <w:highlight w:val="none"/>
        </w:rPr>
      </w:pPr>
    </w:p>
    <w:p w14:paraId="278392BA">
      <w:pPr>
        <w:pStyle w:val="6"/>
        <w:spacing w:before="91" w:line="233" w:lineRule="auto"/>
        <w:ind w:left="1713"/>
        <w:outlineLvl w:val="1"/>
        <w:rPr>
          <w:b/>
          <w:bCs/>
          <w:color w:val="auto"/>
          <w:spacing w:val="0"/>
          <w:w w:val="100"/>
          <w:position w:val="0"/>
          <w:sz w:val="28"/>
          <w:szCs w:val="28"/>
          <w:highlight w:val="none"/>
        </w:rPr>
      </w:pPr>
    </w:p>
    <w:p w14:paraId="36E86D00">
      <w:pPr>
        <w:pStyle w:val="6"/>
        <w:spacing w:before="91" w:line="233" w:lineRule="auto"/>
        <w:ind w:left="1713"/>
        <w:outlineLvl w:val="1"/>
        <w:rPr>
          <w:b/>
          <w:bCs/>
          <w:color w:val="auto"/>
          <w:spacing w:val="0"/>
          <w:w w:val="100"/>
          <w:position w:val="0"/>
          <w:sz w:val="28"/>
          <w:szCs w:val="28"/>
          <w:highlight w:val="none"/>
        </w:rPr>
      </w:pPr>
    </w:p>
    <w:p w14:paraId="01CC8D00">
      <w:pPr>
        <w:pStyle w:val="6"/>
        <w:spacing w:before="91" w:line="233" w:lineRule="auto"/>
        <w:ind w:left="1713"/>
        <w:outlineLvl w:val="1"/>
        <w:rPr>
          <w:b/>
          <w:bCs/>
          <w:color w:val="auto"/>
          <w:spacing w:val="0"/>
          <w:w w:val="100"/>
          <w:position w:val="0"/>
          <w:sz w:val="28"/>
          <w:szCs w:val="28"/>
          <w:highlight w:val="none"/>
        </w:rPr>
      </w:pPr>
    </w:p>
    <w:p w14:paraId="54A6A369">
      <w:pPr>
        <w:pStyle w:val="6"/>
        <w:spacing w:before="91" w:line="233" w:lineRule="auto"/>
        <w:ind w:left="1713"/>
        <w:outlineLvl w:val="1"/>
        <w:rPr>
          <w:b/>
          <w:bCs/>
          <w:color w:val="auto"/>
          <w:spacing w:val="0"/>
          <w:w w:val="100"/>
          <w:position w:val="0"/>
          <w:sz w:val="28"/>
          <w:szCs w:val="28"/>
          <w:highlight w:val="none"/>
        </w:rPr>
      </w:pPr>
    </w:p>
    <w:p w14:paraId="509BA39E">
      <w:pPr>
        <w:pStyle w:val="6"/>
        <w:spacing w:before="91" w:line="233" w:lineRule="auto"/>
        <w:ind w:left="1713"/>
        <w:outlineLvl w:val="1"/>
        <w:rPr>
          <w:b/>
          <w:bCs/>
          <w:color w:val="auto"/>
          <w:spacing w:val="0"/>
          <w:w w:val="100"/>
          <w:position w:val="0"/>
          <w:sz w:val="28"/>
          <w:szCs w:val="28"/>
          <w:highlight w:val="none"/>
        </w:rPr>
      </w:pPr>
    </w:p>
    <w:p w14:paraId="3FF030CF">
      <w:pPr>
        <w:pStyle w:val="6"/>
        <w:spacing w:before="91" w:line="233" w:lineRule="auto"/>
        <w:ind w:left="1713"/>
        <w:outlineLvl w:val="1"/>
        <w:rPr>
          <w:color w:val="auto"/>
          <w:spacing w:val="0"/>
          <w:w w:val="100"/>
          <w:position w:val="0"/>
          <w:sz w:val="28"/>
          <w:szCs w:val="28"/>
          <w:highlight w:val="none"/>
        </w:rPr>
      </w:pPr>
      <w:r>
        <w:rPr>
          <w:b/>
          <w:bCs/>
          <w:color w:val="auto"/>
          <w:spacing w:val="0"/>
          <w:w w:val="100"/>
          <w:position w:val="0"/>
          <w:sz w:val="28"/>
          <w:szCs w:val="28"/>
          <w:highlight w:val="none"/>
        </w:rPr>
        <w:t>附录</w:t>
      </w:r>
      <w:r>
        <w:rPr>
          <w:color w:val="auto"/>
          <w:spacing w:val="0"/>
          <w:w w:val="100"/>
          <w:position w:val="0"/>
          <w:sz w:val="28"/>
          <w:szCs w:val="28"/>
          <w:highlight w:val="none"/>
        </w:rPr>
        <w:t xml:space="preserve"> </w:t>
      </w:r>
      <w:r>
        <w:rPr>
          <w:rFonts w:ascii="Times New Roman" w:hAnsi="Times New Roman" w:eastAsia="Times New Roman" w:cs="Times New Roman"/>
          <w:b/>
          <w:bCs/>
          <w:color w:val="auto"/>
          <w:spacing w:val="0"/>
          <w:w w:val="100"/>
          <w:position w:val="0"/>
          <w:sz w:val="28"/>
          <w:szCs w:val="28"/>
          <w:highlight w:val="none"/>
        </w:rPr>
        <w:t xml:space="preserve">1    </w:t>
      </w:r>
      <w:r>
        <w:rPr>
          <w:b/>
          <w:bCs/>
          <w:color w:val="auto"/>
          <w:spacing w:val="0"/>
          <w:w w:val="100"/>
          <w:position w:val="0"/>
          <w:sz w:val="28"/>
          <w:szCs w:val="28"/>
          <w:highlight w:val="none"/>
        </w:rPr>
        <w:t>资格审查条件（资质最低要求）</w:t>
      </w:r>
    </w:p>
    <w:p w14:paraId="7C7529D8">
      <w:pPr>
        <w:spacing w:before="27"/>
        <w:rPr>
          <w:color w:val="auto"/>
          <w:spacing w:val="0"/>
          <w:w w:val="100"/>
          <w:position w:val="0"/>
          <w:highlight w:val="none"/>
        </w:rPr>
      </w:pPr>
    </w:p>
    <w:tbl>
      <w:tblPr>
        <w:tblStyle w:val="18"/>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409"/>
        <w:gridCol w:w="7428"/>
      </w:tblGrid>
      <w:tr w14:paraId="5079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1409" w:type="dxa"/>
            <w:tcBorders>
              <w:top w:val="single" w:color="auto" w:sz="4" w:space="0"/>
              <w:left w:val="single" w:color="auto" w:sz="4" w:space="0"/>
              <w:bottom w:val="single" w:color="auto" w:sz="4" w:space="0"/>
              <w:right w:val="single" w:color="auto" w:sz="4" w:space="0"/>
            </w:tcBorders>
            <w:shd w:val="clear" w:color="auto" w:fill="auto"/>
            <w:vAlign w:val="center"/>
          </w:tcPr>
          <w:p w14:paraId="086AA263">
            <w:pPr>
              <w:pStyle w:val="10"/>
              <w:keepNext w:val="0"/>
              <w:keepLines w:val="0"/>
              <w:widowControl/>
              <w:suppressLineNumbers w:val="0"/>
              <w:kinsoku w:val="0"/>
              <w:autoSpaceDE w:val="0"/>
              <w:autoSpaceDN w:val="0"/>
              <w:adjustRightInd w:val="0"/>
              <w:snapToGrid w:val="0"/>
              <w:spacing w:before="222"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vertAlign w:val="baseline"/>
              </w:rPr>
            </w:pPr>
            <w:r>
              <w:rPr>
                <w:rFonts w:hint="eastAsia" w:ascii="宋体" w:hAnsi="宋体" w:eastAsia="宋体" w:cs="宋体"/>
                <w:snapToGrid/>
                <w:color w:val="auto"/>
                <w:spacing w:val="0"/>
                <w:w w:val="100"/>
                <w:kern w:val="0"/>
                <w:sz w:val="24"/>
                <w:szCs w:val="24"/>
                <w:highlight w:val="none"/>
                <w:vertAlign w:val="baseline"/>
                <w:lang w:val="en-US" w:eastAsia="zh-CN" w:bidi="ar"/>
              </w:rPr>
              <w:t>标段</w:t>
            </w:r>
          </w:p>
        </w:tc>
        <w:tc>
          <w:tcPr>
            <w:tcW w:w="7428" w:type="dxa"/>
            <w:tcBorders>
              <w:top w:val="single" w:color="auto" w:sz="4" w:space="0"/>
              <w:left w:val="single" w:color="auto" w:sz="4" w:space="0"/>
              <w:bottom w:val="single" w:color="auto" w:sz="4" w:space="0"/>
              <w:right w:val="single" w:color="auto" w:sz="4" w:space="0"/>
            </w:tcBorders>
            <w:shd w:val="clear" w:color="auto" w:fill="auto"/>
            <w:vAlign w:val="center"/>
          </w:tcPr>
          <w:p w14:paraId="59816572">
            <w:pPr>
              <w:pStyle w:val="10"/>
              <w:keepNext w:val="0"/>
              <w:keepLines w:val="0"/>
              <w:widowControl/>
              <w:suppressLineNumbers w:val="0"/>
              <w:kinsoku w:val="0"/>
              <w:autoSpaceDE w:val="0"/>
              <w:autoSpaceDN w:val="0"/>
              <w:adjustRightInd w:val="0"/>
              <w:snapToGrid w:val="0"/>
              <w:spacing w:before="222"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vertAlign w:val="baseline"/>
              </w:rPr>
            </w:pPr>
            <w:r>
              <w:rPr>
                <w:rFonts w:hint="eastAsia" w:ascii="宋体" w:hAnsi="宋体" w:eastAsia="宋体" w:cs="宋体"/>
                <w:snapToGrid/>
                <w:color w:val="auto"/>
                <w:spacing w:val="0"/>
                <w:w w:val="100"/>
                <w:kern w:val="0"/>
                <w:sz w:val="24"/>
                <w:szCs w:val="24"/>
                <w:highlight w:val="none"/>
                <w:vertAlign w:val="baseline"/>
                <w:lang w:val="en-US" w:eastAsia="zh-CN" w:bidi="ar"/>
              </w:rPr>
              <w:t>勘察设计企业资质等级要求</w:t>
            </w:r>
          </w:p>
        </w:tc>
      </w:tr>
      <w:tr w14:paraId="1854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jc w:val="center"/>
        </w:trPr>
        <w:tc>
          <w:tcPr>
            <w:tcW w:w="1409" w:type="dxa"/>
            <w:tcBorders>
              <w:top w:val="single" w:color="auto" w:sz="4" w:space="0"/>
              <w:left w:val="single" w:color="auto" w:sz="4" w:space="0"/>
              <w:bottom w:val="single" w:color="auto" w:sz="4" w:space="0"/>
              <w:right w:val="single" w:color="auto" w:sz="4" w:space="0"/>
            </w:tcBorders>
            <w:shd w:val="clear" w:color="auto" w:fill="auto"/>
            <w:vAlign w:val="center"/>
          </w:tcPr>
          <w:p w14:paraId="0E26DE3B">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vertAlign w:val="baseline"/>
              </w:rPr>
            </w:pPr>
            <w:r>
              <w:rPr>
                <w:rFonts w:hint="eastAsia" w:ascii="宋体" w:hAnsi="宋体" w:eastAsia="宋体" w:cs="宋体"/>
                <w:snapToGrid/>
                <w:color w:val="auto"/>
                <w:spacing w:val="0"/>
                <w:w w:val="100"/>
                <w:kern w:val="0"/>
                <w:sz w:val="24"/>
                <w:szCs w:val="24"/>
                <w:highlight w:val="none"/>
                <w:vertAlign w:val="baseline"/>
                <w:lang w:val="en-US" w:eastAsia="zh-CN" w:bidi="ar"/>
              </w:rPr>
              <w:t>01</w:t>
            </w:r>
          </w:p>
        </w:tc>
        <w:tc>
          <w:tcPr>
            <w:tcW w:w="7428" w:type="dxa"/>
            <w:vMerge w:val="restart"/>
            <w:tcBorders>
              <w:top w:val="nil"/>
              <w:left w:val="single" w:color="auto" w:sz="4" w:space="0"/>
              <w:bottom w:val="single" w:color="auto" w:sz="4" w:space="0"/>
              <w:right w:val="single" w:color="auto" w:sz="4" w:space="0"/>
            </w:tcBorders>
            <w:shd w:val="clear" w:color="auto" w:fill="auto"/>
            <w:vAlign w:val="center"/>
          </w:tcPr>
          <w:p w14:paraId="6F742B36">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vertAlign w:val="baseline"/>
              </w:rPr>
            </w:pPr>
            <w:r>
              <w:rPr>
                <w:rFonts w:hint="eastAsia" w:ascii="宋体" w:hAnsi="宋体" w:eastAsia="宋体" w:cs="宋体"/>
                <w:snapToGrid/>
                <w:color w:val="auto"/>
                <w:spacing w:val="0"/>
                <w:w w:val="100"/>
                <w:kern w:val="0"/>
                <w:sz w:val="24"/>
                <w:szCs w:val="24"/>
                <w:highlight w:val="none"/>
                <w:vertAlign w:val="baseline"/>
                <w:lang w:val="en-US" w:eastAsia="zh-CN" w:bidi="ar"/>
              </w:rPr>
              <w:t>见招标公告要求。</w:t>
            </w:r>
          </w:p>
        </w:tc>
      </w:tr>
      <w:tr w14:paraId="666E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1409" w:type="dxa"/>
            <w:tcBorders>
              <w:top w:val="single" w:color="auto" w:sz="4" w:space="0"/>
              <w:left w:val="single" w:color="auto" w:sz="4" w:space="0"/>
              <w:bottom w:val="single" w:color="auto" w:sz="4" w:space="0"/>
              <w:right w:val="single" w:color="auto" w:sz="4" w:space="0"/>
            </w:tcBorders>
            <w:shd w:val="clear" w:color="auto" w:fill="auto"/>
            <w:vAlign w:val="center"/>
          </w:tcPr>
          <w:p w14:paraId="4E283F63">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vertAlign w:val="baseline"/>
              </w:rPr>
            </w:pPr>
            <w:r>
              <w:rPr>
                <w:rFonts w:hint="eastAsia" w:ascii="宋体" w:hAnsi="宋体" w:eastAsia="宋体" w:cs="宋体"/>
                <w:snapToGrid/>
                <w:color w:val="auto"/>
                <w:spacing w:val="0"/>
                <w:w w:val="100"/>
                <w:kern w:val="0"/>
                <w:sz w:val="24"/>
                <w:szCs w:val="24"/>
                <w:highlight w:val="none"/>
                <w:vertAlign w:val="baseline"/>
                <w:lang w:val="en-US" w:eastAsia="zh-CN" w:bidi="ar"/>
              </w:rPr>
              <w:t>02</w:t>
            </w:r>
          </w:p>
        </w:tc>
        <w:tc>
          <w:tcPr>
            <w:tcW w:w="7428" w:type="dxa"/>
            <w:vMerge w:val="continue"/>
            <w:tcBorders>
              <w:top w:val="nil"/>
              <w:left w:val="single" w:color="auto" w:sz="4" w:space="0"/>
              <w:bottom w:val="single" w:color="auto" w:sz="4" w:space="0"/>
              <w:right w:val="single" w:color="auto" w:sz="4" w:space="0"/>
            </w:tcBorders>
            <w:shd w:val="clear" w:color="auto" w:fill="auto"/>
            <w:vAlign w:val="center"/>
          </w:tcPr>
          <w:p w14:paraId="74B4B1DE">
            <w:pPr>
              <w:keepNext w:val="0"/>
              <w:keepLines w:val="0"/>
              <w:widowControl/>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bl>
    <w:p w14:paraId="07C75F52">
      <w:pPr>
        <w:spacing w:before="172" w:line="233" w:lineRule="auto"/>
        <w:ind w:left="38"/>
        <w:rPr>
          <w:rFonts w:hint="default" w:ascii="宋体" w:hAnsi="宋体" w:eastAsia="宋体" w:cs="宋体"/>
          <w:color w:val="auto"/>
          <w:spacing w:val="0"/>
          <w:w w:val="100"/>
          <w:position w:val="0"/>
          <w:sz w:val="24"/>
          <w:szCs w:val="24"/>
          <w:highlight w:val="none"/>
          <w:lang w:val="en-US" w:eastAsia="zh-CN"/>
        </w:rPr>
      </w:pPr>
      <w:r>
        <w:rPr>
          <w:rFonts w:ascii="宋体" w:hAnsi="宋体" w:eastAsia="宋体" w:cs="宋体"/>
          <w:color w:val="auto"/>
          <w:spacing w:val="0"/>
          <w:w w:val="100"/>
          <w:position w:val="0"/>
          <w:sz w:val="24"/>
          <w:szCs w:val="24"/>
          <w:highlight w:val="none"/>
        </w:rPr>
        <w:t xml:space="preserve">注：投标人需提供的资质等证明材料见本章第 </w:t>
      </w:r>
      <w:r>
        <w:rPr>
          <w:rFonts w:ascii="Times New Roman" w:hAnsi="Times New Roman" w:eastAsia="Times New Roman" w:cs="Times New Roman"/>
          <w:color w:val="auto"/>
          <w:spacing w:val="0"/>
          <w:w w:val="100"/>
          <w:position w:val="0"/>
          <w:sz w:val="24"/>
          <w:szCs w:val="24"/>
          <w:highlight w:val="none"/>
        </w:rPr>
        <w:t>3.5.1</w:t>
      </w:r>
      <w:r>
        <w:rPr>
          <w:rFonts w:ascii="宋体" w:hAnsi="宋体" w:eastAsia="宋体" w:cs="宋体"/>
          <w:color w:val="auto"/>
          <w:spacing w:val="0"/>
          <w:w w:val="100"/>
          <w:position w:val="0"/>
          <w:sz w:val="24"/>
          <w:szCs w:val="24"/>
          <w:highlight w:val="none"/>
        </w:rPr>
        <w:t>项规定。</w:t>
      </w:r>
      <w:r>
        <w:rPr>
          <w:rFonts w:hint="eastAsia" w:ascii="宋体" w:hAnsi="宋体" w:eastAsia="宋体" w:cs="宋体"/>
          <w:color w:val="auto"/>
          <w:spacing w:val="0"/>
          <w:w w:val="100"/>
          <w:position w:val="0"/>
          <w:sz w:val="24"/>
          <w:szCs w:val="24"/>
          <w:highlight w:val="none"/>
          <w:lang w:val="en-US" w:eastAsia="zh-CN"/>
        </w:rPr>
        <w:t>如为联合体投标，联合体双方均应按相应要求提供。</w:t>
      </w:r>
    </w:p>
    <w:p w14:paraId="3A0FEC66">
      <w:pPr>
        <w:spacing w:line="233" w:lineRule="auto"/>
        <w:rPr>
          <w:rFonts w:ascii="宋体" w:hAnsi="宋体" w:eastAsia="宋体" w:cs="宋体"/>
          <w:color w:val="auto"/>
          <w:spacing w:val="0"/>
          <w:w w:val="100"/>
          <w:position w:val="0"/>
          <w:sz w:val="24"/>
          <w:szCs w:val="24"/>
          <w:highlight w:val="none"/>
        </w:rPr>
      </w:pPr>
    </w:p>
    <w:p w14:paraId="3FDD6F4A">
      <w:pPr>
        <w:spacing w:line="233" w:lineRule="auto"/>
        <w:rPr>
          <w:rFonts w:ascii="宋体" w:hAnsi="宋体" w:eastAsia="宋体" w:cs="宋体"/>
          <w:b/>
          <w:bCs/>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highlight w:val="none"/>
          <w:lang w:val="en-US" w:eastAsia="zh-CN"/>
        </w:rPr>
        <w:t>《中国人民银行关于取消企业银行账户许可的通知》（银〔</w:t>
      </w:r>
      <w:r>
        <w:rPr>
          <w:rFonts w:ascii="宋体" w:hAnsi="宋体" w:eastAsia="宋体" w:cs="宋体"/>
          <w:b/>
          <w:bCs/>
          <w:color w:val="auto"/>
          <w:spacing w:val="0"/>
          <w:w w:val="100"/>
          <w:position w:val="0"/>
          <w:sz w:val="24"/>
          <w:szCs w:val="24"/>
          <w:highlight w:val="none"/>
          <w:lang w:val="en-US" w:eastAsia="zh-CN"/>
        </w:rPr>
        <w:t>2019</w:t>
      </w:r>
      <w:r>
        <w:rPr>
          <w:rFonts w:hint="eastAsia" w:ascii="宋体" w:hAnsi="宋体" w:eastAsia="宋体" w:cs="宋体"/>
          <w:b/>
          <w:bCs/>
          <w:color w:val="auto"/>
          <w:spacing w:val="0"/>
          <w:w w:val="100"/>
          <w:position w:val="0"/>
          <w:sz w:val="24"/>
          <w:szCs w:val="24"/>
          <w:highlight w:val="none"/>
          <w:lang w:val="en-US" w:eastAsia="zh-CN"/>
        </w:rPr>
        <w:t>〕</w:t>
      </w:r>
      <w:r>
        <w:rPr>
          <w:rFonts w:hint="default" w:ascii="宋体" w:hAnsi="宋体" w:eastAsia="宋体" w:cs="宋体"/>
          <w:b/>
          <w:bCs/>
          <w:color w:val="auto"/>
          <w:spacing w:val="0"/>
          <w:w w:val="100"/>
          <w:position w:val="0"/>
          <w:sz w:val="24"/>
          <w:szCs w:val="24"/>
          <w:highlight w:val="none"/>
          <w:lang w:val="en-US" w:eastAsia="zh-CN"/>
        </w:rPr>
        <w:t xml:space="preserve">41 </w:t>
      </w:r>
      <w:r>
        <w:rPr>
          <w:rFonts w:hint="eastAsia" w:ascii="宋体" w:hAnsi="宋体" w:eastAsia="宋体" w:cs="宋体"/>
          <w:b/>
          <w:bCs/>
          <w:color w:val="auto"/>
          <w:spacing w:val="0"/>
          <w:w w:val="100"/>
          <w:position w:val="0"/>
          <w:sz w:val="24"/>
          <w:szCs w:val="24"/>
          <w:highlight w:val="none"/>
          <w:lang w:val="en-US" w:eastAsia="zh-CN"/>
        </w:rPr>
        <w:t>号），对于不再核发基本账户开户许可证地区的投标人可不提供基本账户开户许可证，但应提供当地人民银行分支机构的备案材料并逐页加盖投标人单位公章，备案材料中应真实的反映投标人基本账户信息（包括账户名称、账号、开户行名称等）。</w:t>
      </w:r>
    </w:p>
    <w:p w14:paraId="66F5DCEE">
      <w:pPr>
        <w:spacing w:line="233" w:lineRule="auto"/>
        <w:rPr>
          <w:rFonts w:ascii="宋体" w:hAnsi="宋体" w:eastAsia="宋体" w:cs="宋体"/>
          <w:b/>
          <w:bCs/>
          <w:color w:val="auto"/>
          <w:spacing w:val="0"/>
          <w:w w:val="100"/>
          <w:position w:val="0"/>
          <w:sz w:val="24"/>
          <w:szCs w:val="24"/>
          <w:highlight w:val="none"/>
        </w:rPr>
        <w:sectPr>
          <w:headerReference r:id="rId10" w:type="default"/>
          <w:footerReference r:id="rId11" w:type="default"/>
          <w:pgSz w:w="11900" w:h="16843"/>
          <w:pgMar w:top="1378" w:right="1417" w:bottom="1208" w:left="1417" w:header="1366" w:footer="1003" w:gutter="0"/>
          <w:pgNumType w:fmt="decimal"/>
          <w:cols w:space="0" w:num="1"/>
          <w:rtlGutter w:val="0"/>
          <w:docGrid w:linePitch="0" w:charSpace="0"/>
        </w:sectPr>
      </w:pPr>
    </w:p>
    <w:p w14:paraId="2A6085A9">
      <w:pPr>
        <w:pStyle w:val="6"/>
        <w:spacing w:before="91" w:line="233" w:lineRule="auto"/>
        <w:ind w:left="1713"/>
        <w:outlineLvl w:val="1"/>
        <w:rPr>
          <w:color w:val="auto"/>
          <w:spacing w:val="0"/>
          <w:w w:val="100"/>
          <w:position w:val="0"/>
          <w:sz w:val="28"/>
          <w:szCs w:val="28"/>
          <w:highlight w:val="none"/>
        </w:rPr>
      </w:pPr>
      <w:bookmarkStart w:id="8" w:name="bookmark14"/>
      <w:bookmarkEnd w:id="8"/>
      <w:r>
        <w:rPr>
          <w:b/>
          <w:bCs/>
          <w:color w:val="auto"/>
          <w:spacing w:val="0"/>
          <w:w w:val="100"/>
          <w:position w:val="0"/>
          <w:sz w:val="28"/>
          <w:szCs w:val="28"/>
          <w:highlight w:val="none"/>
        </w:rPr>
        <w:t>附录</w:t>
      </w:r>
      <w:r>
        <w:rPr>
          <w:color w:val="auto"/>
          <w:spacing w:val="0"/>
          <w:w w:val="100"/>
          <w:position w:val="0"/>
          <w:sz w:val="28"/>
          <w:szCs w:val="28"/>
          <w:highlight w:val="none"/>
        </w:rPr>
        <w:t xml:space="preserve"> </w:t>
      </w:r>
      <w:r>
        <w:rPr>
          <w:rFonts w:ascii="Times New Roman" w:hAnsi="Times New Roman" w:eastAsia="Times New Roman" w:cs="Times New Roman"/>
          <w:b/>
          <w:bCs/>
          <w:color w:val="auto"/>
          <w:spacing w:val="0"/>
          <w:w w:val="100"/>
          <w:position w:val="0"/>
          <w:sz w:val="28"/>
          <w:szCs w:val="28"/>
          <w:highlight w:val="none"/>
        </w:rPr>
        <w:t xml:space="preserve">2    </w:t>
      </w:r>
      <w:r>
        <w:rPr>
          <w:b/>
          <w:bCs/>
          <w:color w:val="auto"/>
          <w:spacing w:val="0"/>
          <w:w w:val="100"/>
          <w:position w:val="0"/>
          <w:sz w:val="28"/>
          <w:szCs w:val="28"/>
          <w:highlight w:val="none"/>
        </w:rPr>
        <w:t>资格审查条件（业绩最低要求）</w:t>
      </w:r>
    </w:p>
    <w:p w14:paraId="74F3CE7C">
      <w:pPr>
        <w:spacing w:before="27"/>
        <w:rPr>
          <w:color w:val="auto"/>
          <w:spacing w:val="0"/>
          <w:w w:val="100"/>
          <w:position w:val="0"/>
          <w:highlight w:val="none"/>
        </w:rPr>
      </w:pPr>
    </w:p>
    <w:tbl>
      <w:tblPr>
        <w:tblStyle w:val="18"/>
        <w:tblW w:w="84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409"/>
        <w:gridCol w:w="7016"/>
      </w:tblGrid>
      <w:tr w14:paraId="1940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85" w:hRule="atLeast"/>
          <w:jc w:val="center"/>
        </w:trPr>
        <w:tc>
          <w:tcPr>
            <w:tcW w:w="1409" w:type="dxa"/>
            <w:tcBorders>
              <w:top w:val="single" w:color="auto" w:sz="4" w:space="0"/>
              <w:left w:val="single" w:color="auto" w:sz="4" w:space="0"/>
              <w:bottom w:val="single" w:color="auto" w:sz="4" w:space="0"/>
              <w:right w:val="single" w:color="auto" w:sz="4" w:space="0"/>
            </w:tcBorders>
            <w:shd w:val="clear" w:color="auto" w:fill="auto"/>
            <w:vAlign w:val="center"/>
          </w:tcPr>
          <w:p w14:paraId="6304D6B1">
            <w:pPr>
              <w:pStyle w:val="10"/>
              <w:keepNext w:val="0"/>
              <w:keepLines w:val="0"/>
              <w:widowControl/>
              <w:suppressLineNumbers w:val="0"/>
              <w:kinsoku w:val="0"/>
              <w:autoSpaceDE w:val="0"/>
              <w:autoSpaceDN w:val="0"/>
              <w:adjustRightInd w:val="0"/>
              <w:snapToGrid w:val="0"/>
              <w:spacing w:before="222"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vertAlign w:val="baseline"/>
              </w:rPr>
            </w:pPr>
            <w:r>
              <w:rPr>
                <w:rFonts w:hint="eastAsia" w:ascii="宋体" w:hAnsi="宋体" w:eastAsia="宋体" w:cs="宋体"/>
                <w:snapToGrid/>
                <w:color w:val="auto"/>
                <w:spacing w:val="0"/>
                <w:w w:val="100"/>
                <w:kern w:val="0"/>
                <w:sz w:val="24"/>
                <w:szCs w:val="24"/>
                <w:highlight w:val="none"/>
                <w:vertAlign w:val="baseline"/>
                <w:lang w:val="en-US" w:eastAsia="zh-CN" w:bidi="ar"/>
              </w:rPr>
              <w:t>标段</w:t>
            </w:r>
          </w:p>
        </w:tc>
        <w:tc>
          <w:tcPr>
            <w:tcW w:w="7016" w:type="dxa"/>
            <w:tcBorders>
              <w:top w:val="single" w:color="auto" w:sz="4" w:space="0"/>
              <w:left w:val="single" w:color="auto" w:sz="4" w:space="0"/>
              <w:bottom w:val="single" w:color="auto" w:sz="4" w:space="0"/>
              <w:right w:val="single" w:color="auto" w:sz="4" w:space="0"/>
            </w:tcBorders>
            <w:shd w:val="clear" w:color="auto" w:fill="auto"/>
            <w:vAlign w:val="center"/>
          </w:tcPr>
          <w:p w14:paraId="0477FC9E">
            <w:pPr>
              <w:pStyle w:val="10"/>
              <w:keepNext w:val="0"/>
              <w:keepLines w:val="0"/>
              <w:widowControl/>
              <w:suppressLineNumbers w:val="0"/>
              <w:kinsoku w:val="0"/>
              <w:autoSpaceDE w:val="0"/>
              <w:autoSpaceDN w:val="0"/>
              <w:adjustRightInd w:val="0"/>
              <w:snapToGrid w:val="0"/>
              <w:spacing w:before="222"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vertAlign w:val="baseline"/>
              </w:rPr>
            </w:pPr>
            <w:r>
              <w:rPr>
                <w:rFonts w:hint="eastAsia" w:ascii="宋体" w:hAnsi="宋体" w:eastAsia="宋体" w:cs="宋体"/>
                <w:snapToGrid/>
                <w:color w:val="auto"/>
                <w:spacing w:val="0"/>
                <w:w w:val="100"/>
                <w:kern w:val="0"/>
                <w:sz w:val="24"/>
                <w:szCs w:val="24"/>
                <w:highlight w:val="none"/>
                <w:vertAlign w:val="baseline"/>
                <w:lang w:val="en-US" w:eastAsia="zh-CN" w:bidi="ar"/>
              </w:rPr>
              <w:t>业绩要求</w:t>
            </w:r>
          </w:p>
        </w:tc>
      </w:tr>
      <w:tr w14:paraId="07288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jc w:val="center"/>
        </w:trPr>
        <w:tc>
          <w:tcPr>
            <w:tcW w:w="1409" w:type="dxa"/>
            <w:tcBorders>
              <w:top w:val="single" w:color="auto" w:sz="4" w:space="0"/>
              <w:left w:val="single" w:color="auto" w:sz="4" w:space="0"/>
              <w:bottom w:val="single" w:color="auto" w:sz="4" w:space="0"/>
              <w:right w:val="single" w:color="auto" w:sz="4" w:space="0"/>
            </w:tcBorders>
            <w:shd w:val="clear" w:color="auto" w:fill="auto"/>
            <w:vAlign w:val="center"/>
          </w:tcPr>
          <w:p w14:paraId="391043E9">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vertAlign w:val="baseline"/>
              </w:rPr>
            </w:pPr>
            <w:r>
              <w:rPr>
                <w:rFonts w:hint="eastAsia" w:ascii="宋体" w:hAnsi="宋体" w:eastAsia="宋体" w:cs="宋体"/>
                <w:snapToGrid/>
                <w:color w:val="auto"/>
                <w:spacing w:val="0"/>
                <w:w w:val="100"/>
                <w:kern w:val="0"/>
                <w:sz w:val="24"/>
                <w:szCs w:val="24"/>
                <w:highlight w:val="none"/>
                <w:vertAlign w:val="baseline"/>
                <w:lang w:val="en-US" w:eastAsia="zh-CN" w:bidi="ar"/>
              </w:rPr>
              <w:t>01</w:t>
            </w:r>
          </w:p>
        </w:tc>
        <w:tc>
          <w:tcPr>
            <w:tcW w:w="7016" w:type="dxa"/>
            <w:vMerge w:val="restart"/>
            <w:tcBorders>
              <w:top w:val="nil"/>
              <w:left w:val="single" w:color="auto" w:sz="4" w:space="0"/>
              <w:bottom w:val="single" w:color="auto" w:sz="4" w:space="0"/>
              <w:right w:val="single" w:color="auto" w:sz="4" w:space="0"/>
            </w:tcBorders>
            <w:shd w:val="clear" w:color="auto" w:fill="auto"/>
            <w:vAlign w:val="center"/>
          </w:tcPr>
          <w:p w14:paraId="1D61424E">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default" w:ascii="宋体" w:hAnsi="宋体" w:eastAsia="宋体" w:cs="宋体"/>
                <w:color w:val="auto"/>
                <w:spacing w:val="0"/>
                <w:w w:val="100"/>
                <w:kern w:val="0"/>
                <w:sz w:val="24"/>
                <w:szCs w:val="24"/>
                <w:highlight w:val="none"/>
                <w:vertAlign w:val="baseline"/>
                <w:lang w:val="en-US"/>
              </w:rPr>
            </w:pPr>
            <w:r>
              <w:rPr>
                <w:rFonts w:hint="eastAsia" w:ascii="宋体" w:hAnsi="宋体" w:eastAsia="宋体" w:cs="宋体"/>
                <w:snapToGrid/>
                <w:color w:val="auto"/>
                <w:spacing w:val="0"/>
                <w:w w:val="100"/>
                <w:kern w:val="0"/>
                <w:sz w:val="24"/>
                <w:szCs w:val="24"/>
                <w:highlight w:val="none"/>
                <w:vertAlign w:val="baseline"/>
                <w:lang w:val="en-US" w:eastAsia="zh-CN" w:bidi="ar"/>
              </w:rPr>
              <w:t>见招标公告要求。如为联合体投标，业绩应为联合体牵头人业绩。</w:t>
            </w:r>
          </w:p>
        </w:tc>
      </w:tr>
      <w:tr w14:paraId="71D3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1409" w:type="dxa"/>
            <w:tcBorders>
              <w:top w:val="single" w:color="auto" w:sz="4" w:space="0"/>
              <w:left w:val="single" w:color="auto" w:sz="4" w:space="0"/>
              <w:bottom w:val="single" w:color="auto" w:sz="4" w:space="0"/>
              <w:right w:val="single" w:color="auto" w:sz="4" w:space="0"/>
            </w:tcBorders>
            <w:shd w:val="clear" w:color="auto" w:fill="auto"/>
            <w:vAlign w:val="center"/>
          </w:tcPr>
          <w:p w14:paraId="507D9361">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vertAlign w:val="baseline"/>
              </w:rPr>
            </w:pPr>
            <w:r>
              <w:rPr>
                <w:rFonts w:hint="eastAsia" w:ascii="宋体" w:hAnsi="宋体" w:eastAsia="宋体" w:cs="宋体"/>
                <w:snapToGrid/>
                <w:color w:val="auto"/>
                <w:spacing w:val="0"/>
                <w:w w:val="100"/>
                <w:kern w:val="0"/>
                <w:sz w:val="24"/>
                <w:szCs w:val="24"/>
                <w:highlight w:val="none"/>
                <w:vertAlign w:val="baseline"/>
                <w:lang w:val="en-US" w:eastAsia="zh-CN" w:bidi="ar"/>
              </w:rPr>
              <w:t>02</w:t>
            </w:r>
          </w:p>
        </w:tc>
        <w:tc>
          <w:tcPr>
            <w:tcW w:w="7016" w:type="dxa"/>
            <w:vMerge w:val="continue"/>
            <w:tcBorders>
              <w:top w:val="nil"/>
              <w:left w:val="single" w:color="auto" w:sz="4" w:space="0"/>
              <w:bottom w:val="single" w:color="auto" w:sz="4" w:space="0"/>
              <w:right w:val="single" w:color="auto" w:sz="4" w:space="0"/>
            </w:tcBorders>
            <w:shd w:val="clear" w:color="auto" w:fill="auto"/>
            <w:vAlign w:val="center"/>
          </w:tcPr>
          <w:p w14:paraId="59799411">
            <w:pPr>
              <w:keepNext w:val="0"/>
              <w:keepLines w:val="0"/>
              <w:widowControl/>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bl>
    <w:p w14:paraId="7C025157">
      <w:pPr>
        <w:keepNext w:val="0"/>
        <w:keepLines w:val="0"/>
        <w:pageBreakBefore w:val="0"/>
        <w:widowControl/>
        <w:kinsoku w:val="0"/>
        <w:wordWrap/>
        <w:overflowPunct/>
        <w:topLinePunct w:val="0"/>
        <w:autoSpaceDE w:val="0"/>
        <w:autoSpaceDN w:val="0"/>
        <w:bidi w:val="0"/>
        <w:adjustRightInd w:val="0"/>
        <w:snapToGrid w:val="0"/>
        <w:spacing w:line="440" w:lineRule="exact"/>
        <w:ind w:left="40" w:right="23" w:firstLine="422" w:firstLineChars="200"/>
        <w:jc w:val="both"/>
        <w:textAlignment w:val="baseline"/>
        <w:rPr>
          <w:rFonts w:hint="default" w:ascii="宋体" w:hAnsi="宋体" w:eastAsia="宋体" w:cs="宋体"/>
          <w:color w:val="auto"/>
          <w:spacing w:val="0"/>
          <w:w w:val="100"/>
          <w:position w:val="0"/>
          <w:sz w:val="21"/>
          <w:szCs w:val="21"/>
          <w:highlight w:val="none"/>
          <w:lang w:val="en-US" w:eastAsia="zh-CN"/>
        </w:rPr>
      </w:pPr>
      <w:r>
        <w:rPr>
          <w:rFonts w:ascii="宋体" w:hAnsi="宋体" w:eastAsia="宋体" w:cs="宋体"/>
          <w:b/>
          <w:bCs/>
          <w:color w:val="auto"/>
          <w:spacing w:val="0"/>
          <w:w w:val="100"/>
          <w:position w:val="0"/>
          <w:sz w:val="21"/>
          <w:szCs w:val="21"/>
          <w:highlight w:val="none"/>
        </w:rPr>
        <w:t>注：</w:t>
      </w:r>
      <w:r>
        <w:rPr>
          <w:rFonts w:hint="eastAsia" w:ascii="宋体" w:hAnsi="宋体" w:eastAsia="宋体" w:cs="宋体"/>
          <w:b/>
          <w:bCs/>
          <w:color w:val="auto"/>
          <w:spacing w:val="0"/>
          <w:w w:val="100"/>
          <w:position w:val="0"/>
          <w:sz w:val="21"/>
          <w:szCs w:val="21"/>
          <w:highlight w:val="none"/>
          <w:lang w:val="en-US" w:eastAsia="zh-CN"/>
        </w:rPr>
        <w:t>本章正文3.5.2不采用，修改为以下证明材料：</w:t>
      </w:r>
    </w:p>
    <w:p w14:paraId="1AB4EAE9">
      <w:pPr>
        <w:keepNext w:val="0"/>
        <w:keepLines w:val="0"/>
        <w:pageBreakBefore w:val="0"/>
        <w:widowControl/>
        <w:kinsoku w:val="0"/>
        <w:wordWrap/>
        <w:overflowPunct/>
        <w:topLinePunct w:val="0"/>
        <w:autoSpaceDE w:val="0"/>
        <w:autoSpaceDN w:val="0"/>
        <w:bidi w:val="0"/>
        <w:adjustRightInd w:val="0"/>
        <w:snapToGrid w:val="0"/>
        <w:spacing w:line="440" w:lineRule="exact"/>
        <w:ind w:left="40" w:right="23" w:firstLine="420" w:firstLineChars="200"/>
        <w:jc w:val="both"/>
        <w:textAlignment w:val="baseline"/>
        <w:rPr>
          <w:rFonts w:hint="eastAsia" w:ascii="宋体" w:hAnsi="宋体" w:eastAsia="宋体" w:cs="宋体"/>
          <w:strike w:val="0"/>
          <w:color w:val="auto"/>
          <w:spacing w:val="0"/>
          <w:w w:val="100"/>
          <w:position w:val="0"/>
          <w:sz w:val="21"/>
          <w:szCs w:val="21"/>
          <w:highlight w:val="none"/>
          <w:lang w:val="en-US" w:eastAsia="zh-CN"/>
        </w:rPr>
      </w:pPr>
      <w:r>
        <w:rPr>
          <w:rFonts w:hint="default" w:ascii="宋体" w:hAnsi="宋体" w:eastAsia="宋体" w:cs="宋体"/>
          <w:color w:val="auto"/>
          <w:spacing w:val="0"/>
          <w:w w:val="100"/>
          <w:position w:val="0"/>
          <w:sz w:val="21"/>
          <w:szCs w:val="21"/>
          <w:highlight w:val="none"/>
          <w:lang w:val="en-US" w:eastAsia="zh-CN"/>
        </w:rPr>
        <w:t>1</w:t>
      </w:r>
      <w:r>
        <w:rPr>
          <w:rFonts w:hint="eastAsia" w:ascii="宋体" w:hAnsi="宋体" w:eastAsia="宋体" w:cs="宋体"/>
          <w:color w:val="auto"/>
          <w:spacing w:val="0"/>
          <w:w w:val="100"/>
          <w:position w:val="0"/>
          <w:sz w:val="21"/>
          <w:szCs w:val="21"/>
          <w:highlight w:val="none"/>
          <w:lang w:val="en-US" w:eastAsia="zh-CN"/>
        </w:rPr>
        <w:t>、</w:t>
      </w:r>
      <w:r>
        <w:rPr>
          <w:rFonts w:hint="default" w:ascii="宋体" w:hAnsi="宋体" w:eastAsia="宋体" w:cs="宋体"/>
          <w:color w:val="auto"/>
          <w:spacing w:val="0"/>
          <w:w w:val="100"/>
          <w:position w:val="0"/>
          <w:sz w:val="21"/>
          <w:szCs w:val="21"/>
          <w:highlight w:val="none"/>
          <w:lang w:val="en-US" w:eastAsia="zh-CN"/>
        </w:rPr>
        <w:t>01</w:t>
      </w:r>
      <w:r>
        <w:rPr>
          <w:rFonts w:hint="eastAsia" w:ascii="宋体" w:hAnsi="宋体" w:eastAsia="宋体" w:cs="宋体"/>
          <w:color w:val="auto"/>
          <w:spacing w:val="0"/>
          <w:w w:val="100"/>
          <w:position w:val="0"/>
          <w:sz w:val="21"/>
          <w:szCs w:val="21"/>
          <w:highlight w:val="none"/>
          <w:lang w:val="en-US" w:eastAsia="zh-CN"/>
        </w:rPr>
        <w:t>标段业绩证明材料：投标文件须提供“近年完成的类似项目情况表”并附在交通运输部“全国公路建设市场监督管理系统”中查询到的企业“业绩信息”相关项目网页截图复印件，即包括“工程名称”“项目类型”“合同价”“技术等级”“主要设计内容”“人员履约信息”等栏目在内的项目详细信息网页截图。如在交通运输部“全国公路建设市场监督管理系统”中无法查询，但可在省级交通运输主管部门“公路建设市场信用信息管理系统”中查询的，应附省级交通运输主管部门“公路建设市场信用信息管理系统”中查询到的网页截图并注明查询路径。</w:t>
      </w:r>
      <w:r>
        <w:rPr>
          <w:rFonts w:hint="eastAsia" w:ascii="宋体" w:hAnsi="宋体" w:eastAsia="宋体" w:cs="宋体"/>
          <w:b/>
          <w:bCs/>
          <w:color w:val="auto"/>
          <w:spacing w:val="0"/>
          <w:w w:val="100"/>
          <w:position w:val="0"/>
          <w:sz w:val="21"/>
          <w:szCs w:val="21"/>
          <w:highlight w:val="none"/>
          <w:lang w:val="en-US" w:eastAsia="zh-CN"/>
        </w:rPr>
        <w:t>如上述系统均无法查询的，提供合同扫描件。</w:t>
      </w:r>
      <w:r>
        <w:rPr>
          <w:rFonts w:hint="eastAsia" w:ascii="宋体" w:hAnsi="宋体" w:eastAsia="宋体" w:cs="宋体"/>
          <w:b/>
          <w:bCs/>
          <w:strike w:val="0"/>
          <w:dstrike w:val="0"/>
          <w:color w:val="auto"/>
          <w:spacing w:val="0"/>
          <w:w w:val="100"/>
          <w:position w:val="0"/>
          <w:sz w:val="21"/>
          <w:szCs w:val="21"/>
          <w:highlight w:val="none"/>
          <w:lang w:val="en-US" w:eastAsia="zh-CN"/>
        </w:rPr>
        <w:t>上述规定的证明材料不能体现评审要点，投标文件中同时提供初步设计（或施工图设计）批复文件或业绩合同甲方（或业主）出具的证明材料予以明确说明。</w:t>
      </w:r>
    </w:p>
    <w:p w14:paraId="1BA79BEA">
      <w:pPr>
        <w:keepNext w:val="0"/>
        <w:keepLines w:val="0"/>
        <w:pageBreakBefore w:val="0"/>
        <w:widowControl/>
        <w:kinsoku w:val="0"/>
        <w:wordWrap/>
        <w:overflowPunct/>
        <w:topLinePunct w:val="0"/>
        <w:autoSpaceDE w:val="0"/>
        <w:autoSpaceDN w:val="0"/>
        <w:bidi w:val="0"/>
        <w:adjustRightInd w:val="0"/>
        <w:snapToGrid w:val="0"/>
        <w:spacing w:line="440" w:lineRule="exact"/>
        <w:ind w:left="40" w:right="23" w:firstLine="420" w:firstLineChars="200"/>
        <w:jc w:val="both"/>
        <w:textAlignment w:val="baseline"/>
        <w:rPr>
          <w:rFonts w:ascii="宋体" w:hAnsi="宋体" w:eastAsia="宋体" w:cs="宋体"/>
          <w:color w:val="auto"/>
          <w:spacing w:val="0"/>
          <w:w w:val="100"/>
          <w:position w:val="0"/>
          <w:sz w:val="21"/>
          <w:szCs w:val="21"/>
          <w:highlight w:val="none"/>
        </w:rPr>
      </w:pPr>
      <w:r>
        <w:rPr>
          <w:rFonts w:hint="default" w:ascii="宋体" w:hAnsi="宋体" w:eastAsia="宋体" w:cs="宋体"/>
          <w:color w:val="auto"/>
          <w:spacing w:val="0"/>
          <w:w w:val="100"/>
          <w:position w:val="0"/>
          <w:sz w:val="21"/>
          <w:szCs w:val="21"/>
          <w:highlight w:val="none"/>
          <w:lang w:val="en-US" w:eastAsia="zh-CN"/>
        </w:rPr>
        <w:t>02</w:t>
      </w:r>
      <w:r>
        <w:rPr>
          <w:rFonts w:hint="eastAsia" w:ascii="宋体" w:hAnsi="宋体" w:eastAsia="宋体" w:cs="宋体"/>
          <w:color w:val="auto"/>
          <w:spacing w:val="0"/>
          <w:w w:val="100"/>
          <w:position w:val="0"/>
          <w:sz w:val="21"/>
          <w:szCs w:val="21"/>
          <w:highlight w:val="none"/>
          <w:lang w:val="en-US" w:eastAsia="zh-CN"/>
        </w:rPr>
        <w:t xml:space="preserve">标段业绩证明材料：投标文件须提供“近年完成的类似项目情况表”并附下列材料： </w:t>
      </w:r>
    </w:p>
    <w:p w14:paraId="2B20CEF4">
      <w:pPr>
        <w:keepNext w:val="0"/>
        <w:keepLines w:val="0"/>
        <w:pageBreakBefore w:val="0"/>
        <w:widowControl/>
        <w:kinsoku w:val="0"/>
        <w:wordWrap/>
        <w:overflowPunct/>
        <w:topLinePunct w:val="0"/>
        <w:autoSpaceDE w:val="0"/>
        <w:autoSpaceDN w:val="0"/>
        <w:bidi w:val="0"/>
        <w:adjustRightInd w:val="0"/>
        <w:snapToGrid w:val="0"/>
        <w:spacing w:line="440" w:lineRule="exact"/>
        <w:ind w:left="40" w:right="23" w:firstLine="420" w:firstLineChars="200"/>
        <w:jc w:val="both"/>
        <w:textAlignment w:val="baseline"/>
        <w:rPr>
          <w:rFonts w:ascii="宋体" w:hAnsi="宋体" w:eastAsia="宋体" w:cs="宋体"/>
          <w:color w:val="auto"/>
          <w:spacing w:val="0"/>
          <w:w w:val="100"/>
          <w:position w:val="0"/>
          <w:sz w:val="21"/>
          <w:szCs w:val="21"/>
          <w:highlight w:val="none"/>
        </w:rPr>
      </w:pPr>
      <w:r>
        <w:rPr>
          <w:rFonts w:hint="default" w:ascii="宋体" w:hAnsi="宋体" w:eastAsia="宋体" w:cs="宋体"/>
          <w:color w:val="auto"/>
          <w:spacing w:val="0"/>
          <w:w w:val="100"/>
          <w:position w:val="0"/>
          <w:sz w:val="21"/>
          <w:szCs w:val="21"/>
          <w:highlight w:val="none"/>
          <w:lang w:val="en-US" w:eastAsia="zh-CN"/>
        </w:rPr>
        <w:t>a.</w:t>
      </w:r>
      <w:r>
        <w:rPr>
          <w:rFonts w:hint="eastAsia" w:ascii="宋体" w:hAnsi="宋体" w:eastAsia="宋体" w:cs="宋体"/>
          <w:color w:val="auto"/>
          <w:spacing w:val="0"/>
          <w:w w:val="100"/>
          <w:position w:val="0"/>
          <w:sz w:val="21"/>
          <w:szCs w:val="21"/>
          <w:highlight w:val="none"/>
          <w:lang w:val="en-US" w:eastAsia="zh-CN"/>
        </w:rPr>
        <w:t>投标文件提供勘察设计业绩的，须附在交通运输部“全国公路建设市场监督管理系统”中查询到的企业“业绩信息”相关项目网页截图，即包括“工程名称”“项目类型”“合同价”“技术等级”“主要设计内容”“人员履约信息”等栏目在内的项目详细信息网页截图。如在交通运输部“全国公路建设市场监督管理系统”中无法查询，但可在省级交通运输主管部门“公路建设市场信用信息管理系统”中查询的，应附省级交通运输主管部门“公路建设市场信用信息管理系统”中查询到的网页截图并注明查询路径。</w:t>
      </w:r>
      <w:r>
        <w:rPr>
          <w:rFonts w:hint="eastAsia" w:ascii="宋体" w:hAnsi="宋体" w:eastAsia="宋体" w:cs="宋体"/>
          <w:b/>
          <w:bCs/>
          <w:color w:val="auto"/>
          <w:spacing w:val="0"/>
          <w:w w:val="100"/>
          <w:position w:val="0"/>
          <w:sz w:val="21"/>
          <w:szCs w:val="21"/>
          <w:highlight w:val="none"/>
          <w:lang w:val="en-US" w:eastAsia="zh-CN"/>
        </w:rPr>
        <w:t>如上述系统均无法查询的，提供合同扫描件。上述规定的证明材料不能体现评审要点，投标文件中同时提供初步设计（或施工图设计）批复文件或业绩合同甲方（或业主）出具的证明材料予以明确说明。</w:t>
      </w:r>
      <w:r>
        <w:rPr>
          <w:rFonts w:hint="eastAsia" w:ascii="宋体" w:hAnsi="宋体" w:eastAsia="宋体" w:cs="宋体"/>
          <w:color w:val="auto"/>
          <w:spacing w:val="0"/>
          <w:w w:val="100"/>
          <w:position w:val="0"/>
          <w:sz w:val="21"/>
          <w:szCs w:val="21"/>
          <w:highlight w:val="none"/>
          <w:lang w:val="en-US" w:eastAsia="zh-CN"/>
        </w:rPr>
        <w:t xml:space="preserve"> </w:t>
      </w:r>
    </w:p>
    <w:p w14:paraId="7F99174A">
      <w:pPr>
        <w:keepNext w:val="0"/>
        <w:keepLines w:val="0"/>
        <w:pageBreakBefore w:val="0"/>
        <w:widowControl/>
        <w:kinsoku w:val="0"/>
        <w:wordWrap/>
        <w:overflowPunct/>
        <w:topLinePunct w:val="0"/>
        <w:autoSpaceDE w:val="0"/>
        <w:autoSpaceDN w:val="0"/>
        <w:bidi w:val="0"/>
        <w:adjustRightInd w:val="0"/>
        <w:snapToGrid w:val="0"/>
        <w:spacing w:line="440" w:lineRule="exact"/>
        <w:ind w:left="40" w:right="23" w:firstLine="420" w:firstLineChars="200"/>
        <w:jc w:val="both"/>
        <w:textAlignment w:val="baseline"/>
        <w:rPr>
          <w:rFonts w:ascii="宋体" w:hAnsi="宋体" w:eastAsia="宋体" w:cs="宋体"/>
          <w:color w:val="auto"/>
          <w:spacing w:val="0"/>
          <w:w w:val="100"/>
          <w:position w:val="0"/>
          <w:sz w:val="21"/>
          <w:szCs w:val="21"/>
          <w:highlight w:val="none"/>
        </w:rPr>
      </w:pPr>
      <w:r>
        <w:rPr>
          <w:rFonts w:hint="default" w:ascii="宋体" w:hAnsi="宋体" w:eastAsia="宋体" w:cs="宋体"/>
          <w:color w:val="auto"/>
          <w:spacing w:val="0"/>
          <w:w w:val="100"/>
          <w:position w:val="0"/>
          <w:sz w:val="21"/>
          <w:szCs w:val="21"/>
          <w:highlight w:val="none"/>
          <w:lang w:val="en-US" w:eastAsia="zh-CN"/>
        </w:rPr>
        <w:t>b.</w:t>
      </w:r>
      <w:r>
        <w:rPr>
          <w:rFonts w:hint="eastAsia" w:ascii="宋体" w:hAnsi="宋体" w:eastAsia="宋体" w:cs="宋体"/>
          <w:color w:val="auto"/>
          <w:spacing w:val="0"/>
          <w:w w:val="100"/>
          <w:position w:val="0"/>
          <w:sz w:val="21"/>
          <w:szCs w:val="21"/>
          <w:highlight w:val="none"/>
          <w:lang w:val="en-US" w:eastAsia="zh-CN"/>
        </w:rPr>
        <w:t xml:space="preserve">投标文件提供勘察设计咨询业绩的，须附相应设计咨询合同、初步设计（或施工图设计）批复文件复印件。如证明材料不能体现评审要点，投标文件中同时提供业绩合同甲方（或业主）出具的证明材料予以明确说明。 </w:t>
      </w:r>
    </w:p>
    <w:p w14:paraId="21F2DF26">
      <w:pPr>
        <w:keepNext w:val="0"/>
        <w:keepLines w:val="0"/>
        <w:pageBreakBefore w:val="0"/>
        <w:widowControl/>
        <w:kinsoku w:val="0"/>
        <w:wordWrap/>
        <w:overflowPunct/>
        <w:topLinePunct w:val="0"/>
        <w:autoSpaceDE w:val="0"/>
        <w:autoSpaceDN w:val="0"/>
        <w:bidi w:val="0"/>
        <w:adjustRightInd w:val="0"/>
        <w:snapToGrid w:val="0"/>
        <w:spacing w:line="440" w:lineRule="exact"/>
        <w:ind w:left="40" w:right="23" w:firstLine="420" w:firstLineChars="200"/>
        <w:jc w:val="both"/>
        <w:textAlignment w:val="baseline"/>
        <w:rPr>
          <w:rFonts w:ascii="宋体" w:hAnsi="宋体" w:eastAsia="宋体" w:cs="宋体"/>
          <w:color w:val="auto"/>
          <w:spacing w:val="0"/>
          <w:w w:val="100"/>
          <w:position w:val="0"/>
          <w:sz w:val="21"/>
          <w:szCs w:val="21"/>
          <w:highlight w:val="none"/>
        </w:rPr>
      </w:pPr>
      <w:r>
        <w:rPr>
          <w:rFonts w:hint="default" w:ascii="宋体" w:hAnsi="宋体" w:eastAsia="宋体" w:cs="宋体"/>
          <w:color w:val="auto"/>
          <w:spacing w:val="0"/>
          <w:w w:val="100"/>
          <w:position w:val="0"/>
          <w:sz w:val="21"/>
          <w:szCs w:val="21"/>
          <w:highlight w:val="none"/>
          <w:lang w:val="en-US" w:eastAsia="zh-CN"/>
        </w:rPr>
        <w:t>2</w:t>
      </w:r>
      <w:r>
        <w:rPr>
          <w:rFonts w:hint="eastAsia" w:ascii="宋体" w:hAnsi="宋体" w:eastAsia="宋体" w:cs="宋体"/>
          <w:color w:val="auto"/>
          <w:spacing w:val="0"/>
          <w:w w:val="100"/>
          <w:position w:val="0"/>
          <w:sz w:val="21"/>
          <w:szCs w:val="21"/>
          <w:highlight w:val="none"/>
          <w:lang w:val="en-US" w:eastAsia="zh-CN"/>
        </w:rPr>
        <w:t>、投标人提供的业绩如为联合体形式承接的，则仅可按投标人在业绩中的任务分工认定业绩。</w:t>
      </w:r>
    </w:p>
    <w:p w14:paraId="3A222E0B">
      <w:pPr>
        <w:pStyle w:val="6"/>
        <w:spacing w:before="91" w:line="233" w:lineRule="auto"/>
        <w:ind w:left="1713"/>
        <w:outlineLvl w:val="1"/>
        <w:rPr>
          <w:color w:val="auto"/>
          <w:spacing w:val="0"/>
          <w:w w:val="100"/>
          <w:position w:val="0"/>
          <w:sz w:val="28"/>
          <w:szCs w:val="28"/>
          <w:highlight w:val="none"/>
        </w:rPr>
      </w:pPr>
      <w:bookmarkStart w:id="9" w:name="bookmark15"/>
      <w:bookmarkEnd w:id="9"/>
      <w:r>
        <w:rPr>
          <w:b/>
          <w:bCs/>
          <w:color w:val="auto"/>
          <w:spacing w:val="0"/>
          <w:w w:val="100"/>
          <w:position w:val="0"/>
          <w:sz w:val="28"/>
          <w:szCs w:val="28"/>
          <w:highlight w:val="none"/>
        </w:rPr>
        <w:t>附录</w:t>
      </w:r>
      <w:r>
        <w:rPr>
          <w:color w:val="auto"/>
          <w:spacing w:val="0"/>
          <w:w w:val="100"/>
          <w:position w:val="0"/>
          <w:sz w:val="28"/>
          <w:szCs w:val="28"/>
          <w:highlight w:val="none"/>
        </w:rPr>
        <w:t xml:space="preserve"> </w:t>
      </w:r>
      <w:r>
        <w:rPr>
          <w:rFonts w:ascii="Times New Roman" w:hAnsi="Times New Roman" w:eastAsia="Times New Roman" w:cs="Times New Roman"/>
          <w:b/>
          <w:bCs/>
          <w:color w:val="auto"/>
          <w:spacing w:val="0"/>
          <w:w w:val="100"/>
          <w:position w:val="0"/>
          <w:sz w:val="28"/>
          <w:szCs w:val="28"/>
          <w:highlight w:val="none"/>
        </w:rPr>
        <w:t xml:space="preserve">3    </w:t>
      </w:r>
      <w:r>
        <w:rPr>
          <w:b/>
          <w:bCs/>
          <w:color w:val="auto"/>
          <w:spacing w:val="0"/>
          <w:w w:val="100"/>
          <w:position w:val="0"/>
          <w:sz w:val="28"/>
          <w:szCs w:val="28"/>
          <w:highlight w:val="none"/>
        </w:rPr>
        <w:t>资格审查条件（信誉最低要求）</w:t>
      </w:r>
    </w:p>
    <w:p w14:paraId="4E7714EF">
      <w:pPr>
        <w:spacing w:before="27"/>
        <w:rPr>
          <w:color w:val="auto"/>
          <w:spacing w:val="0"/>
          <w:w w:val="100"/>
          <w:position w:val="0"/>
          <w:highlight w:val="none"/>
        </w:rPr>
      </w:pPr>
    </w:p>
    <w:tbl>
      <w:tblPr>
        <w:tblStyle w:val="18"/>
        <w:tblW w:w="8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409"/>
        <w:gridCol w:w="6821"/>
      </w:tblGrid>
      <w:tr w14:paraId="29852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85" w:hRule="atLeast"/>
          <w:jc w:val="center"/>
        </w:trPr>
        <w:tc>
          <w:tcPr>
            <w:tcW w:w="1409" w:type="dxa"/>
            <w:shd w:val="clear" w:color="auto" w:fill="auto"/>
            <w:vAlign w:val="center"/>
          </w:tcPr>
          <w:p w14:paraId="24ABA65B">
            <w:pPr>
              <w:pStyle w:val="10"/>
              <w:keepNext w:val="0"/>
              <w:keepLines w:val="0"/>
              <w:widowControl/>
              <w:suppressLineNumbers w:val="0"/>
              <w:kinsoku w:val="0"/>
              <w:autoSpaceDE w:val="0"/>
              <w:autoSpaceDN w:val="0"/>
              <w:adjustRightInd w:val="0"/>
              <w:snapToGrid w:val="0"/>
              <w:spacing w:before="222"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标段</w:t>
            </w:r>
          </w:p>
        </w:tc>
        <w:tc>
          <w:tcPr>
            <w:tcW w:w="6821" w:type="dxa"/>
            <w:shd w:val="clear" w:color="auto" w:fill="auto"/>
            <w:vAlign w:val="center"/>
          </w:tcPr>
          <w:p w14:paraId="62860A94">
            <w:pPr>
              <w:pStyle w:val="10"/>
              <w:keepNext w:val="0"/>
              <w:keepLines w:val="0"/>
              <w:widowControl/>
              <w:suppressLineNumbers w:val="0"/>
              <w:kinsoku w:val="0"/>
              <w:autoSpaceDE w:val="0"/>
              <w:autoSpaceDN w:val="0"/>
              <w:adjustRightInd w:val="0"/>
              <w:snapToGrid w:val="0"/>
              <w:spacing w:before="222"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信誉要求</w:t>
            </w:r>
          </w:p>
        </w:tc>
      </w:tr>
      <w:tr w14:paraId="3EBB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jc w:val="center"/>
        </w:trPr>
        <w:tc>
          <w:tcPr>
            <w:tcW w:w="1409" w:type="dxa"/>
            <w:shd w:val="clear" w:color="auto" w:fill="auto"/>
            <w:vAlign w:val="center"/>
          </w:tcPr>
          <w:p w14:paraId="0E3E2A72">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01</w:t>
            </w:r>
          </w:p>
        </w:tc>
        <w:tc>
          <w:tcPr>
            <w:tcW w:w="6821" w:type="dxa"/>
            <w:vMerge w:val="restart"/>
            <w:shd w:val="clear" w:color="auto" w:fill="auto"/>
            <w:vAlign w:val="center"/>
          </w:tcPr>
          <w:p w14:paraId="2128417F">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default" w:ascii="宋体" w:hAnsi="宋体" w:eastAsia="宋体" w:cs="宋体"/>
                <w:color w:val="auto"/>
                <w:spacing w:val="0"/>
                <w:w w:val="100"/>
                <w:kern w:val="0"/>
                <w:sz w:val="24"/>
                <w:szCs w:val="24"/>
                <w:highlight w:val="none"/>
                <w:lang w:val="en-US"/>
              </w:rPr>
            </w:pPr>
            <w:r>
              <w:rPr>
                <w:rFonts w:hint="eastAsia" w:ascii="宋体" w:hAnsi="宋体" w:eastAsia="宋体" w:cs="宋体"/>
                <w:snapToGrid/>
                <w:color w:val="auto"/>
                <w:spacing w:val="0"/>
                <w:w w:val="100"/>
                <w:kern w:val="0"/>
                <w:sz w:val="24"/>
                <w:szCs w:val="24"/>
                <w:highlight w:val="none"/>
                <w:lang w:val="en-US" w:eastAsia="zh-CN" w:bidi="ar"/>
              </w:rPr>
              <w:t>见招标公告要求。</w:t>
            </w:r>
            <w:r>
              <w:rPr>
                <w:rFonts w:hint="eastAsia" w:ascii="宋体" w:hAnsi="宋体" w:eastAsia="宋体" w:cs="宋体"/>
                <w:snapToGrid/>
                <w:color w:val="auto"/>
                <w:spacing w:val="0"/>
                <w:w w:val="100"/>
                <w:kern w:val="0"/>
                <w:sz w:val="24"/>
                <w:szCs w:val="24"/>
                <w:highlight w:val="none"/>
                <w:vertAlign w:val="baseline"/>
                <w:lang w:val="en-US" w:eastAsia="zh-CN" w:bidi="ar"/>
              </w:rPr>
              <w:t>如为联合体投标，联合体双方均应满足。</w:t>
            </w:r>
          </w:p>
        </w:tc>
      </w:tr>
      <w:tr w14:paraId="1561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1409" w:type="dxa"/>
            <w:shd w:val="clear" w:color="auto" w:fill="auto"/>
            <w:vAlign w:val="center"/>
          </w:tcPr>
          <w:p w14:paraId="7256C6BD">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02</w:t>
            </w:r>
          </w:p>
        </w:tc>
        <w:tc>
          <w:tcPr>
            <w:tcW w:w="6821" w:type="dxa"/>
            <w:vMerge w:val="continue"/>
            <w:shd w:val="clear" w:color="auto" w:fill="auto"/>
            <w:vAlign w:val="center"/>
          </w:tcPr>
          <w:p w14:paraId="00EC9A83">
            <w:pPr>
              <w:keepNext w:val="0"/>
              <w:keepLines w:val="0"/>
              <w:widowControl/>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bl>
    <w:p w14:paraId="6B86B9C0">
      <w:pPr>
        <w:spacing w:before="28" w:line="244" w:lineRule="auto"/>
        <w:ind w:left="37" w:right="24"/>
        <w:jc w:val="both"/>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1"/>
          <w:szCs w:val="21"/>
          <w:highlight w:val="none"/>
        </w:rPr>
        <w:t>注：除上述具体信誉要求外，投标人还应满足投标人须知正文第</w:t>
      </w:r>
      <w:r>
        <w:rPr>
          <w:rFonts w:ascii="Times New Roman" w:hAnsi="Times New Roman" w:eastAsia="Times New Roman" w:cs="Times New Roman"/>
          <w:color w:val="auto"/>
          <w:spacing w:val="0"/>
          <w:w w:val="100"/>
          <w:position w:val="0"/>
          <w:sz w:val="21"/>
          <w:szCs w:val="21"/>
          <w:highlight w:val="none"/>
        </w:rPr>
        <w:t>1.4.4</w:t>
      </w:r>
      <w:r>
        <w:rPr>
          <w:rFonts w:ascii="宋体" w:hAnsi="宋体" w:eastAsia="宋体" w:cs="宋体"/>
          <w:color w:val="auto"/>
          <w:spacing w:val="0"/>
          <w:w w:val="100"/>
          <w:position w:val="0"/>
          <w:sz w:val="21"/>
          <w:szCs w:val="21"/>
          <w:highlight w:val="none"/>
        </w:rPr>
        <w:t>项的要求，投标人在投标函中承诺，不需要提供相关证明材料。如投标人承诺与实际不符，将视为投标人弄虚作假</w:t>
      </w:r>
      <w:r>
        <w:rPr>
          <w:rFonts w:ascii="宋体" w:hAnsi="宋体" w:eastAsia="宋体" w:cs="宋体"/>
          <w:color w:val="auto"/>
          <w:spacing w:val="0"/>
          <w:w w:val="100"/>
          <w:position w:val="0"/>
          <w:sz w:val="24"/>
          <w:szCs w:val="24"/>
          <w:highlight w:val="none"/>
        </w:rPr>
        <w:t>。</w:t>
      </w:r>
    </w:p>
    <w:p w14:paraId="639535AD">
      <w:pPr>
        <w:spacing w:line="244" w:lineRule="auto"/>
        <w:rPr>
          <w:rFonts w:ascii="宋体" w:hAnsi="宋体" w:eastAsia="宋体" w:cs="宋体"/>
          <w:color w:val="auto"/>
          <w:spacing w:val="0"/>
          <w:w w:val="100"/>
          <w:position w:val="0"/>
          <w:sz w:val="24"/>
          <w:szCs w:val="24"/>
          <w:highlight w:val="none"/>
        </w:rPr>
        <w:sectPr>
          <w:headerReference r:id="rId12" w:type="default"/>
          <w:footerReference r:id="rId13" w:type="default"/>
          <w:pgSz w:w="11900" w:h="16843"/>
          <w:pgMar w:top="1378" w:right="1417" w:bottom="1208" w:left="1417" w:header="1366" w:footer="1003" w:gutter="0"/>
          <w:pgNumType w:fmt="decimal"/>
          <w:cols w:space="0" w:num="1"/>
          <w:rtlGutter w:val="0"/>
          <w:docGrid w:linePitch="0" w:charSpace="0"/>
        </w:sectPr>
      </w:pPr>
    </w:p>
    <w:p w14:paraId="652F10E9">
      <w:pPr>
        <w:pStyle w:val="6"/>
        <w:spacing w:before="91" w:line="233" w:lineRule="auto"/>
        <w:ind w:left="1713"/>
        <w:outlineLvl w:val="1"/>
        <w:rPr>
          <w:rFonts w:ascii="宋体" w:hAnsi="宋体" w:eastAsia="宋体" w:cs="宋体"/>
          <w:snapToGrid w:val="0"/>
          <w:color w:val="auto"/>
          <w:spacing w:val="0"/>
          <w:w w:val="100"/>
          <w:kern w:val="0"/>
          <w:position w:val="0"/>
          <w:sz w:val="21"/>
          <w:szCs w:val="21"/>
          <w:highlight w:val="none"/>
          <w:lang w:val="en-US" w:eastAsia="en-US" w:bidi="ar-SA"/>
        </w:rPr>
      </w:pPr>
      <w:bookmarkStart w:id="10" w:name="bookmark16"/>
      <w:bookmarkEnd w:id="10"/>
      <w:r>
        <w:rPr>
          <w:b/>
          <w:bCs/>
          <w:color w:val="auto"/>
          <w:spacing w:val="0"/>
          <w:w w:val="100"/>
          <w:position w:val="0"/>
          <w:sz w:val="28"/>
          <w:szCs w:val="28"/>
          <w:highlight w:val="none"/>
          <w:lang w:val="en-US" w:eastAsia="en-US"/>
        </w:rPr>
        <w:t>附录 4    资格审查条件（</w:t>
      </w:r>
      <w:r>
        <w:rPr>
          <w:rFonts w:hint="eastAsia"/>
          <w:b/>
          <w:bCs/>
          <w:color w:val="auto"/>
          <w:spacing w:val="0"/>
          <w:w w:val="100"/>
          <w:position w:val="0"/>
          <w:sz w:val="28"/>
          <w:szCs w:val="28"/>
          <w:highlight w:val="none"/>
          <w:lang w:val="en-US" w:eastAsia="zh-CN"/>
        </w:rPr>
        <w:t>人员</w:t>
      </w:r>
      <w:r>
        <w:rPr>
          <w:b/>
          <w:bCs/>
          <w:color w:val="auto"/>
          <w:spacing w:val="0"/>
          <w:w w:val="100"/>
          <w:position w:val="0"/>
          <w:sz w:val="28"/>
          <w:szCs w:val="28"/>
          <w:highlight w:val="none"/>
          <w:lang w:val="en-US" w:eastAsia="en-US"/>
        </w:rPr>
        <w:t>最低要求）</w:t>
      </w:r>
    </w:p>
    <w:tbl>
      <w:tblPr>
        <w:tblStyle w:val="18"/>
        <w:tblW w:w="8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966"/>
        <w:gridCol w:w="1995"/>
        <w:gridCol w:w="884"/>
        <w:gridCol w:w="4525"/>
      </w:tblGrid>
      <w:tr w14:paraId="6FD7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91" w:hRule="atLeast"/>
          <w:jc w:val="center"/>
        </w:trPr>
        <w:tc>
          <w:tcPr>
            <w:tcW w:w="966" w:type="dxa"/>
            <w:shd w:val="clear" w:color="auto" w:fill="auto"/>
            <w:vAlign w:val="center"/>
          </w:tcPr>
          <w:p w14:paraId="1AB4A7E9">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标段</w:t>
            </w:r>
          </w:p>
        </w:tc>
        <w:tc>
          <w:tcPr>
            <w:tcW w:w="1995" w:type="dxa"/>
            <w:shd w:val="clear" w:color="auto" w:fill="auto"/>
            <w:vAlign w:val="center"/>
          </w:tcPr>
          <w:p w14:paraId="7B6B5E5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人员</w:t>
            </w:r>
          </w:p>
        </w:tc>
        <w:tc>
          <w:tcPr>
            <w:tcW w:w="884" w:type="dxa"/>
            <w:shd w:val="clear" w:color="auto" w:fill="auto"/>
            <w:vAlign w:val="center"/>
          </w:tcPr>
          <w:p w14:paraId="00E274A0">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数量</w:t>
            </w:r>
          </w:p>
        </w:tc>
        <w:tc>
          <w:tcPr>
            <w:tcW w:w="4525" w:type="dxa"/>
            <w:shd w:val="clear" w:color="auto" w:fill="auto"/>
            <w:vAlign w:val="center"/>
          </w:tcPr>
          <w:p w14:paraId="04847679">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资格及业绩要求</w:t>
            </w:r>
          </w:p>
        </w:tc>
      </w:tr>
      <w:tr w14:paraId="3761F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66" w:type="dxa"/>
            <w:vMerge w:val="restart"/>
            <w:shd w:val="clear" w:color="auto" w:fill="auto"/>
            <w:vAlign w:val="center"/>
          </w:tcPr>
          <w:p w14:paraId="7FAEF687">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01</w:t>
            </w:r>
          </w:p>
        </w:tc>
        <w:tc>
          <w:tcPr>
            <w:tcW w:w="1995" w:type="dxa"/>
            <w:shd w:val="clear" w:color="auto" w:fill="auto"/>
            <w:vAlign w:val="center"/>
          </w:tcPr>
          <w:p w14:paraId="1CD5CC15">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项目负责人</w:t>
            </w:r>
          </w:p>
        </w:tc>
        <w:tc>
          <w:tcPr>
            <w:tcW w:w="884" w:type="dxa"/>
            <w:shd w:val="clear" w:color="auto" w:fill="auto"/>
            <w:vAlign w:val="center"/>
          </w:tcPr>
          <w:p w14:paraId="1C16FEC4">
            <w:pPr>
              <w:keepNext w:val="0"/>
              <w:keepLines w:val="0"/>
              <w:widowControl/>
              <w:suppressLineNumbers w:val="0"/>
              <w:kinsoku w:val="0"/>
              <w:autoSpaceDE w:val="0"/>
              <w:autoSpaceDN w:val="0"/>
              <w:adjustRightInd w:val="0"/>
              <w:snapToGrid w:val="0"/>
              <w:spacing w:before="69" w:beforeAutospacing="0" w:after="0" w:afterAutospacing="0"/>
              <w:ind w:left="0" w:right="0"/>
              <w:jc w:val="center"/>
              <w:textAlignment w:val="baseline"/>
              <w:rPr>
                <w:rFonts w:hint="default" w:ascii="Times New Roman" w:hAnsi="Times New Roman" w:cs="Times New Roman"/>
                <w:color w:val="auto"/>
                <w:spacing w:val="0"/>
                <w:w w:val="100"/>
                <w:kern w:val="0"/>
                <w:sz w:val="24"/>
                <w:szCs w:val="24"/>
                <w:highlight w:val="none"/>
              </w:rPr>
            </w:pPr>
            <w:r>
              <w:rPr>
                <w:rFonts w:hint="default" w:ascii="Times New Roman" w:hAnsi="Times New Roman" w:eastAsia="Arial" w:cs="Times New Roman"/>
                <w:snapToGrid w:val="0"/>
                <w:color w:val="auto"/>
                <w:spacing w:val="0"/>
                <w:w w:val="100"/>
                <w:kern w:val="0"/>
                <w:sz w:val="24"/>
                <w:szCs w:val="24"/>
                <w:highlight w:val="none"/>
                <w:lang w:val="en-US" w:eastAsia="zh-CN" w:bidi="ar"/>
              </w:rPr>
              <w:t>1</w:t>
            </w:r>
          </w:p>
        </w:tc>
        <w:tc>
          <w:tcPr>
            <w:tcW w:w="4525" w:type="dxa"/>
            <w:vMerge w:val="restart"/>
            <w:shd w:val="clear" w:color="auto" w:fill="auto"/>
            <w:vAlign w:val="center"/>
          </w:tcPr>
          <w:p w14:paraId="304CFCD2">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见招标公告要求，</w:t>
            </w:r>
            <w:r>
              <w:rPr>
                <w:rFonts w:hint="eastAsia" w:ascii="宋体" w:hAnsi="宋体" w:eastAsia="宋体" w:cs="宋体"/>
                <w:snapToGrid/>
                <w:color w:val="auto"/>
                <w:spacing w:val="0"/>
                <w:w w:val="100"/>
                <w:kern w:val="0"/>
                <w:sz w:val="24"/>
                <w:szCs w:val="24"/>
                <w:highlight w:val="none"/>
                <w:vertAlign w:val="baseline"/>
                <w:lang w:val="en-US" w:eastAsia="zh-CN" w:bidi="ar"/>
              </w:rPr>
              <w:t>如为联合体投标，项目负责人、技术负责人应为联合体牵头单位员工，由联合体牵头人拟派。</w:t>
            </w:r>
          </w:p>
        </w:tc>
      </w:tr>
      <w:tr w14:paraId="3B25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66" w:type="dxa"/>
            <w:vMerge w:val="continue"/>
            <w:shd w:val="clear" w:color="auto" w:fill="auto"/>
            <w:vAlign w:val="center"/>
          </w:tcPr>
          <w:p w14:paraId="7AE03DE2">
            <w:pPr>
              <w:keepNext w:val="0"/>
              <w:keepLines w:val="0"/>
              <w:widowControl/>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995" w:type="dxa"/>
            <w:shd w:val="clear" w:color="auto" w:fill="auto"/>
            <w:vAlign w:val="center"/>
          </w:tcPr>
          <w:p w14:paraId="5EA1B8D1">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技术负责人</w:t>
            </w:r>
          </w:p>
        </w:tc>
        <w:tc>
          <w:tcPr>
            <w:tcW w:w="884" w:type="dxa"/>
            <w:shd w:val="clear" w:color="auto" w:fill="auto"/>
            <w:vAlign w:val="center"/>
          </w:tcPr>
          <w:p w14:paraId="3540D248">
            <w:pPr>
              <w:keepNext w:val="0"/>
              <w:keepLines w:val="0"/>
              <w:widowControl/>
              <w:suppressLineNumbers w:val="0"/>
              <w:kinsoku w:val="0"/>
              <w:autoSpaceDE w:val="0"/>
              <w:autoSpaceDN w:val="0"/>
              <w:adjustRightInd w:val="0"/>
              <w:snapToGrid w:val="0"/>
              <w:spacing w:before="69" w:beforeAutospacing="0" w:after="0" w:afterAutospacing="0"/>
              <w:ind w:left="0" w:right="0"/>
              <w:jc w:val="center"/>
              <w:textAlignment w:val="baseline"/>
              <w:rPr>
                <w:rFonts w:hint="eastAsia" w:ascii="Times New Roman" w:hAnsi="Times New Roman" w:eastAsia="宋体" w:cs="Times New Roman"/>
                <w:color w:val="auto"/>
                <w:spacing w:val="0"/>
                <w:w w:val="100"/>
                <w:kern w:val="0"/>
                <w:sz w:val="24"/>
                <w:szCs w:val="24"/>
                <w:highlight w:val="none"/>
              </w:rPr>
            </w:pPr>
            <w:r>
              <w:rPr>
                <w:rFonts w:hint="default" w:ascii="Times New Roman" w:hAnsi="Times New Roman" w:eastAsia="宋体" w:cs="Times New Roman"/>
                <w:snapToGrid w:val="0"/>
                <w:color w:val="auto"/>
                <w:spacing w:val="0"/>
                <w:w w:val="100"/>
                <w:kern w:val="0"/>
                <w:sz w:val="24"/>
                <w:szCs w:val="24"/>
                <w:highlight w:val="none"/>
                <w:lang w:val="en-US" w:eastAsia="zh-CN" w:bidi="ar"/>
              </w:rPr>
              <w:t>1</w:t>
            </w:r>
          </w:p>
        </w:tc>
        <w:tc>
          <w:tcPr>
            <w:tcW w:w="4525" w:type="dxa"/>
            <w:vMerge w:val="continue"/>
            <w:shd w:val="clear" w:color="auto" w:fill="auto"/>
            <w:vAlign w:val="center"/>
          </w:tcPr>
          <w:p w14:paraId="0BAAA28C">
            <w:pPr>
              <w:keepNext w:val="0"/>
              <w:keepLines w:val="0"/>
              <w:widowControl/>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r w14:paraId="27B8C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66" w:type="dxa"/>
            <w:vMerge w:val="restart"/>
            <w:shd w:val="clear" w:color="auto" w:fill="auto"/>
            <w:vAlign w:val="center"/>
          </w:tcPr>
          <w:p w14:paraId="1975DBA4">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02</w:t>
            </w:r>
          </w:p>
        </w:tc>
        <w:tc>
          <w:tcPr>
            <w:tcW w:w="1995" w:type="dxa"/>
            <w:shd w:val="clear" w:color="auto" w:fill="auto"/>
            <w:vAlign w:val="center"/>
          </w:tcPr>
          <w:p w14:paraId="0313A4D4">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项目负责人</w:t>
            </w:r>
          </w:p>
        </w:tc>
        <w:tc>
          <w:tcPr>
            <w:tcW w:w="884" w:type="dxa"/>
            <w:shd w:val="clear" w:color="auto" w:fill="auto"/>
            <w:vAlign w:val="center"/>
          </w:tcPr>
          <w:p w14:paraId="24E430F2">
            <w:pPr>
              <w:keepNext w:val="0"/>
              <w:keepLines w:val="0"/>
              <w:widowControl/>
              <w:suppressLineNumbers w:val="0"/>
              <w:kinsoku w:val="0"/>
              <w:autoSpaceDE w:val="0"/>
              <w:autoSpaceDN w:val="0"/>
              <w:adjustRightInd w:val="0"/>
              <w:snapToGrid w:val="0"/>
              <w:spacing w:before="69" w:beforeAutospacing="0" w:after="0" w:afterAutospacing="0"/>
              <w:ind w:left="0" w:right="0"/>
              <w:jc w:val="center"/>
              <w:textAlignment w:val="baseline"/>
              <w:rPr>
                <w:rFonts w:hint="default" w:ascii="Times New Roman" w:hAnsi="Times New Roman" w:cs="Times New Roman"/>
                <w:color w:val="auto"/>
                <w:spacing w:val="0"/>
                <w:w w:val="100"/>
                <w:kern w:val="0"/>
                <w:sz w:val="24"/>
                <w:szCs w:val="24"/>
                <w:highlight w:val="none"/>
              </w:rPr>
            </w:pPr>
            <w:r>
              <w:rPr>
                <w:rFonts w:hint="default" w:ascii="Times New Roman" w:hAnsi="Times New Roman" w:eastAsia="Arial" w:cs="Times New Roman"/>
                <w:snapToGrid w:val="0"/>
                <w:color w:val="auto"/>
                <w:spacing w:val="0"/>
                <w:w w:val="100"/>
                <w:kern w:val="0"/>
                <w:sz w:val="24"/>
                <w:szCs w:val="24"/>
                <w:highlight w:val="none"/>
                <w:lang w:val="en-US" w:eastAsia="zh-CN" w:bidi="ar"/>
              </w:rPr>
              <w:t>1</w:t>
            </w:r>
          </w:p>
        </w:tc>
        <w:tc>
          <w:tcPr>
            <w:tcW w:w="4525" w:type="dxa"/>
            <w:vMerge w:val="continue"/>
            <w:shd w:val="clear" w:color="auto" w:fill="auto"/>
            <w:vAlign w:val="center"/>
          </w:tcPr>
          <w:p w14:paraId="7A0D044A">
            <w:pPr>
              <w:keepNext w:val="0"/>
              <w:keepLines w:val="0"/>
              <w:widowControl/>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r w14:paraId="3DF6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66" w:type="dxa"/>
            <w:vMerge w:val="continue"/>
            <w:shd w:val="clear" w:color="auto" w:fill="auto"/>
            <w:vAlign w:val="center"/>
          </w:tcPr>
          <w:p w14:paraId="09D31E92">
            <w:pPr>
              <w:keepNext w:val="0"/>
              <w:keepLines w:val="0"/>
              <w:widowControl/>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c>
          <w:tcPr>
            <w:tcW w:w="1995" w:type="dxa"/>
            <w:shd w:val="clear" w:color="auto" w:fill="auto"/>
            <w:vAlign w:val="center"/>
          </w:tcPr>
          <w:p w14:paraId="529C20E7">
            <w:pPr>
              <w:pStyle w:val="10"/>
              <w:keepNext w:val="0"/>
              <w:keepLines w:val="0"/>
              <w:widowControl/>
              <w:suppressLineNumbers w:val="0"/>
              <w:kinsoku w:val="0"/>
              <w:autoSpaceDE w:val="0"/>
              <w:autoSpaceDN w:val="0"/>
              <w:adjustRightInd w:val="0"/>
              <w:snapToGrid w:val="0"/>
              <w:spacing w:before="78" w:beforeAutospacing="0" w:after="0" w:afterAutospacing="0"/>
              <w:ind w:left="0" w:right="0"/>
              <w:jc w:val="center"/>
              <w:textAlignment w:val="baseline"/>
              <w:rPr>
                <w:rFonts w:hint="eastAsia" w:ascii="宋体" w:hAnsi="宋体" w:eastAsia="宋体" w:cs="宋体"/>
                <w:color w:val="auto"/>
                <w:spacing w:val="0"/>
                <w:w w:val="100"/>
                <w:kern w:val="0"/>
                <w:sz w:val="24"/>
                <w:szCs w:val="24"/>
                <w:highlight w:val="none"/>
              </w:rPr>
            </w:pPr>
            <w:r>
              <w:rPr>
                <w:rFonts w:hint="eastAsia" w:ascii="宋体" w:hAnsi="宋体" w:eastAsia="宋体" w:cs="宋体"/>
                <w:snapToGrid/>
                <w:color w:val="auto"/>
                <w:spacing w:val="0"/>
                <w:w w:val="100"/>
                <w:kern w:val="0"/>
                <w:sz w:val="24"/>
                <w:szCs w:val="24"/>
                <w:highlight w:val="none"/>
                <w:lang w:val="en-US" w:eastAsia="zh-CN" w:bidi="ar"/>
              </w:rPr>
              <w:t>技术负责人</w:t>
            </w:r>
          </w:p>
        </w:tc>
        <w:tc>
          <w:tcPr>
            <w:tcW w:w="884" w:type="dxa"/>
            <w:shd w:val="clear" w:color="auto" w:fill="auto"/>
            <w:vAlign w:val="center"/>
          </w:tcPr>
          <w:p w14:paraId="45A45010">
            <w:pPr>
              <w:keepNext w:val="0"/>
              <w:keepLines w:val="0"/>
              <w:widowControl/>
              <w:suppressLineNumbers w:val="0"/>
              <w:kinsoku w:val="0"/>
              <w:autoSpaceDE w:val="0"/>
              <w:autoSpaceDN w:val="0"/>
              <w:adjustRightInd w:val="0"/>
              <w:snapToGrid w:val="0"/>
              <w:spacing w:before="69" w:beforeAutospacing="0" w:after="0" w:afterAutospacing="0"/>
              <w:ind w:left="0" w:right="0"/>
              <w:jc w:val="center"/>
              <w:textAlignment w:val="baseline"/>
              <w:rPr>
                <w:rFonts w:hint="eastAsia" w:ascii="Times New Roman" w:hAnsi="Times New Roman" w:eastAsia="宋体" w:cs="Times New Roman"/>
                <w:color w:val="auto"/>
                <w:spacing w:val="0"/>
                <w:w w:val="100"/>
                <w:kern w:val="0"/>
                <w:sz w:val="24"/>
                <w:szCs w:val="24"/>
                <w:highlight w:val="none"/>
              </w:rPr>
            </w:pPr>
            <w:r>
              <w:rPr>
                <w:rFonts w:hint="default" w:ascii="Times New Roman" w:hAnsi="Times New Roman" w:eastAsia="宋体" w:cs="Times New Roman"/>
                <w:snapToGrid w:val="0"/>
                <w:color w:val="auto"/>
                <w:spacing w:val="0"/>
                <w:w w:val="100"/>
                <w:kern w:val="0"/>
                <w:sz w:val="24"/>
                <w:szCs w:val="24"/>
                <w:highlight w:val="none"/>
                <w:lang w:val="en-US" w:eastAsia="zh-CN" w:bidi="ar"/>
              </w:rPr>
              <w:t>1</w:t>
            </w:r>
          </w:p>
        </w:tc>
        <w:tc>
          <w:tcPr>
            <w:tcW w:w="4525" w:type="dxa"/>
            <w:vMerge w:val="continue"/>
            <w:shd w:val="clear" w:color="auto" w:fill="auto"/>
            <w:vAlign w:val="center"/>
          </w:tcPr>
          <w:p w14:paraId="6AC60400">
            <w:pPr>
              <w:keepNext w:val="0"/>
              <w:keepLines w:val="0"/>
              <w:widowControl/>
              <w:suppressLineNumbers w:val="0"/>
              <w:spacing w:before="0" w:beforeAutospacing="0" w:after="0" w:afterAutospacing="0"/>
              <w:ind w:left="0" w:right="0"/>
              <w:rPr>
                <w:rFonts w:hint="default" w:ascii="Times New Roman" w:hAnsi="Times New Roman" w:cs="Times New Roman"/>
                <w:color w:val="auto"/>
                <w:sz w:val="20"/>
                <w:szCs w:val="20"/>
                <w:highlight w:val="none"/>
              </w:rPr>
            </w:pPr>
          </w:p>
        </w:tc>
      </w:tr>
    </w:tbl>
    <w:p w14:paraId="5B43B9C0">
      <w:pPr>
        <w:keepNext w:val="0"/>
        <w:keepLines w:val="0"/>
        <w:pageBreakBefore w:val="0"/>
        <w:widowControl/>
        <w:suppressLineNumbers w:val="0"/>
        <w:kinsoku w:val="0"/>
        <w:wordWrap/>
        <w:overflowPunct/>
        <w:topLinePunct w:val="0"/>
        <w:autoSpaceDE w:val="0"/>
        <w:autoSpaceDN w:val="0"/>
        <w:bidi w:val="0"/>
        <w:adjustRightInd w:val="0"/>
        <w:snapToGrid w:val="0"/>
        <w:spacing w:line="440" w:lineRule="exact"/>
        <w:ind w:firstLine="422" w:firstLineChars="200"/>
        <w:jc w:val="left"/>
        <w:textAlignment w:val="baseline"/>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b/>
          <w:bCs/>
          <w:color w:val="auto"/>
          <w:spacing w:val="0"/>
          <w:w w:val="100"/>
          <w:position w:val="0"/>
          <w:sz w:val="21"/>
          <w:szCs w:val="21"/>
          <w:highlight w:val="none"/>
        </w:rPr>
        <w:t>注：</w:t>
      </w:r>
      <w:r>
        <w:rPr>
          <w:rFonts w:hint="eastAsia" w:ascii="宋体" w:hAnsi="宋体" w:eastAsia="宋体" w:cs="宋体"/>
          <w:b/>
          <w:bCs/>
          <w:snapToGrid w:val="0"/>
          <w:color w:val="auto"/>
          <w:kern w:val="0"/>
          <w:sz w:val="21"/>
          <w:szCs w:val="21"/>
          <w:highlight w:val="none"/>
          <w:lang w:val="en-US" w:eastAsia="zh-CN" w:bidi="ar"/>
        </w:rPr>
        <w:t>本章正文3.5.4不采用，修改如下：</w:t>
      </w:r>
    </w:p>
    <w:p w14:paraId="0BFBE3A8">
      <w:pPr>
        <w:keepNext w:val="0"/>
        <w:keepLines w:val="0"/>
        <w:pageBreakBefore w:val="0"/>
        <w:widowControl/>
        <w:suppressLineNumbers w:val="0"/>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1、提供相应人员“资历表”应附身份证、职称资格证书和资格审查条件所要求的其他相关证书的复印件，以及投标人所属社保机构出具的拟委任的相应人员的社保缴费证明（社保缴费证明或社保的有效证明材料至少含养老保险，事业单位需提供人社部门或医疗保障部门出具的员工花名册，缴费时间为2025年8月（含）以来任意连续六个月）。</w:t>
      </w:r>
    </w:p>
    <w:p w14:paraId="6E371883">
      <w:pPr>
        <w:keepNext w:val="0"/>
        <w:keepLines w:val="0"/>
        <w:pageBreakBefore w:val="0"/>
        <w:widowControl/>
        <w:suppressLineNumbers w:val="0"/>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宋体" w:hAnsi="宋体" w:eastAsia="宋体" w:cs="宋体"/>
          <w:snapToGrid w:val="0"/>
          <w:color w:val="auto"/>
          <w:kern w:val="0"/>
          <w:sz w:val="21"/>
          <w:szCs w:val="21"/>
          <w:highlight w:val="none"/>
          <w:lang w:val="en-US" w:eastAsia="zh-CN" w:bidi="ar"/>
        </w:rPr>
      </w:pPr>
      <w:r>
        <w:rPr>
          <w:rFonts w:hint="eastAsia" w:ascii="宋体" w:hAnsi="宋体" w:eastAsia="宋体" w:cs="宋体"/>
          <w:snapToGrid w:val="0"/>
          <w:color w:val="auto"/>
          <w:kern w:val="0"/>
          <w:sz w:val="21"/>
          <w:szCs w:val="21"/>
          <w:highlight w:val="none"/>
          <w:lang w:val="en-US" w:eastAsia="zh-CN" w:bidi="ar"/>
        </w:rPr>
        <w:t>还应附交通运输部“全国公路建设市场监督管理系统”中查询到的企业“业绩信息”相关项目网页截图复印件，即包括“工程名称”“项目类型”“合同价”“技术等级”“主要设计内容”“人员履约信息”等栏目在内的项目详细信息网页截图。如在交通运输部“全国公路建设市场监督管理系统”中无法查询，但可在省级交通运输主管部门“公路建设市场信用信息管理系统”中查询的，应附省级交通运输主管部门“公路建设市场信用信息管理系统”中查询到的网页截图并注明查询路径。</w:t>
      </w:r>
      <w:r>
        <w:rPr>
          <w:rFonts w:hint="eastAsia" w:ascii="宋体" w:hAnsi="宋体" w:eastAsia="宋体" w:cs="宋体"/>
          <w:b/>
          <w:bCs/>
          <w:color w:val="auto"/>
          <w:spacing w:val="0"/>
          <w:w w:val="100"/>
          <w:position w:val="0"/>
          <w:sz w:val="21"/>
          <w:szCs w:val="21"/>
          <w:highlight w:val="none"/>
          <w:lang w:val="en-US" w:eastAsia="zh-CN"/>
        </w:rPr>
        <w:t>如上述系统均无法查询的，提供合同扫描件。</w:t>
      </w:r>
    </w:p>
    <w:p w14:paraId="6940F2F8">
      <w:pPr>
        <w:keepNext w:val="0"/>
        <w:keepLines w:val="0"/>
        <w:pageBreakBefore w:val="0"/>
        <w:widowControl/>
        <w:suppressLineNumbers w:val="0"/>
        <w:kinsoku w:val="0"/>
        <w:wordWrap/>
        <w:overflowPunct/>
        <w:topLinePunct w:val="0"/>
        <w:autoSpaceDE w:val="0"/>
        <w:autoSpaceDN w:val="0"/>
        <w:bidi w:val="0"/>
        <w:adjustRightInd w:val="0"/>
        <w:snapToGrid w:val="0"/>
        <w:spacing w:line="480" w:lineRule="exact"/>
        <w:ind w:firstLine="420"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lang w:val="en-US" w:eastAsia="zh-CN" w:bidi="ar"/>
        </w:rPr>
        <w:t>02标段如提供的为勘察设计咨询业绩的，须附相应设计咨询合同、</w:t>
      </w:r>
      <w:r>
        <w:rPr>
          <w:rFonts w:hint="eastAsia" w:ascii="宋体" w:hAnsi="宋体" w:eastAsia="宋体" w:cs="宋体"/>
          <w:b/>
          <w:bCs/>
          <w:color w:val="auto"/>
          <w:spacing w:val="0"/>
          <w:w w:val="100"/>
          <w:position w:val="0"/>
          <w:sz w:val="21"/>
          <w:szCs w:val="21"/>
          <w:highlight w:val="none"/>
          <w:lang w:val="en-US" w:eastAsia="zh-CN"/>
        </w:rPr>
        <w:t>初步设计（或施工图设计）批复文件</w:t>
      </w:r>
      <w:r>
        <w:rPr>
          <w:rFonts w:hint="eastAsia" w:ascii="宋体" w:hAnsi="宋体" w:eastAsia="宋体" w:cs="宋体"/>
          <w:snapToGrid w:val="0"/>
          <w:color w:val="auto"/>
          <w:kern w:val="0"/>
          <w:sz w:val="21"/>
          <w:szCs w:val="21"/>
          <w:highlight w:val="none"/>
          <w:lang w:val="en-US" w:eastAsia="zh-CN" w:bidi="ar"/>
        </w:rPr>
        <w:t xml:space="preserve">复印件。 </w:t>
      </w:r>
    </w:p>
    <w:p w14:paraId="0FE2AFBE">
      <w:pPr>
        <w:keepNext w:val="0"/>
        <w:keepLines w:val="0"/>
        <w:pageBreakBefore w:val="0"/>
        <w:widowControl/>
        <w:suppressLineNumbers w:val="0"/>
        <w:kinsoku w:val="0"/>
        <w:wordWrap/>
        <w:overflowPunct/>
        <w:topLinePunct w:val="0"/>
        <w:autoSpaceDE w:val="0"/>
        <w:autoSpaceDN w:val="0"/>
        <w:bidi w:val="0"/>
        <w:adjustRightInd w:val="0"/>
        <w:snapToGrid w:val="0"/>
        <w:spacing w:line="480" w:lineRule="exact"/>
        <w:ind w:firstLine="422" w:firstLineChars="200"/>
        <w:jc w:val="left"/>
        <w:textAlignment w:val="baseline"/>
        <w:rPr>
          <w:rFonts w:hint="eastAsia" w:ascii="宋体" w:hAnsi="宋体" w:eastAsia="宋体" w:cs="宋体"/>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 xml:space="preserve">如规定的业绩证明材料不能体现主要人员业绩评审要点（如设计内容、里程数、主要人员信息、初步设计和施工图设计批复时间等），投标文件中还应另行提供甲方（或业主）出具的证明材料予以明确说明。 </w:t>
      </w:r>
    </w:p>
    <w:p w14:paraId="2B148397">
      <w:pPr>
        <w:keepNext w:val="0"/>
        <w:keepLines w:val="0"/>
        <w:pageBreakBefore w:val="0"/>
        <w:widowControl/>
        <w:suppressLineNumbers w:val="0"/>
        <w:kinsoku w:val="0"/>
        <w:wordWrap/>
        <w:overflowPunct/>
        <w:topLinePunct w:val="0"/>
        <w:autoSpaceDE w:val="0"/>
        <w:autoSpaceDN w:val="0"/>
        <w:bidi w:val="0"/>
        <w:adjustRightInd w:val="0"/>
        <w:snapToGrid w:val="0"/>
        <w:spacing w:line="480" w:lineRule="exact"/>
        <w:ind w:firstLine="422" w:firstLineChars="200"/>
        <w:jc w:val="left"/>
        <w:textAlignment w:val="baseline"/>
        <w:rPr>
          <w:rFonts w:hint="eastAsia" w:ascii="宋体" w:hAnsi="宋体" w:eastAsia="宋体" w:cs="宋体"/>
          <w:b/>
          <w:bCs/>
          <w:color w:val="auto"/>
          <w:sz w:val="21"/>
          <w:szCs w:val="21"/>
          <w:highlight w:val="none"/>
        </w:rPr>
      </w:pPr>
      <w:r>
        <w:rPr>
          <w:rFonts w:hint="eastAsia" w:ascii="宋体" w:hAnsi="宋体" w:eastAsia="宋体" w:cs="宋体"/>
          <w:b/>
          <w:bCs/>
          <w:snapToGrid w:val="0"/>
          <w:color w:val="auto"/>
          <w:kern w:val="0"/>
          <w:sz w:val="21"/>
          <w:szCs w:val="21"/>
          <w:highlight w:val="none"/>
          <w:lang w:val="en-US" w:eastAsia="zh-CN" w:bidi="ar"/>
        </w:rPr>
        <w:t xml:space="preserve">3、人员业绩与企业业绩可为同一项目。 </w:t>
      </w:r>
    </w:p>
    <w:p w14:paraId="5F6066C5">
      <w:pPr>
        <w:rPr>
          <w:rFonts w:ascii="Arial"/>
          <w:color w:val="auto"/>
          <w:spacing w:val="0"/>
          <w:w w:val="100"/>
          <w:position w:val="0"/>
          <w:sz w:val="21"/>
          <w:highlight w:val="none"/>
        </w:rPr>
      </w:pPr>
      <w:bookmarkStart w:id="11" w:name="bookmark17"/>
      <w:bookmarkEnd w:id="11"/>
    </w:p>
    <w:p w14:paraId="33F92893">
      <w:pPr>
        <w:rPr>
          <w:rFonts w:ascii="Arial" w:hAnsi="Arial" w:eastAsia="Arial" w:cs="Arial"/>
          <w:color w:val="auto"/>
          <w:spacing w:val="0"/>
          <w:w w:val="100"/>
          <w:position w:val="0"/>
          <w:sz w:val="21"/>
          <w:szCs w:val="21"/>
          <w:highlight w:val="none"/>
        </w:rPr>
        <w:sectPr>
          <w:headerReference r:id="rId14" w:type="default"/>
          <w:footerReference r:id="rId15" w:type="default"/>
          <w:pgSz w:w="11900" w:h="16843"/>
          <w:pgMar w:top="1378" w:right="1417" w:bottom="1208" w:left="1417" w:header="1366" w:footer="1003" w:gutter="0"/>
          <w:pgNumType w:fmt="decimal"/>
          <w:cols w:space="0" w:num="1"/>
          <w:rtlGutter w:val="0"/>
          <w:docGrid w:linePitch="0" w:charSpace="0"/>
        </w:sectPr>
      </w:pPr>
    </w:p>
    <w:p w14:paraId="7E8572E3">
      <w:pPr>
        <w:pStyle w:val="6"/>
        <w:spacing w:before="91" w:line="233" w:lineRule="auto"/>
        <w:ind w:left="47"/>
        <w:outlineLvl w:val="1"/>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w:t>
      </w:r>
      <w:r>
        <w:rPr>
          <w:b/>
          <w:bCs/>
          <w:color w:val="auto"/>
          <w:spacing w:val="0"/>
          <w:w w:val="100"/>
          <w:position w:val="0"/>
          <w:sz w:val="28"/>
          <w:szCs w:val="28"/>
          <w:highlight w:val="none"/>
        </w:rPr>
        <w:t>总则</w:t>
      </w:r>
    </w:p>
    <w:p w14:paraId="5E37D23B">
      <w:pPr>
        <w:pStyle w:val="6"/>
        <w:spacing w:before="305" w:line="232"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1.1 </w:t>
      </w:r>
      <w:r>
        <w:rPr>
          <w:b/>
          <w:bCs/>
          <w:color w:val="auto"/>
          <w:spacing w:val="0"/>
          <w:w w:val="100"/>
          <w:position w:val="0"/>
          <w:sz w:val="24"/>
          <w:szCs w:val="24"/>
          <w:highlight w:val="none"/>
        </w:rPr>
        <w:t>项目概况</w:t>
      </w:r>
    </w:p>
    <w:p w14:paraId="0B3D003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1.1.1 根据《中华人民共和国招标投标法》《中华人民共和国招标投标法实施条例》《公路工程建设项目招标投标管理办法》等有关法律、法规和规章的规定，本招标项目已具备招标条件，现对本标段进行招标。</w:t>
      </w:r>
    </w:p>
    <w:p w14:paraId="0EABC07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1.1.2 本招标项目招标人：见投标人须知前附表。</w:t>
      </w:r>
    </w:p>
    <w:p w14:paraId="134999B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1.1.3 本标段招标代理机构：见投标人须知前附表。</w:t>
      </w:r>
    </w:p>
    <w:p w14:paraId="2D396A4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1.1.4 本招标项目名称：见投标人须知前附表。</w:t>
      </w:r>
    </w:p>
    <w:p w14:paraId="6C69B4D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1.1.5 本标段建设地点：见投标人须知前附表。</w:t>
      </w:r>
    </w:p>
    <w:p w14:paraId="267EC23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1.1.6 本标段建设规模：见投标人须知前附表。</w:t>
      </w:r>
    </w:p>
    <w:p w14:paraId="25BB780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1.1.7 本标段投资估算：见投标人须知前附表。</w:t>
      </w:r>
    </w:p>
    <w:p w14:paraId="09BFC4D1">
      <w:pPr>
        <w:pStyle w:val="6"/>
        <w:spacing w:before="269" w:line="232"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 </w:t>
      </w:r>
      <w:r>
        <w:rPr>
          <w:b/>
          <w:bCs/>
          <w:color w:val="auto"/>
          <w:spacing w:val="0"/>
          <w:w w:val="100"/>
          <w:position w:val="0"/>
          <w:sz w:val="24"/>
          <w:szCs w:val="24"/>
          <w:highlight w:val="none"/>
        </w:rPr>
        <w:t>招标项目的资金来源和落实情况</w:t>
      </w:r>
    </w:p>
    <w:p w14:paraId="37A0432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1.2.1 资金来源及比例：见投标人须知前附表。</w:t>
      </w:r>
    </w:p>
    <w:p w14:paraId="5B31704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1.2.2 资金落实情况：见投标人须知前附表。</w:t>
      </w:r>
    </w:p>
    <w:p w14:paraId="447EBC3F">
      <w:pPr>
        <w:pStyle w:val="6"/>
        <w:spacing w:before="268" w:line="232"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1.3 </w:t>
      </w:r>
      <w:r>
        <w:rPr>
          <w:b/>
          <w:bCs/>
          <w:color w:val="auto"/>
          <w:spacing w:val="0"/>
          <w:w w:val="100"/>
          <w:position w:val="0"/>
          <w:sz w:val="24"/>
          <w:szCs w:val="24"/>
          <w:highlight w:val="none"/>
        </w:rPr>
        <w:t>招标范围、勘察设计服务期限、质量要求和安全目标</w:t>
      </w:r>
    </w:p>
    <w:p w14:paraId="737B22B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1.3.1 招标范围：见投标人须知前附表。</w:t>
      </w:r>
    </w:p>
    <w:p w14:paraId="5DB6B57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1.3.2 本标段的勘察设计服务期限：见投标人须知前附表。</w:t>
      </w:r>
    </w:p>
    <w:p w14:paraId="1602121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1.3.3 本标段的质量要求：见投标人须知前附表。</w:t>
      </w:r>
    </w:p>
    <w:p w14:paraId="275D908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1.3.4 本标段的安全目标：见投标人须知前附表。</w:t>
      </w:r>
    </w:p>
    <w:p w14:paraId="2C08B36A">
      <w:pPr>
        <w:pStyle w:val="6"/>
        <w:spacing w:before="268" w:line="233"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1.4 </w:t>
      </w:r>
      <w:r>
        <w:rPr>
          <w:b/>
          <w:bCs/>
          <w:color w:val="auto"/>
          <w:spacing w:val="0"/>
          <w:w w:val="100"/>
          <w:position w:val="0"/>
          <w:sz w:val="24"/>
          <w:szCs w:val="24"/>
          <w:highlight w:val="none"/>
        </w:rPr>
        <w:t>投标人资格要求</w:t>
      </w:r>
    </w:p>
    <w:p w14:paraId="5B37B92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1.4.1 投标人应具备承担本标段勘察设计的资质条件、能力和信誉。</w:t>
      </w:r>
    </w:p>
    <w:p w14:paraId="33B1282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（1）资质要求：见投标人须知前附表；</w:t>
      </w:r>
    </w:p>
    <w:p w14:paraId="0DE7384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（2）业绩要求：见投标人须知前附表；</w:t>
      </w:r>
    </w:p>
    <w:p w14:paraId="0718280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（3）信誉要求：见投标人须知前附表；</w:t>
      </w:r>
    </w:p>
    <w:p w14:paraId="6146A91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（4）项目负责人资格：见投标人须知前附表；</w:t>
      </w:r>
    </w:p>
    <w:p w14:paraId="0FCAA43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（5）其他要求：见投标人须知前附表。</w:t>
      </w:r>
    </w:p>
    <w:p w14:paraId="6BDD00F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需要提交的相关证明材料见本章第 3.5 款的规定。</w:t>
      </w:r>
    </w:p>
    <w:p w14:paraId="1F27F9E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1.4.2 投标人须知前附表规定接受联合体投标的，联合体除应符合本章第1.4.1项和投标人须知前附表的要求外，还应遵守以下规定：</w:t>
      </w:r>
    </w:p>
    <w:p w14:paraId="3414C50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（1）联合体各方应按招标文件提供的格式签订联合体协议书，明确联合体牵头人和各</w:t>
      </w:r>
      <w:r>
        <w:rPr>
          <w:rFonts w:ascii="宋体" w:hAnsi="宋体" w:eastAsia="宋体" w:cs="宋体"/>
          <w:color w:val="auto"/>
          <w:spacing w:val="0"/>
          <w:w w:val="100"/>
          <w:position w:val="0"/>
          <w:sz w:val="21"/>
          <w:szCs w:val="21"/>
          <w:highlight w:val="none"/>
        </w:rPr>
        <w:drawing>
          <wp:anchor distT="0" distB="0" distL="0" distR="0" simplePos="0" relativeHeight="251660288" behindDoc="0" locked="0" layoutInCell="0" allowOverlap="1">
            <wp:simplePos x="0" y="0"/>
            <wp:positionH relativeFrom="page">
              <wp:posOffset>-3175</wp:posOffset>
            </wp:positionH>
            <wp:positionV relativeFrom="page">
              <wp:posOffset>-3175</wp:posOffset>
            </wp:positionV>
            <wp:extent cx="635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10"/>
                    <a:stretch>
                      <a:fillRect/>
                    </a:stretch>
                  </pic:blipFill>
                  <pic:spPr>
                    <a:xfrm>
                      <a:off x="0" y="0"/>
                      <a:ext cx="6350" cy="6350"/>
                    </a:xfrm>
                    <a:prstGeom prst="rect">
                      <a:avLst/>
                    </a:prstGeom>
                  </pic:spPr>
                </pic:pic>
              </a:graphicData>
            </a:graphic>
          </wp:anchor>
        </w:drawing>
      </w:r>
      <w:r>
        <w:rPr>
          <w:rFonts w:ascii="宋体" w:hAnsi="宋体" w:eastAsia="宋体" w:cs="宋体"/>
          <w:color w:val="auto"/>
          <w:spacing w:val="0"/>
          <w:w w:val="100"/>
          <w:position w:val="0"/>
          <w:sz w:val="21"/>
          <w:szCs w:val="21"/>
          <w:highlight w:val="none"/>
        </w:rPr>
        <w:t>方权利义务，并承诺就中标项目向招标人承担连带责任；</w:t>
      </w:r>
    </w:p>
    <w:p w14:paraId="254B8D5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（2）由同一专业的单位组成的联合体，按照资质等级较低的单位确定资质等级；</w:t>
      </w:r>
    </w:p>
    <w:p w14:paraId="4FF7F80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（3）联合体各方不得再以自己名义单独或参加其他联合体在同一标段中投标；</w:t>
      </w:r>
    </w:p>
    <w:p w14:paraId="55DCA21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099C4FB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（5）尽管委任了联合体牵头人，但联合体各成员在投标、签订合同与履行合同过程中，仍负有连带的和各自的法律责任。</w:t>
      </w:r>
    </w:p>
    <w:p w14:paraId="71DD260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1.4.3 投标人（包括联合体各成员）不得与本标段相关单位存在下列关联</w:t>
      </w:r>
      <w:r>
        <w:rPr>
          <w:rFonts w:hint="eastAsia" w:ascii="宋体" w:hAnsi="宋体" w:eastAsia="宋体" w:cs="宋体"/>
          <w:color w:val="auto"/>
          <w:spacing w:val="0"/>
          <w:w w:val="100"/>
          <w:position w:val="0"/>
          <w:sz w:val="21"/>
          <w:szCs w:val="21"/>
          <w:highlight w:val="none"/>
          <w:lang w:val="en-US" w:eastAsia="zh-CN"/>
        </w:rPr>
        <w:t>情形</w:t>
      </w:r>
      <w:r>
        <w:rPr>
          <w:rFonts w:ascii="宋体" w:hAnsi="宋体" w:eastAsia="宋体" w:cs="宋体"/>
          <w:color w:val="auto"/>
          <w:spacing w:val="0"/>
          <w:w w:val="100"/>
          <w:position w:val="0"/>
          <w:sz w:val="21"/>
          <w:szCs w:val="21"/>
          <w:highlight w:val="none"/>
        </w:rPr>
        <w:t>：</w:t>
      </w:r>
    </w:p>
    <w:p w14:paraId="4AEDF1A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（1）为招标人不具有独立法人资格的附属机构（单位）；</w:t>
      </w:r>
    </w:p>
    <w:p w14:paraId="6623AB7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（2）与招标人存在利害关系且可能影响招标公正性；</w:t>
      </w:r>
    </w:p>
    <w:p w14:paraId="755B94F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（3）与本标段的其他投标人同为一个单位负责人；</w:t>
      </w:r>
    </w:p>
    <w:p w14:paraId="25877F8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（4）与本标段的其他投标人存在控股、管理关系；</w:t>
      </w:r>
    </w:p>
    <w:p w14:paraId="7696278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（5）为本标段的代建人；</w:t>
      </w:r>
    </w:p>
    <w:p w14:paraId="3D314FA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（6）为本标段的招标代理机构；</w:t>
      </w:r>
    </w:p>
    <w:p w14:paraId="71E2E97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（7）与本标段的代建人或招标代理机构同为一个法定代表人；</w:t>
      </w:r>
    </w:p>
    <w:p w14:paraId="7BA6EDF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（8）与本标段的代建人或招标代理机构存在控股或参股关系；</w:t>
      </w:r>
    </w:p>
    <w:p w14:paraId="552A818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（9）法律法规或投标人须知前附表规定的其他情形。</w:t>
      </w:r>
    </w:p>
    <w:p w14:paraId="648F055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1.4.4 投标人（包括联合体各成员）不得存在下列不良状况或不良信用记录：</w:t>
      </w:r>
    </w:p>
    <w:p w14:paraId="2178037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w:t>
      </w:r>
      <w:r>
        <w:rPr>
          <w:rFonts w:hint="eastAsia" w:ascii="宋体" w:hAnsi="宋体" w:eastAsia="宋体" w:cs="宋体"/>
          <w:color w:val="auto"/>
          <w:spacing w:val="0"/>
          <w:w w:val="100"/>
          <w:position w:val="0"/>
          <w:sz w:val="21"/>
          <w:szCs w:val="21"/>
          <w:highlight w:val="none"/>
          <w:lang w:val="en-US" w:eastAsia="zh-CN"/>
        </w:rPr>
        <w:t>被省级及以上交通运输主管部门取消招标项目所在地的投标资格且处于有效期内</w:t>
      </w:r>
      <w:r>
        <w:rPr>
          <w:rFonts w:ascii="宋体" w:hAnsi="宋体" w:eastAsia="宋体" w:cs="宋体"/>
          <w:color w:val="auto"/>
          <w:spacing w:val="0"/>
          <w:w w:val="100"/>
          <w:position w:val="0"/>
          <w:sz w:val="21"/>
          <w:szCs w:val="21"/>
          <w:highlight w:val="none"/>
        </w:rPr>
        <w:t>；</w:t>
      </w:r>
    </w:p>
    <w:p w14:paraId="58EF7AF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（2）被责令停业，暂扣或吊销执照，或吊销资质证书；</w:t>
      </w:r>
    </w:p>
    <w:p w14:paraId="3059E27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（3）进入清算程序，或被宣告破产，或其他丧失履约能力的情形；</w:t>
      </w:r>
    </w:p>
    <w:p w14:paraId="56D4CBD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w:t>
      </w:r>
      <w:r>
        <w:rPr>
          <w:rFonts w:hint="eastAsia" w:ascii="宋体" w:hAnsi="宋体" w:eastAsia="宋体" w:cs="宋体"/>
          <w:color w:val="auto"/>
          <w:spacing w:val="0"/>
          <w:w w:val="100"/>
          <w:position w:val="0"/>
          <w:sz w:val="21"/>
          <w:szCs w:val="21"/>
          <w:highlight w:val="none"/>
          <w:lang w:val="en-US" w:eastAsia="zh-CN"/>
        </w:rPr>
        <w:t>在国家企业信用信息公示系统（</w:t>
      </w:r>
      <w:r>
        <w:rPr>
          <w:rFonts w:hint="default" w:ascii="宋体" w:hAnsi="宋体" w:eastAsia="宋体" w:cs="宋体"/>
          <w:color w:val="auto"/>
          <w:spacing w:val="0"/>
          <w:w w:val="100"/>
          <w:position w:val="0"/>
          <w:sz w:val="21"/>
          <w:szCs w:val="21"/>
          <w:highlight w:val="none"/>
          <w:lang w:val="en-US" w:eastAsia="zh-CN"/>
        </w:rPr>
        <w:t>http://www.gsxt.gov.cn/</w:t>
      </w:r>
      <w:r>
        <w:rPr>
          <w:rFonts w:hint="eastAsia" w:ascii="宋体" w:hAnsi="宋体" w:eastAsia="宋体" w:cs="宋体"/>
          <w:color w:val="auto"/>
          <w:spacing w:val="0"/>
          <w:w w:val="100"/>
          <w:position w:val="0"/>
          <w:sz w:val="21"/>
          <w:szCs w:val="21"/>
          <w:highlight w:val="none"/>
          <w:lang w:val="en-US" w:eastAsia="zh-CN"/>
        </w:rPr>
        <w:t>）中被列入严重违法失信企业名单</w:t>
      </w:r>
      <w:r>
        <w:rPr>
          <w:rFonts w:ascii="宋体" w:hAnsi="宋体" w:eastAsia="宋体" w:cs="宋体"/>
          <w:color w:val="auto"/>
          <w:spacing w:val="0"/>
          <w:w w:val="100"/>
          <w:position w:val="0"/>
          <w:sz w:val="21"/>
          <w:szCs w:val="21"/>
          <w:highlight w:val="none"/>
        </w:rPr>
        <w:t>；</w:t>
      </w:r>
    </w:p>
    <w:p w14:paraId="02436FB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（5）</w:t>
      </w:r>
      <w:r>
        <w:rPr>
          <w:rFonts w:hint="eastAsia" w:ascii="宋体" w:hAnsi="宋体" w:eastAsia="宋体" w:cs="宋体"/>
          <w:color w:val="auto"/>
          <w:spacing w:val="0"/>
          <w:w w:val="100"/>
          <w:position w:val="0"/>
          <w:sz w:val="21"/>
          <w:szCs w:val="21"/>
          <w:highlight w:val="none"/>
          <w:lang w:val="en-US" w:eastAsia="zh-CN"/>
        </w:rPr>
        <w:t>在“信用中国”网站（</w:t>
      </w:r>
      <w:r>
        <w:rPr>
          <w:rFonts w:hint="default" w:ascii="宋体" w:hAnsi="宋体" w:eastAsia="宋体" w:cs="宋体"/>
          <w:color w:val="auto"/>
          <w:spacing w:val="0"/>
          <w:w w:val="100"/>
          <w:position w:val="0"/>
          <w:sz w:val="21"/>
          <w:szCs w:val="21"/>
          <w:highlight w:val="none"/>
          <w:lang w:val="en-US" w:eastAsia="zh-CN"/>
        </w:rPr>
        <w:t>http://www.creditchina.gov.cn/</w:t>
      </w:r>
      <w:r>
        <w:rPr>
          <w:rFonts w:hint="eastAsia" w:ascii="宋体" w:hAnsi="宋体" w:eastAsia="宋体" w:cs="宋体"/>
          <w:color w:val="auto"/>
          <w:spacing w:val="0"/>
          <w:w w:val="100"/>
          <w:position w:val="0"/>
          <w:sz w:val="21"/>
          <w:szCs w:val="21"/>
          <w:highlight w:val="none"/>
          <w:lang w:val="en-US" w:eastAsia="zh-CN"/>
        </w:rPr>
        <w:t>）中被列入失信被执行人名单</w:t>
      </w:r>
      <w:r>
        <w:rPr>
          <w:rFonts w:ascii="宋体" w:hAnsi="宋体" w:eastAsia="宋体" w:cs="宋体"/>
          <w:color w:val="auto"/>
          <w:spacing w:val="0"/>
          <w:w w:val="100"/>
          <w:position w:val="0"/>
          <w:sz w:val="21"/>
          <w:szCs w:val="21"/>
          <w:highlight w:val="none"/>
        </w:rPr>
        <w:t>；</w:t>
      </w:r>
    </w:p>
    <w:p w14:paraId="1F4CF5D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（6）</w:t>
      </w:r>
      <w:r>
        <w:rPr>
          <w:rFonts w:hint="eastAsia" w:ascii="宋体" w:hAnsi="宋体" w:eastAsia="宋体" w:cs="宋体"/>
          <w:color w:val="auto"/>
          <w:spacing w:val="0"/>
          <w:w w:val="100"/>
          <w:position w:val="0"/>
          <w:sz w:val="21"/>
          <w:szCs w:val="21"/>
          <w:highlight w:val="none"/>
          <w:lang w:val="en-US" w:eastAsia="zh-CN"/>
        </w:rPr>
        <w:t>投标人或其法定代表人、拟委任的项目负责人在近三年内有行贿犯罪行为的（行贿犯罪行为的认定以检察机关职务犯罪预防部门出具的查询结果为准）</w:t>
      </w:r>
      <w:r>
        <w:rPr>
          <w:rFonts w:ascii="宋体" w:hAnsi="宋体" w:eastAsia="宋体" w:cs="宋体"/>
          <w:color w:val="auto"/>
          <w:spacing w:val="0"/>
          <w:w w:val="100"/>
          <w:position w:val="0"/>
          <w:sz w:val="21"/>
          <w:szCs w:val="21"/>
          <w:highlight w:val="none"/>
        </w:rPr>
        <w:t>；</w:t>
      </w:r>
    </w:p>
    <w:p w14:paraId="49FC269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（7）法律法规或投标人须知前附表规定的其他情形。</w:t>
      </w:r>
    </w:p>
    <w:p w14:paraId="17CFC94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hint="default" w:ascii="宋体" w:hAnsi="宋体" w:eastAsia="宋体" w:cs="宋体"/>
          <w:color w:val="auto"/>
          <w:spacing w:val="0"/>
          <w:w w:val="100"/>
          <w:position w:val="0"/>
          <w:sz w:val="21"/>
          <w:szCs w:val="21"/>
          <w:highlight w:val="none"/>
          <w:lang w:val="en-US" w:eastAsia="zh-CN"/>
        </w:rPr>
        <w:t xml:space="preserve">1.4.5 </w:t>
      </w:r>
      <w:r>
        <w:rPr>
          <w:rFonts w:hint="eastAsia" w:ascii="宋体" w:hAnsi="宋体" w:eastAsia="宋体" w:cs="宋体"/>
          <w:color w:val="auto"/>
          <w:spacing w:val="0"/>
          <w:w w:val="100"/>
          <w:position w:val="0"/>
          <w:sz w:val="21"/>
          <w:szCs w:val="21"/>
          <w:highlight w:val="none"/>
          <w:lang w:val="en-US" w:eastAsia="zh-CN"/>
        </w:rPr>
        <w:t>投标人（包括联合体各成员）应进入交通运输部“全国公路建设市场监督管理系统（</w:t>
      </w:r>
      <w:r>
        <w:rPr>
          <w:rFonts w:hint="default" w:ascii="宋体" w:hAnsi="宋体" w:eastAsia="宋体" w:cs="宋体"/>
          <w:color w:val="auto"/>
          <w:spacing w:val="0"/>
          <w:w w:val="100"/>
          <w:position w:val="0"/>
          <w:sz w:val="21"/>
          <w:szCs w:val="21"/>
          <w:highlight w:val="none"/>
          <w:lang w:val="en-US" w:eastAsia="zh-CN"/>
        </w:rPr>
        <w:t>https://hwdms.mot.gov.cn/BMWebSite/</w:t>
      </w:r>
      <w:r>
        <w:rPr>
          <w:rFonts w:hint="eastAsia" w:ascii="宋体" w:hAnsi="宋体" w:eastAsia="宋体" w:cs="宋体"/>
          <w:color w:val="auto"/>
          <w:spacing w:val="0"/>
          <w:w w:val="100"/>
          <w:position w:val="0"/>
          <w:sz w:val="21"/>
          <w:szCs w:val="21"/>
          <w:highlight w:val="none"/>
          <w:lang w:val="en-US" w:eastAsia="zh-CN"/>
        </w:rPr>
        <w:t>）”中的公路工程设计资质企业名录，且投标人名称和资质与该名录中的相应企业名称和资质完全一致。投标人不满足本项规定条件的，将被否决投标。</w:t>
      </w:r>
    </w:p>
    <w:p w14:paraId="6CD6B392">
      <w:pPr>
        <w:pStyle w:val="6"/>
        <w:spacing w:before="269" w:line="233"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1.5 </w:t>
      </w:r>
      <w:r>
        <w:rPr>
          <w:b/>
          <w:bCs/>
          <w:color w:val="auto"/>
          <w:spacing w:val="0"/>
          <w:w w:val="100"/>
          <w:position w:val="0"/>
          <w:sz w:val="24"/>
          <w:szCs w:val="24"/>
          <w:highlight w:val="none"/>
        </w:rPr>
        <w:t>费用承担</w:t>
      </w:r>
    </w:p>
    <w:p w14:paraId="0147EC5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投标人准备和参加投标活动发生的费用自理。</w:t>
      </w:r>
    </w:p>
    <w:p w14:paraId="59BA302E">
      <w:pPr>
        <w:pStyle w:val="6"/>
        <w:spacing w:before="283" w:line="232"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1.6 </w:t>
      </w:r>
      <w:r>
        <w:rPr>
          <w:b/>
          <w:bCs/>
          <w:color w:val="auto"/>
          <w:spacing w:val="0"/>
          <w:w w:val="100"/>
          <w:position w:val="0"/>
          <w:sz w:val="24"/>
          <w:szCs w:val="24"/>
          <w:highlight w:val="none"/>
        </w:rPr>
        <w:t>保密</w:t>
      </w:r>
    </w:p>
    <w:p w14:paraId="2C2ACEC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参与招标投标活动的各方应对招标文件和投标文件中的商业和技术等秘密保密，否则应承担相应的法律责任。</w:t>
      </w:r>
    </w:p>
    <w:p w14:paraId="2FC3C6CA">
      <w:pPr>
        <w:pStyle w:val="6"/>
        <w:spacing w:before="121" w:line="233"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1.7 </w:t>
      </w:r>
      <w:r>
        <w:rPr>
          <w:b/>
          <w:bCs/>
          <w:color w:val="auto"/>
          <w:spacing w:val="0"/>
          <w:w w:val="100"/>
          <w:position w:val="0"/>
          <w:sz w:val="24"/>
          <w:szCs w:val="24"/>
          <w:highlight w:val="none"/>
        </w:rPr>
        <w:t>语言文字</w:t>
      </w:r>
    </w:p>
    <w:p w14:paraId="6ECFC65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招标投标文件使用的语言文字为中文。专用术语使用外文的，应附有中文注释。</w:t>
      </w:r>
    </w:p>
    <w:p w14:paraId="125B67B2">
      <w:pPr>
        <w:pStyle w:val="6"/>
        <w:spacing w:before="285" w:line="233"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1.8 </w:t>
      </w:r>
      <w:r>
        <w:rPr>
          <w:b/>
          <w:bCs/>
          <w:color w:val="auto"/>
          <w:spacing w:val="0"/>
          <w:w w:val="100"/>
          <w:position w:val="0"/>
          <w:sz w:val="24"/>
          <w:szCs w:val="24"/>
          <w:highlight w:val="none"/>
        </w:rPr>
        <w:t>计量单位</w:t>
      </w:r>
    </w:p>
    <w:p w14:paraId="7299E68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所有计量均采用中华人民共和国法定计量单位。</w:t>
      </w:r>
    </w:p>
    <w:p w14:paraId="70E9BC61">
      <w:pPr>
        <w:pStyle w:val="6"/>
        <w:spacing w:before="284" w:line="233"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1.9 </w:t>
      </w:r>
      <w:r>
        <w:rPr>
          <w:b/>
          <w:bCs/>
          <w:color w:val="auto"/>
          <w:spacing w:val="0"/>
          <w:w w:val="100"/>
          <w:position w:val="0"/>
          <w:sz w:val="24"/>
          <w:szCs w:val="24"/>
          <w:highlight w:val="none"/>
        </w:rPr>
        <w:t>踏勘现场</w:t>
      </w:r>
    </w:p>
    <w:p w14:paraId="67DD87C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1.9.1 第一章“招标公告”，或“投标邀请书”规定组织踏勘现场的，招标人按规定的时间、地点组织投标人踏勘项目现场。部分投标人未按时参加踏勘现场的，不影响踏勘现场的正常进行。招标人不得组织单个或部分投标人踏勘项目现场。</w:t>
      </w:r>
    </w:p>
    <w:p w14:paraId="5957474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1.9.2 投标人踏勘现场发生的费用自理。</w:t>
      </w:r>
    </w:p>
    <w:p w14:paraId="397F0C8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1.9.3 除招标人的原因外，投标人自行负责在踏勘现场中所发生的人员伤亡和财产损失。</w:t>
      </w:r>
    </w:p>
    <w:p w14:paraId="204CE5F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1.9.4 招标人在踏勘现场中介绍的工程场地和相关的周边环境情况，供投标人在编制投标文件时参考，招标人不对投标人据此作出的判断和决策负责。</w:t>
      </w:r>
    </w:p>
    <w:p w14:paraId="338B6B2F">
      <w:pPr>
        <w:pStyle w:val="6"/>
        <w:spacing w:before="283" w:line="233"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1.10 </w:t>
      </w:r>
      <w:r>
        <w:rPr>
          <w:b/>
          <w:bCs/>
          <w:color w:val="auto"/>
          <w:spacing w:val="0"/>
          <w:w w:val="100"/>
          <w:position w:val="0"/>
          <w:sz w:val="24"/>
          <w:szCs w:val="24"/>
          <w:highlight w:val="none"/>
        </w:rPr>
        <w:t>投标预备会</w:t>
      </w:r>
    </w:p>
    <w:p w14:paraId="795C64F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1.10.1 第一章“招标公告 ”或“投标邀请书 ”规定召开投标预备会的，招标人按规定的时间和地点召开投标预备会，澄清投标人提出的问题。</w:t>
      </w:r>
    </w:p>
    <w:p w14:paraId="3E1E393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1.10.2 投标人应按投标人须知前附表规定的时间和形式将提出的问题送达招标人，以便招标人在会议期间澄清。</w:t>
      </w:r>
    </w:p>
    <w:p w14:paraId="48103C6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1.10.3 投标预备会后，招标人将对投标人所提问题的澄清，以本章第 2.2 款规定的形式通知所有购买招标文件的投标人。该澄清内容为招标文件的组成部分。</w:t>
      </w:r>
    </w:p>
    <w:p w14:paraId="4472251D">
      <w:pPr>
        <w:pStyle w:val="6"/>
        <w:spacing w:before="284" w:line="233"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1.11 </w:t>
      </w:r>
      <w:r>
        <w:rPr>
          <w:b/>
          <w:bCs/>
          <w:color w:val="auto"/>
          <w:spacing w:val="0"/>
          <w:w w:val="100"/>
          <w:position w:val="0"/>
          <w:sz w:val="24"/>
          <w:szCs w:val="24"/>
          <w:highlight w:val="none"/>
        </w:rPr>
        <w:t>分包</w:t>
      </w:r>
    </w:p>
    <w:p w14:paraId="6A8C14D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1.11.1 投标人拟在中标后将中标项目的非主体、非关键性勘察设计工作进行分包的，应符合以下规定：</w:t>
      </w:r>
    </w:p>
    <w:p w14:paraId="44DEC29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（1）分包内容要求：允许分包的范围仅限于工程设计中跨专业或有特殊要求的勘察、设计工作。招标人允许分包或不允许分包的工程（如有）应在投标人须知前附表中载明。</w:t>
      </w:r>
    </w:p>
    <w:p w14:paraId="23AE2FE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（2）接受分包的第三人资格要求：分包人的资格能力应与其分包工程的标准和规模相适应，且具备投标人须知前附表中规定的资格条件。</w:t>
      </w:r>
    </w:p>
    <w:p w14:paraId="1557761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（3）其他要求：投标人如有分包计划，应按第六章“投标文件格式”的要求填写“拟分包项目情况表”，明确拟分包的工程及规模，且投标人中标后的分包应满足合同条款第4.3 款的相关要求。</w:t>
      </w:r>
    </w:p>
    <w:p w14:paraId="5AFCD09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1.11.2 中标人不得向他人转让中标项目，接受分包的人不得再次分包。中标人应就分包项目向招标人负责，接受分包的人就分包项目承担连带责任。</w:t>
      </w:r>
    </w:p>
    <w:p w14:paraId="15E2AD64">
      <w:pPr>
        <w:pStyle w:val="6"/>
        <w:spacing w:before="148" w:line="233" w:lineRule="auto"/>
        <w:ind w:left="4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1.12 </w:t>
      </w:r>
      <w:r>
        <w:rPr>
          <w:b/>
          <w:bCs/>
          <w:color w:val="auto"/>
          <w:spacing w:val="0"/>
          <w:w w:val="100"/>
          <w:position w:val="0"/>
          <w:sz w:val="24"/>
          <w:szCs w:val="24"/>
          <w:highlight w:val="none"/>
        </w:rPr>
        <w:t>响应和偏差</w:t>
      </w:r>
    </w:p>
    <w:p w14:paraId="035115A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1.12.1 投标文件偏离招标文件某些要求，视为投标文件存在偏差。偏差包括重大偏差和细微偏差。</w:t>
      </w:r>
    </w:p>
    <w:p w14:paraId="35E09C6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1.12.2 投标文件应对招标文件的实质性要求和条件作出满足性或更有利于招标人的响应，否则，视为投标文件存在重大偏差，投标人的投标将被否决。</w:t>
      </w:r>
    </w:p>
    <w:p w14:paraId="0F3F9DB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投标文件存在第三章“评标办法”中所列任一否决投标情形的，均属于存在重大偏差。</w:t>
      </w:r>
    </w:p>
    <w:p w14:paraId="2B67BD7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1.12.3 投标文件中的下列偏差为细微偏差：</w:t>
      </w:r>
    </w:p>
    <w:p w14:paraId="667742F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（1）在按照第三章“评标办法 ”的规定对投标价进行算术性错误修正后，最终投标报价未超过最高投标限价（如有） 的情况下，出现第三章“评标办法”规定的算术性错误；</w:t>
      </w:r>
    </w:p>
    <w:p w14:paraId="6FD5549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（2）技术建议书不够完善；</w:t>
      </w:r>
    </w:p>
    <w:p w14:paraId="31089E9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（3）投标文件页码不连续、采用活页夹装订、个别文字有遗漏错误等不影响投标文件实质性内容的偏差。</w:t>
      </w:r>
    </w:p>
    <w:p w14:paraId="43BAA25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1.12.4 评标委员会对投标文件中的细微偏差按如下规定处理：</w:t>
      </w:r>
    </w:p>
    <w:p w14:paraId="5873DE0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（1）对于本章第 1.12.3 项（1）目所述的细微偏差，按照第三章“评标办法”的规定予以修正并要求投标人进行澄清；</w:t>
      </w:r>
    </w:p>
    <w:p w14:paraId="5159864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（2）对于本章第1.12.3 项（2）、（3）目所述的细微偏差，可在相关评分因素的评分中酌情扣分。</w:t>
      </w:r>
    </w:p>
    <w:p w14:paraId="13CD9F4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1.12.5 投标人应根据招标文件的要求提供技术建议书等内容以对招标文件作出响应。</w:t>
      </w:r>
    </w:p>
    <w:p w14:paraId="44769ED9">
      <w:pPr>
        <w:pStyle w:val="6"/>
        <w:spacing w:before="274" w:line="233" w:lineRule="auto"/>
        <w:ind w:left="35"/>
        <w:outlineLvl w:val="1"/>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2.</w:t>
      </w:r>
      <w:r>
        <w:rPr>
          <w:b/>
          <w:bCs/>
          <w:color w:val="auto"/>
          <w:spacing w:val="0"/>
          <w:w w:val="100"/>
          <w:position w:val="0"/>
          <w:sz w:val="28"/>
          <w:szCs w:val="28"/>
          <w:highlight w:val="none"/>
        </w:rPr>
        <w:t>招标文件</w:t>
      </w:r>
    </w:p>
    <w:p w14:paraId="30386F36">
      <w:pPr>
        <w:pStyle w:val="6"/>
        <w:spacing w:before="306" w:line="233" w:lineRule="auto"/>
        <w:ind w:left="3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2.1 </w:t>
      </w:r>
      <w:r>
        <w:rPr>
          <w:b/>
          <w:bCs/>
          <w:color w:val="auto"/>
          <w:spacing w:val="0"/>
          <w:w w:val="100"/>
          <w:position w:val="0"/>
          <w:sz w:val="24"/>
          <w:szCs w:val="24"/>
          <w:highlight w:val="none"/>
        </w:rPr>
        <w:t>招标文件的组成</w:t>
      </w:r>
    </w:p>
    <w:p w14:paraId="14AE874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本招标文件包括：</w:t>
      </w:r>
    </w:p>
    <w:p w14:paraId="51DD1CC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（1）招标公告（或投标邀请书）；</w:t>
      </w:r>
    </w:p>
    <w:p w14:paraId="3096A77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（2）投标人须知；</w:t>
      </w:r>
    </w:p>
    <w:p w14:paraId="07B3E4D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（3）评标办法；</w:t>
      </w:r>
    </w:p>
    <w:p w14:paraId="1B870A3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（4）合同条款及格式；</w:t>
      </w:r>
    </w:p>
    <w:p w14:paraId="58BCE3E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（5）发包人要求；</w:t>
      </w:r>
    </w:p>
    <w:p w14:paraId="00C492C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（6）投标文件格式；</w:t>
      </w:r>
    </w:p>
    <w:p w14:paraId="1296A0C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（7）投标人须知前附表规定的其他资料。</w:t>
      </w:r>
    </w:p>
    <w:p w14:paraId="11F9A46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根据本章第1.10款、第2.2款和第2.3款对招标文件所作的澄清、修改，构成招标文件的组成部分。</w:t>
      </w:r>
    </w:p>
    <w:p w14:paraId="0ABFEAB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当招标文件、招标文件的澄清或修改等在同一内容的表述上不一致时，以最后发出的书面文件为准。</w:t>
      </w:r>
    </w:p>
    <w:p w14:paraId="6939F551">
      <w:pPr>
        <w:pStyle w:val="6"/>
        <w:spacing w:before="123" w:line="233" w:lineRule="auto"/>
        <w:ind w:left="34"/>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2.2 </w:t>
      </w:r>
      <w:r>
        <w:rPr>
          <w:b/>
          <w:bCs/>
          <w:color w:val="auto"/>
          <w:spacing w:val="0"/>
          <w:w w:val="100"/>
          <w:position w:val="0"/>
          <w:sz w:val="24"/>
          <w:szCs w:val="24"/>
          <w:highlight w:val="none"/>
        </w:rPr>
        <w:t>招标文件的澄清</w:t>
      </w:r>
    </w:p>
    <w:p w14:paraId="13398E6C">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5B720952">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2.2.2 招标文件的澄清以投标人须知前附表规定的形式发给所有购买招标文件的投标人，但不指明澄清问题的来源。澄清发出的时间距本章第 4.2.1 项规定的投标截止时间不足15 日，且澄清内容可能影响投标文件编制的，将相应延长投标截止时间。</w:t>
      </w:r>
    </w:p>
    <w:p w14:paraId="4760827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 xml:space="preserve">2.2.3 </w:t>
      </w:r>
      <w:r>
        <w:rPr>
          <w:rFonts w:hint="eastAsia" w:ascii="宋体" w:hAnsi="宋体" w:eastAsia="宋体" w:cs="宋体"/>
          <w:color w:val="auto"/>
          <w:spacing w:val="0"/>
          <w:w w:val="100"/>
          <w:position w:val="0"/>
          <w:sz w:val="21"/>
          <w:szCs w:val="21"/>
          <w:highlight w:val="none"/>
          <w:lang w:val="en-US" w:eastAsia="zh-CN"/>
        </w:rPr>
        <w:t>招标文件澄清发出的同时，“电子交易平台”以手机短信方式提醒投标人登录平台查看。投标人应注意及时浏览网上发出的澄清，因投标人自身原因未及时获知澄清内容而导致的任何后果将由投标人自行承担</w:t>
      </w:r>
      <w:r>
        <w:rPr>
          <w:rFonts w:ascii="宋体" w:hAnsi="宋体" w:eastAsia="宋体" w:cs="宋体"/>
          <w:color w:val="auto"/>
          <w:spacing w:val="0"/>
          <w:w w:val="100"/>
          <w:position w:val="0"/>
          <w:sz w:val="21"/>
          <w:szCs w:val="21"/>
          <w:highlight w:val="none"/>
        </w:rPr>
        <w:t>。</w:t>
      </w:r>
    </w:p>
    <w:p w14:paraId="5C8D41A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2.2.4 除非招标人认为确有必要答复，否则，招标人有权拒绝回复投标人在本章第2.2.1项规定的时间后提出的任何澄清要求。</w:t>
      </w:r>
    </w:p>
    <w:p w14:paraId="1ADD7529">
      <w:pPr>
        <w:pStyle w:val="6"/>
        <w:spacing w:before="123" w:line="233" w:lineRule="auto"/>
        <w:ind w:left="34"/>
        <w:outlineLvl w:val="2"/>
        <w:rPr>
          <w:rFonts w:ascii="Times New Roman" w:hAnsi="Times New Roman" w:eastAsia="Times New Roman" w:cs="Times New Roman"/>
          <w:b/>
          <w:bCs/>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2.3 招标文件的修改</w:t>
      </w:r>
    </w:p>
    <w:p w14:paraId="152736E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lang w:val="en-US" w:eastAsia="en-US"/>
        </w:rPr>
      </w:pPr>
      <w:r>
        <w:rPr>
          <w:rFonts w:ascii="宋体" w:hAnsi="宋体" w:eastAsia="宋体" w:cs="宋体"/>
          <w:color w:val="auto"/>
          <w:spacing w:val="0"/>
          <w:w w:val="100"/>
          <w:position w:val="0"/>
          <w:sz w:val="21"/>
          <w:szCs w:val="21"/>
          <w:highlight w:val="none"/>
          <w:lang w:val="en-US" w:eastAsia="en-US"/>
        </w:rPr>
        <w:t>2.3.1 招标人以投标人须知前附表规定的形式修改招标文件，并通知所有已购买招标文件的投标人。修改招标文件的时间距本章第4.2.1项规定的投标截止时间不足15日，且修改内容可能影响投标文件编制的，将相应延长投标截止时间。</w:t>
      </w:r>
    </w:p>
    <w:p w14:paraId="76075FF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 xml:space="preserve">2.3.2 </w:t>
      </w:r>
      <w:r>
        <w:rPr>
          <w:rFonts w:hint="eastAsia" w:ascii="宋体" w:hAnsi="宋体" w:eastAsia="宋体" w:cs="宋体"/>
          <w:color w:val="auto"/>
          <w:spacing w:val="0"/>
          <w:w w:val="100"/>
          <w:position w:val="0"/>
          <w:sz w:val="21"/>
          <w:szCs w:val="21"/>
          <w:highlight w:val="none"/>
          <w:lang w:val="en-US" w:eastAsia="zh-CN"/>
        </w:rPr>
        <w:t>招标文件修改发出的同时，“电子交易平台”以手机短信方式提醒投标人登录平台查看。投标人应注意及时浏览网上发出的修改，因投标人自身原因未及时获知修改内容而导致的任何后果将由投标人自行承担</w:t>
      </w:r>
      <w:r>
        <w:rPr>
          <w:rFonts w:ascii="宋体" w:hAnsi="宋体" w:eastAsia="宋体" w:cs="宋体"/>
          <w:color w:val="auto"/>
          <w:spacing w:val="0"/>
          <w:w w:val="100"/>
          <w:position w:val="0"/>
          <w:sz w:val="21"/>
          <w:szCs w:val="21"/>
          <w:highlight w:val="none"/>
        </w:rPr>
        <w:t>。</w:t>
      </w:r>
    </w:p>
    <w:p w14:paraId="72A67A2C">
      <w:pPr>
        <w:pStyle w:val="6"/>
        <w:spacing w:before="123" w:line="233" w:lineRule="auto"/>
        <w:ind w:left="34"/>
        <w:outlineLvl w:val="2"/>
        <w:rPr>
          <w:rFonts w:ascii="Times New Roman" w:hAnsi="Times New Roman" w:eastAsia="Times New Roman" w:cs="Times New Roman"/>
          <w:b/>
          <w:bCs/>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2.4 招标文件的异议</w:t>
      </w:r>
    </w:p>
    <w:p w14:paraId="0E39909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投标人或其他利害关系人对招标文件有异议的，应在投标截止时间</w:t>
      </w:r>
      <w:r>
        <w:rPr>
          <w:rFonts w:hint="default" w:ascii="宋体" w:hAnsi="宋体" w:eastAsia="宋体" w:cs="宋体"/>
          <w:color w:val="auto"/>
          <w:spacing w:val="0"/>
          <w:w w:val="100"/>
          <w:position w:val="0"/>
          <w:sz w:val="21"/>
          <w:szCs w:val="21"/>
          <w:highlight w:val="none"/>
          <w:lang w:val="en-US" w:eastAsia="zh-CN"/>
        </w:rPr>
        <w:t>10</w:t>
      </w:r>
      <w:r>
        <w:rPr>
          <w:rFonts w:hint="eastAsia" w:ascii="宋体" w:hAnsi="宋体" w:eastAsia="宋体" w:cs="宋体"/>
          <w:color w:val="auto"/>
          <w:spacing w:val="0"/>
          <w:w w:val="100"/>
          <w:position w:val="0"/>
          <w:sz w:val="21"/>
          <w:szCs w:val="21"/>
          <w:highlight w:val="none"/>
          <w:lang w:val="en-US" w:eastAsia="zh-CN"/>
        </w:rPr>
        <w:t>日前以书面形式提出。招标人将在收到异议之日起</w:t>
      </w:r>
      <w:r>
        <w:rPr>
          <w:rFonts w:hint="default" w:ascii="宋体" w:hAnsi="宋体" w:eastAsia="宋体" w:cs="宋体"/>
          <w:color w:val="auto"/>
          <w:spacing w:val="0"/>
          <w:w w:val="100"/>
          <w:position w:val="0"/>
          <w:sz w:val="21"/>
          <w:szCs w:val="21"/>
          <w:highlight w:val="none"/>
          <w:lang w:val="en-US" w:eastAsia="zh-CN"/>
        </w:rPr>
        <w:t>3</w:t>
      </w:r>
      <w:r>
        <w:rPr>
          <w:rFonts w:hint="eastAsia" w:ascii="宋体" w:hAnsi="宋体" w:eastAsia="宋体" w:cs="宋体"/>
          <w:color w:val="auto"/>
          <w:spacing w:val="0"/>
          <w:w w:val="100"/>
          <w:position w:val="0"/>
          <w:sz w:val="21"/>
          <w:szCs w:val="21"/>
          <w:highlight w:val="none"/>
          <w:lang w:val="en-US" w:eastAsia="zh-CN"/>
        </w:rPr>
        <w:t>日内作出答复；作出答复前，将暂停招标投标活动。提出异议与作出答复均应通过“电子交易平台”在“异议与答复”菜单以书面形式完成</w:t>
      </w:r>
      <w:r>
        <w:rPr>
          <w:rFonts w:ascii="宋体" w:hAnsi="宋体" w:eastAsia="宋体" w:cs="宋体"/>
          <w:color w:val="auto"/>
          <w:spacing w:val="0"/>
          <w:w w:val="100"/>
          <w:position w:val="0"/>
          <w:sz w:val="21"/>
          <w:szCs w:val="21"/>
          <w:highlight w:val="none"/>
        </w:rPr>
        <w:t>。</w:t>
      </w:r>
    </w:p>
    <w:p w14:paraId="5208238D">
      <w:pPr>
        <w:pStyle w:val="6"/>
        <w:spacing w:before="156" w:line="233" w:lineRule="auto"/>
        <w:ind w:left="33"/>
        <w:outlineLvl w:val="1"/>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3.</w:t>
      </w:r>
      <w:r>
        <w:rPr>
          <w:b/>
          <w:bCs/>
          <w:color w:val="auto"/>
          <w:spacing w:val="0"/>
          <w:w w:val="100"/>
          <w:position w:val="0"/>
          <w:sz w:val="28"/>
          <w:szCs w:val="28"/>
          <w:highlight w:val="none"/>
        </w:rPr>
        <w:t>投标文件</w:t>
      </w:r>
    </w:p>
    <w:p w14:paraId="7170CBAA">
      <w:pPr>
        <w:pStyle w:val="6"/>
        <w:spacing w:before="302" w:line="233" w:lineRule="auto"/>
        <w:ind w:left="32"/>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3.1 </w:t>
      </w:r>
      <w:r>
        <w:rPr>
          <w:b/>
          <w:bCs/>
          <w:color w:val="auto"/>
          <w:spacing w:val="0"/>
          <w:w w:val="100"/>
          <w:position w:val="0"/>
          <w:sz w:val="24"/>
          <w:szCs w:val="24"/>
          <w:highlight w:val="none"/>
        </w:rPr>
        <w:t>投标文件的组成</w:t>
      </w:r>
    </w:p>
    <w:p w14:paraId="295B7A5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3.1.1 投标文件应采用双信封形式，包括下列内容：</w:t>
      </w:r>
    </w:p>
    <w:p w14:paraId="1F7D746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第一个信封（商务及技术文件）：</w:t>
      </w:r>
    </w:p>
    <w:p w14:paraId="7B8D8AA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（1）投标函；</w:t>
      </w:r>
    </w:p>
    <w:p w14:paraId="2935465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（2）授权委托书或法定代表人身份证明；</w:t>
      </w:r>
    </w:p>
    <w:p w14:paraId="272724F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（3）联合体协议书；</w:t>
      </w:r>
    </w:p>
    <w:p w14:paraId="2F9C114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（4）投标保证金；</w:t>
      </w:r>
    </w:p>
    <w:p w14:paraId="441F3CE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（5）拟分包项目情况表；</w:t>
      </w:r>
    </w:p>
    <w:p w14:paraId="3CBEBB4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（6）资格审查资料；</w:t>
      </w:r>
    </w:p>
    <w:p w14:paraId="245C786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（7）技术建议书；</w:t>
      </w:r>
    </w:p>
    <w:p w14:paraId="539E349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（8）投标人须知前附表规定的其他资料。</w:t>
      </w:r>
    </w:p>
    <w:p w14:paraId="5E3A1EE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第二个信封（报价文件）：</w:t>
      </w:r>
    </w:p>
    <w:p w14:paraId="09C0160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（1）投标函；</w:t>
      </w:r>
    </w:p>
    <w:p w14:paraId="6FBC800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（2）勘察设计费用清单。</w:t>
      </w:r>
    </w:p>
    <w:p w14:paraId="40402A8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投标人在评标过程中作出的符合法律法规和招标文件规定的澄清确认，构成投标文件的组成部分。</w:t>
      </w:r>
    </w:p>
    <w:p w14:paraId="0EF6F5D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3.1.2 投标人须知前附表规定不接受联合体投标的，或投标人没有组成联合体的，投标文件不包括本章第3.1.1（3）目所指的联合体协议书。</w:t>
      </w:r>
    </w:p>
    <w:p w14:paraId="7E88AD0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3.1.3 投标人须知前附表未要求提交投标保证金的，投标文件不包括本章第3.1.1（4）目所指的投标保证金。</w:t>
      </w:r>
    </w:p>
    <w:p w14:paraId="1A2B661A">
      <w:pPr>
        <w:pStyle w:val="6"/>
        <w:spacing w:before="284" w:line="233" w:lineRule="auto"/>
        <w:ind w:left="32"/>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3.2 </w:t>
      </w:r>
      <w:r>
        <w:rPr>
          <w:b/>
          <w:bCs/>
          <w:color w:val="auto"/>
          <w:spacing w:val="0"/>
          <w:w w:val="100"/>
          <w:position w:val="0"/>
          <w:sz w:val="24"/>
          <w:szCs w:val="24"/>
          <w:highlight w:val="none"/>
        </w:rPr>
        <w:t>投标报价</w:t>
      </w:r>
    </w:p>
    <w:p w14:paraId="77ACBD3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3.2.1 投标报价应包括国家规定的增值税税金，除投标人须知前附表另有规定外，增值税税金按一般计税方法计算。投标人应按第六章“投标文件格式 ”的要求在投标函中进行报价并填写勘察设计费用清单相应表格。</w:t>
      </w:r>
    </w:p>
    <w:p w14:paraId="54D2C54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3.2.2 投标人应充分了解本项目的总体情况以及影响投标报价的其他要素，按照招标文件规定的勘察设计工作内容和计划工作量，自行测算勘察设计费用。</w:t>
      </w:r>
    </w:p>
    <w:p w14:paraId="674BC70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3.2.3 本项目的报价方式见投标人须知前附表。投标人在投标截止时间前修改投标函中的投标报价总额，应同时修改投标文件“勘察设计费用清单 ”中的相应报价。此修改须符合本章第4.3 款的有关要求。</w:t>
      </w:r>
    </w:p>
    <w:p w14:paraId="135D3BE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3.2.4 招标人设有最高投标限价的，投标人的投标报价不得超过最高投标限价，最高投标限价在投标人须知前附表中载明。</w:t>
      </w:r>
    </w:p>
    <w:p w14:paraId="2478187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3.2.5 投标报价的其他要求见投标人须知前附表。</w:t>
      </w:r>
    </w:p>
    <w:p w14:paraId="35F1C216">
      <w:pPr>
        <w:pStyle w:val="6"/>
        <w:spacing w:before="272" w:line="232" w:lineRule="auto"/>
        <w:ind w:left="32"/>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3.3 </w:t>
      </w:r>
      <w:r>
        <w:rPr>
          <w:b/>
          <w:bCs/>
          <w:color w:val="auto"/>
          <w:spacing w:val="0"/>
          <w:w w:val="100"/>
          <w:position w:val="0"/>
          <w:sz w:val="24"/>
          <w:szCs w:val="24"/>
          <w:highlight w:val="none"/>
        </w:rPr>
        <w:t>投标有效期</w:t>
      </w:r>
    </w:p>
    <w:p w14:paraId="51B5B0E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3.3.1 除投标人须知前附表另有规定外，投标有效期为90日。</w:t>
      </w:r>
    </w:p>
    <w:p w14:paraId="53B0CD1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3.3.2 在投标有效期内，投标人撤销投标文件的，应承担招标文件和法律规定的责任。</w:t>
      </w:r>
    </w:p>
    <w:p w14:paraId="1C87891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0B1F167E">
      <w:pPr>
        <w:pStyle w:val="6"/>
        <w:spacing w:before="124" w:line="233" w:lineRule="auto"/>
        <w:ind w:left="32"/>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3.4 </w:t>
      </w:r>
      <w:r>
        <w:rPr>
          <w:b/>
          <w:bCs/>
          <w:color w:val="auto"/>
          <w:spacing w:val="0"/>
          <w:w w:val="100"/>
          <w:position w:val="0"/>
          <w:sz w:val="24"/>
          <w:szCs w:val="24"/>
          <w:highlight w:val="none"/>
        </w:rPr>
        <w:t>投标保证金</w:t>
      </w:r>
    </w:p>
    <w:p w14:paraId="643B8B7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3.4.1 投标人在递交投标文件的同时，应按投标人须知前附表规定的金额和第六章“投标文件格式”规定的投标保证金格式递交投标保证金，并作为其投标文件的组成部分。联合体投标的，其投标保证金由牵头人递交，并应符合投标人须知前附表的规定。投标保证金应采用现金、支票、银行保函或招标人在投标人须知前附表规定的其他形式。</w:t>
      </w:r>
    </w:p>
    <w:p w14:paraId="4E4B4392">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（1）若采用现金或支票，投标人应在递交投标文件截止时间之前，将投标保证金由投标人的基本账户转入招标人指定账户，否则视为投标保证金无效。招标人指定的开户银行及账号见投标人须知前附表。</w:t>
      </w:r>
    </w:p>
    <w:p w14:paraId="55499FD1">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w:t>
      </w:r>
      <w:r>
        <w:rPr>
          <w:rFonts w:hint="eastAsia" w:ascii="宋体" w:hAnsi="宋体" w:eastAsia="宋体" w:cs="宋体"/>
          <w:color w:val="auto"/>
          <w:spacing w:val="0"/>
          <w:w w:val="100"/>
          <w:position w:val="0"/>
          <w:sz w:val="21"/>
          <w:szCs w:val="21"/>
          <w:highlight w:val="none"/>
          <w:lang w:val="en-US" w:eastAsia="zh-CN"/>
        </w:rPr>
        <w:t xml:space="preserve">若采用银行保函，则应由符合投标人须知前附表规定级别的银行开具，并采用招标文件提供的格式。银行保函复印件装订在投标文件内，原件应在递交投标文件截止时间之前单独密封递交给招标人。 </w:t>
      </w:r>
    </w:p>
    <w:p w14:paraId="5568B84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 xml:space="preserve">无论采取何种形式的投标保证金，投标保证金有效期均应与投标有效期一致。招标人如果按本章第 </w:t>
      </w:r>
      <w:r>
        <w:rPr>
          <w:rFonts w:hint="default" w:ascii="宋体" w:hAnsi="宋体" w:eastAsia="宋体" w:cs="宋体"/>
          <w:color w:val="auto"/>
          <w:spacing w:val="0"/>
          <w:w w:val="100"/>
          <w:position w:val="0"/>
          <w:sz w:val="21"/>
          <w:szCs w:val="21"/>
          <w:highlight w:val="none"/>
          <w:lang w:val="en-US" w:eastAsia="zh-CN"/>
        </w:rPr>
        <w:t xml:space="preserve">3.3.3 </w:t>
      </w:r>
      <w:r>
        <w:rPr>
          <w:rFonts w:hint="eastAsia" w:ascii="宋体" w:hAnsi="宋体" w:eastAsia="宋体" w:cs="宋体"/>
          <w:color w:val="auto"/>
          <w:spacing w:val="0"/>
          <w:w w:val="100"/>
          <w:position w:val="0"/>
          <w:sz w:val="21"/>
          <w:szCs w:val="21"/>
          <w:highlight w:val="none"/>
          <w:lang w:val="en-US" w:eastAsia="zh-CN"/>
        </w:rPr>
        <w:t>项的规定延长了投标有效期，则投标保证金的有效期也相应延长</w:t>
      </w:r>
      <w:r>
        <w:rPr>
          <w:rFonts w:ascii="宋体" w:hAnsi="宋体" w:eastAsia="宋体" w:cs="宋体"/>
          <w:color w:val="auto"/>
          <w:spacing w:val="0"/>
          <w:w w:val="100"/>
          <w:position w:val="0"/>
          <w:sz w:val="21"/>
          <w:szCs w:val="21"/>
          <w:highlight w:val="none"/>
        </w:rPr>
        <w:t>。</w:t>
      </w:r>
    </w:p>
    <w:p w14:paraId="73BF3EA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3.4.2 投标人不按本章第3.4.1项要求提交投标保证金的，评标委员会将否决其投标。</w:t>
      </w:r>
    </w:p>
    <w:p w14:paraId="73546E0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3.4.3 招标人最迟将在中标通知书发出后5日内向中标候选人以外的其他投标人退还投标保证金，与中标人签订合同后5日内向中标人和其他中标候选人退还投标保证金。投标保证金以现金或支票形式递交的，招标人应同时退还投标保证金的银行同期活期存款利息，且退还至投标人的基本账户。利息计算原则见投标人须知前附表。</w:t>
      </w:r>
    </w:p>
    <w:p w14:paraId="2C86DA7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3.4.4 有下列情形之一的，投标保证金将不予退还：</w:t>
      </w:r>
    </w:p>
    <w:p w14:paraId="53EF2C9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（1）投标人在投标有效期内撤销投标文件；</w:t>
      </w:r>
    </w:p>
    <w:p w14:paraId="1A932F1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（2）中标人在收到中标通知书后，无正当理由不与招标人订立合同，在签订合同时向招标人提出附加条件，或不按照招标文件要求提交履约保证金；</w:t>
      </w:r>
    </w:p>
    <w:p w14:paraId="2B14FDC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（3）发生投标人须知前附表规定的其他可以不予退还投标保证金的情形。</w:t>
      </w:r>
    </w:p>
    <w:p w14:paraId="5F98877B">
      <w:pPr>
        <w:pStyle w:val="6"/>
        <w:spacing w:before="268" w:line="233" w:lineRule="auto"/>
        <w:ind w:left="32"/>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3.5 </w:t>
      </w:r>
      <w:r>
        <w:rPr>
          <w:b/>
          <w:bCs/>
          <w:color w:val="auto"/>
          <w:spacing w:val="0"/>
          <w:w w:val="100"/>
          <w:position w:val="0"/>
          <w:sz w:val="24"/>
          <w:szCs w:val="24"/>
          <w:highlight w:val="none"/>
        </w:rPr>
        <w:t>资格审查资料</w:t>
      </w:r>
    </w:p>
    <w:p w14:paraId="02BCAFF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除投标人须知前附表另有规定外，投标人应按下列规定提供资格审查资料，以证明其满足本章第</w:t>
      </w:r>
      <w:r>
        <w:rPr>
          <w:rFonts w:hint="default" w:ascii="宋体" w:hAnsi="宋体" w:eastAsia="宋体" w:cs="宋体"/>
          <w:color w:val="auto"/>
          <w:spacing w:val="0"/>
          <w:w w:val="100"/>
          <w:position w:val="0"/>
          <w:sz w:val="21"/>
          <w:szCs w:val="21"/>
          <w:highlight w:val="none"/>
          <w:lang w:val="en-US" w:eastAsia="zh-CN"/>
        </w:rPr>
        <w:t>1.4</w:t>
      </w:r>
      <w:r>
        <w:rPr>
          <w:rFonts w:hint="eastAsia" w:ascii="宋体" w:hAnsi="宋体" w:eastAsia="宋体" w:cs="宋体"/>
          <w:color w:val="auto"/>
          <w:spacing w:val="0"/>
          <w:w w:val="100"/>
          <w:position w:val="0"/>
          <w:sz w:val="21"/>
          <w:szCs w:val="21"/>
          <w:highlight w:val="none"/>
          <w:lang w:val="en-US" w:eastAsia="zh-CN"/>
        </w:rPr>
        <w:t xml:space="preserve">款规定的资质、业绩、信誉等要求。 </w:t>
      </w:r>
    </w:p>
    <w:p w14:paraId="41755104">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pacing w:val="0"/>
          <w:w w:val="100"/>
          <w:position w:val="0"/>
          <w:sz w:val="21"/>
          <w:szCs w:val="21"/>
          <w:highlight w:val="none"/>
          <w:lang w:val="en-US" w:eastAsia="zh-CN"/>
        </w:rPr>
      </w:pPr>
      <w:r>
        <w:rPr>
          <w:rFonts w:hint="default" w:ascii="宋体" w:hAnsi="宋体" w:eastAsia="宋体" w:cs="宋体"/>
          <w:color w:val="auto"/>
          <w:spacing w:val="0"/>
          <w:w w:val="100"/>
          <w:position w:val="0"/>
          <w:sz w:val="21"/>
          <w:szCs w:val="21"/>
          <w:highlight w:val="none"/>
          <w:lang w:val="en-US" w:eastAsia="zh-CN"/>
        </w:rPr>
        <w:t xml:space="preserve">3.5.1 </w:t>
      </w:r>
      <w:r>
        <w:rPr>
          <w:rFonts w:hint="eastAsia" w:ascii="宋体" w:hAnsi="宋体" w:eastAsia="宋体" w:cs="宋体"/>
          <w:color w:val="auto"/>
          <w:spacing w:val="0"/>
          <w:w w:val="100"/>
          <w:position w:val="0"/>
          <w:sz w:val="21"/>
          <w:szCs w:val="21"/>
          <w:highlight w:val="none"/>
          <w:lang w:val="en-US" w:eastAsia="zh-CN"/>
        </w:rPr>
        <w:t>“投标人基本情况表”应附企业法人营业执照副本和组织机构代码证副本（按照</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三证合一</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或</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五证合一</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登记制度进行登记的，可仅提供营业执照副本，下同）、勘察资质证书副本、设计资质证书副本、基本账户开户许可证的复印件，投标人在交通运输部“全国公路建设市场监督管理系统”公路工程设计资质企业名录中的网页截图复印件，以及投标人在国家企业信用信息公示系统中基础信息（体现股东及出资详细信息）的网页截图或由法定的社会验资机构出具的验资报告或注册地工商部门出具的股东出资情况证明复印件。</w:t>
      </w:r>
    </w:p>
    <w:p w14:paraId="4619BA72">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企业法人营业执照副本和组织机构代码证副本、勘察资质证书副本、设计资质证书副本、基本账户开户许可证的复印件应提供全本（证书封面、封底、空白页除外），应包括投标人名称、投标人其他相关信息、颁发机构名称、投标人信息变更情况等关键页在内，并逐页加盖投标人单位章</w:t>
      </w:r>
      <w:r>
        <w:rPr>
          <w:rFonts w:ascii="宋体" w:hAnsi="宋体" w:eastAsia="宋体" w:cs="宋体"/>
          <w:color w:val="auto"/>
          <w:spacing w:val="0"/>
          <w:w w:val="100"/>
          <w:position w:val="0"/>
          <w:sz w:val="21"/>
          <w:szCs w:val="21"/>
          <w:highlight w:val="none"/>
        </w:rPr>
        <w:t>。</w:t>
      </w:r>
    </w:p>
    <w:p w14:paraId="61DAAE0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3.5.2</w:t>
      </w:r>
      <w:r>
        <w:rPr>
          <w:rFonts w:hint="eastAsia" w:ascii="Times New Roman" w:hAnsi="Times New Roman" w:eastAsia="Times New Roman" w:cs="Times New Roman"/>
          <w:color w:val="auto"/>
          <w:spacing w:val="0"/>
          <w:w w:val="100"/>
          <w:position w:val="0"/>
          <w:sz w:val="21"/>
          <w:szCs w:val="21"/>
          <w:highlight w:val="none"/>
          <w:lang w:val="en-US" w:eastAsia="zh-CN"/>
        </w:rPr>
        <w:t>“近年完成的类似项目”应是已列入交通运输主管部门公路建设市场信用信息管理系统（或全国公路建设市场监督管理系统）并公开的“初步设计已批复或施工图设计已批复”的主包业绩或分包业绩，具体时间要求见投标人须知前附表</w:t>
      </w:r>
      <w:r>
        <w:rPr>
          <w:rFonts w:ascii="宋体" w:hAnsi="宋体" w:eastAsia="宋体" w:cs="宋体"/>
          <w:color w:val="auto"/>
          <w:spacing w:val="0"/>
          <w:w w:val="100"/>
          <w:position w:val="0"/>
          <w:sz w:val="21"/>
          <w:szCs w:val="21"/>
          <w:highlight w:val="none"/>
        </w:rPr>
        <w:t>。</w:t>
      </w:r>
    </w:p>
    <w:p w14:paraId="072CB40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“近年完成的类似项目情况表”应附在交通运输部“全国公路建设市场监督管理系统（</w:t>
      </w:r>
      <w:r>
        <w:rPr>
          <w:rFonts w:hint="default" w:ascii="宋体" w:hAnsi="宋体" w:eastAsia="宋体" w:cs="宋体"/>
          <w:color w:val="auto"/>
          <w:spacing w:val="0"/>
          <w:w w:val="100"/>
          <w:position w:val="0"/>
          <w:sz w:val="21"/>
          <w:szCs w:val="21"/>
          <w:highlight w:val="none"/>
          <w:lang w:val="en-US" w:eastAsia="zh-CN"/>
        </w:rPr>
        <w:t>https://hwdms.mot.gov.cn/BMWebSite/</w:t>
      </w:r>
      <w:r>
        <w:rPr>
          <w:rFonts w:hint="eastAsia" w:ascii="宋体" w:hAnsi="宋体" w:eastAsia="宋体" w:cs="宋体"/>
          <w:color w:val="auto"/>
          <w:spacing w:val="0"/>
          <w:w w:val="100"/>
          <w:position w:val="0"/>
          <w:sz w:val="21"/>
          <w:szCs w:val="21"/>
          <w:highlight w:val="none"/>
          <w:lang w:val="en-US" w:eastAsia="zh-CN"/>
        </w:rPr>
        <w:t>）中查询到的企业</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业绩信息</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 xml:space="preserve">相关项目网页截图复印件，即包括“工程名称”“项目类型”“合同价”“技术等级”“主要设计内容”“人员履约信息”等栏目在内的项目详细信息网页截图复印件。在交通运输部“全国公路建设市场监督管理系统”中无法查询，但可在省级交通运输主管部门“公路建设市场信用信息管理系统”中查询的，应附省级交通运输主管部门“公路建设市场信用信息管理系统”中查询到的网页截图复印件并注明查询路径。除网页截图复印件外，投标人无须再提供任何业绩证明材料。 </w:t>
      </w:r>
    </w:p>
    <w:p w14:paraId="3FE68AB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如投标人未提供相关项目网页截图复印件或相关项目网页截图中的信息无法证实投标人满足招标文件规定的资格审查条件（业绩最低要求），则该项目业绩不予认定</w:t>
      </w:r>
      <w:r>
        <w:rPr>
          <w:rFonts w:ascii="宋体" w:hAnsi="宋体" w:eastAsia="宋体" w:cs="宋体"/>
          <w:color w:val="auto"/>
          <w:spacing w:val="0"/>
          <w:w w:val="100"/>
          <w:position w:val="0"/>
          <w:sz w:val="21"/>
          <w:szCs w:val="21"/>
          <w:highlight w:val="none"/>
        </w:rPr>
        <w:t>。</w:t>
      </w:r>
    </w:p>
    <w:p w14:paraId="5068BCE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3.5.3</w:t>
      </w:r>
      <w:r>
        <w:rPr>
          <w:rFonts w:hint="eastAsia" w:ascii="Times New Roman" w:hAnsi="Times New Roman" w:eastAsia="Times New Roman" w:cs="Times New Roman"/>
          <w:color w:val="auto"/>
          <w:spacing w:val="0"/>
          <w:w w:val="100"/>
          <w:position w:val="0"/>
          <w:sz w:val="21"/>
          <w:szCs w:val="21"/>
          <w:highlight w:val="none"/>
          <w:lang w:val="en-US" w:eastAsia="zh-CN"/>
        </w:rPr>
        <w:t>“投标人的信誉情况表”应附投标人在国家企业信用信息公示系统中未被列入严重违法失信企业名单、在“信用中国”网站中未被列入失信被执行人名单的网页截图复印件，以及由项目所在地或投标人住所地检察机关职务犯罪预防部门出具的近三年内投标人及其法定代表人、拟委任的项目负责人均无行贿犯罪行为的查询记录证明原件</w:t>
      </w:r>
      <w:r>
        <w:rPr>
          <w:rFonts w:ascii="宋体" w:hAnsi="宋体" w:eastAsia="宋体" w:cs="宋体"/>
          <w:color w:val="auto"/>
          <w:spacing w:val="0"/>
          <w:w w:val="100"/>
          <w:position w:val="0"/>
          <w:sz w:val="21"/>
          <w:szCs w:val="21"/>
          <w:highlight w:val="none"/>
        </w:rPr>
        <w:t>。</w:t>
      </w:r>
    </w:p>
    <w:p w14:paraId="20F731E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3.5.4</w:t>
      </w:r>
      <w:r>
        <w:rPr>
          <w:rFonts w:hint="eastAsia" w:ascii="Times New Roman" w:hAnsi="Times New Roman" w:eastAsia="Times New Roman" w:cs="Times New Roman"/>
          <w:color w:val="auto"/>
          <w:spacing w:val="0"/>
          <w:w w:val="100"/>
          <w:position w:val="0"/>
          <w:sz w:val="21"/>
          <w:szCs w:val="21"/>
          <w:highlight w:val="none"/>
          <w:lang w:val="en-US" w:eastAsia="zh-CN"/>
        </w:rPr>
        <w:t xml:space="preserve">“拟委任的项目负责人资历表”应附项目负责人的身份证、职称资格证书和资格审查条件所要求的其他相关证书的复印件，以及投标人所属社保机构出具的拟委任的项目负责人的社保缴费证明或其他能够证明拟委任的项目负责人参加社保的有效证明材料复印件。 </w:t>
      </w:r>
    </w:p>
    <w:p w14:paraId="270B3D7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eastAsia" w:ascii="Times New Roman" w:hAnsi="Times New Roman" w:eastAsia="Times New Roman" w:cs="Times New Roman"/>
          <w:color w:val="auto"/>
          <w:spacing w:val="0"/>
          <w:w w:val="100"/>
          <w:position w:val="0"/>
          <w:sz w:val="21"/>
          <w:szCs w:val="21"/>
          <w:highlight w:val="none"/>
          <w:lang w:val="en-US" w:eastAsia="zh-CN"/>
        </w:rPr>
        <w:t>“拟委任的项目负责人资历表”还应附交通运输部“全国公路建设市场监督管理系统”中载明的、能够证明项目负责人具有相关业绩的网页截图复印件。在交通运输部“全国公路建设市场监督管理系统”中无法查询，但可在省级交通运输主管部门“公路建设市场信用信息管理系统”中查询的，应附省级交通运输主管部门“公路建设市场信用信息管理系统”中查询到的网页截图复印件并注明查询路径。除网页截图复印件外，投标人无须再提供任何业绩证明材料。如投标人未提供相关业绩网页截图复印件或相关业绩网页截图中的信息无法证实投标人满足招标文件规定的资格审查条件（项目负责人最低要求），则该业绩不予认定</w:t>
      </w:r>
      <w:r>
        <w:rPr>
          <w:rFonts w:ascii="宋体" w:hAnsi="宋体" w:eastAsia="宋体" w:cs="宋体"/>
          <w:color w:val="auto"/>
          <w:spacing w:val="0"/>
          <w:w w:val="100"/>
          <w:position w:val="0"/>
          <w:sz w:val="21"/>
          <w:szCs w:val="21"/>
          <w:highlight w:val="none"/>
        </w:rPr>
        <w:t>。</w:t>
      </w:r>
    </w:p>
    <w:p w14:paraId="14272E8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3.5.5</w:t>
      </w:r>
      <w:r>
        <w:rPr>
          <w:rFonts w:hint="eastAsia" w:ascii="Times New Roman" w:hAnsi="Times New Roman" w:eastAsia="Times New Roman" w:cs="Times New Roman"/>
          <w:color w:val="auto"/>
          <w:spacing w:val="0"/>
          <w:w w:val="100"/>
          <w:position w:val="0"/>
          <w:sz w:val="21"/>
          <w:szCs w:val="21"/>
          <w:highlight w:val="none"/>
          <w:lang w:val="en-US" w:eastAsia="zh-CN"/>
        </w:rPr>
        <w:t>“拟委任的分项负责人汇总表”（如有）应填报满足投标人须知前附表附录5规定的各专业分项负责人的相关信息。“拟委任的分项负责人资历表”（如有）中分项负责人应附身份证、职称资格证书和资格审查条件所要求的其他相关证书的复印件，相关业绩证明材料复印件，以及投标人所属社保机构出具的社保缴费证明或其他能够证明其参加社保的有效证明材料复印件</w:t>
      </w:r>
      <w:r>
        <w:rPr>
          <w:rFonts w:ascii="宋体" w:hAnsi="宋体" w:eastAsia="宋体" w:cs="宋体"/>
          <w:color w:val="auto"/>
          <w:spacing w:val="0"/>
          <w:w w:val="100"/>
          <w:position w:val="0"/>
          <w:sz w:val="21"/>
          <w:szCs w:val="21"/>
          <w:highlight w:val="none"/>
        </w:rPr>
        <w:t>。</w:t>
      </w:r>
    </w:p>
    <w:p w14:paraId="4310D38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 xml:space="preserve">3.5.6 </w:t>
      </w:r>
      <w:r>
        <w:rPr>
          <w:rFonts w:hint="eastAsia" w:ascii="宋体" w:hAnsi="宋体" w:eastAsia="宋体" w:cs="宋体"/>
          <w:color w:val="auto"/>
          <w:spacing w:val="0"/>
          <w:w w:val="100"/>
          <w:position w:val="0"/>
          <w:sz w:val="21"/>
          <w:szCs w:val="21"/>
          <w:highlight w:val="none"/>
          <w:lang w:val="en-US" w:eastAsia="zh-CN"/>
        </w:rPr>
        <w:t>投标人须知前附表规定接受联合体投标的，本章第</w:t>
      </w:r>
      <w:r>
        <w:rPr>
          <w:rFonts w:hint="default" w:ascii="宋体" w:hAnsi="宋体" w:eastAsia="宋体" w:cs="宋体"/>
          <w:color w:val="auto"/>
          <w:spacing w:val="0"/>
          <w:w w:val="100"/>
          <w:position w:val="0"/>
          <w:sz w:val="21"/>
          <w:szCs w:val="21"/>
          <w:highlight w:val="none"/>
          <w:lang w:val="en-US" w:eastAsia="zh-CN"/>
        </w:rPr>
        <w:t>3.5.1</w:t>
      </w:r>
      <w:r>
        <w:rPr>
          <w:rFonts w:hint="eastAsia" w:ascii="宋体" w:hAnsi="宋体" w:eastAsia="宋体" w:cs="宋体"/>
          <w:color w:val="auto"/>
          <w:spacing w:val="0"/>
          <w:w w:val="100"/>
          <w:position w:val="0"/>
          <w:sz w:val="21"/>
          <w:szCs w:val="21"/>
          <w:highlight w:val="none"/>
          <w:lang w:val="en-US" w:eastAsia="zh-CN"/>
        </w:rPr>
        <w:t>项至第</w:t>
      </w:r>
      <w:r>
        <w:rPr>
          <w:rFonts w:hint="default" w:ascii="宋体" w:hAnsi="宋体" w:eastAsia="宋体" w:cs="宋体"/>
          <w:color w:val="auto"/>
          <w:spacing w:val="0"/>
          <w:w w:val="100"/>
          <w:position w:val="0"/>
          <w:sz w:val="21"/>
          <w:szCs w:val="21"/>
          <w:highlight w:val="none"/>
          <w:lang w:val="en-US" w:eastAsia="zh-CN"/>
        </w:rPr>
        <w:t>3.5.5</w:t>
      </w:r>
      <w:r>
        <w:rPr>
          <w:rFonts w:hint="eastAsia" w:ascii="宋体" w:hAnsi="宋体" w:eastAsia="宋体" w:cs="宋体"/>
          <w:color w:val="auto"/>
          <w:spacing w:val="0"/>
          <w:w w:val="100"/>
          <w:position w:val="0"/>
          <w:sz w:val="21"/>
          <w:szCs w:val="21"/>
          <w:highlight w:val="none"/>
          <w:lang w:val="en-US" w:eastAsia="zh-CN"/>
        </w:rPr>
        <w:t>项规定的表格和资料应包括联合体各方相关情况</w:t>
      </w:r>
      <w:r>
        <w:rPr>
          <w:rFonts w:ascii="宋体" w:hAnsi="宋体" w:eastAsia="宋体" w:cs="宋体"/>
          <w:color w:val="auto"/>
          <w:spacing w:val="0"/>
          <w:w w:val="100"/>
          <w:position w:val="0"/>
          <w:sz w:val="21"/>
          <w:szCs w:val="21"/>
          <w:highlight w:val="none"/>
        </w:rPr>
        <w:t>。</w:t>
      </w:r>
    </w:p>
    <w:p w14:paraId="0110D17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 xml:space="preserve">3.5.7 </w:t>
      </w:r>
      <w:r>
        <w:rPr>
          <w:rFonts w:hint="eastAsia" w:ascii="宋体" w:hAnsi="宋体" w:eastAsia="宋体" w:cs="宋体"/>
          <w:color w:val="auto"/>
          <w:spacing w:val="0"/>
          <w:w w:val="100"/>
          <w:position w:val="0"/>
          <w:sz w:val="21"/>
          <w:szCs w:val="21"/>
          <w:highlight w:val="none"/>
          <w:lang w:val="en-US" w:eastAsia="zh-CN"/>
        </w:rPr>
        <w:t>除合同条款约定的特殊情形外，投标人在投标文件中填报的项目负责人不允许更换</w:t>
      </w:r>
      <w:r>
        <w:rPr>
          <w:rFonts w:ascii="宋体" w:hAnsi="宋体" w:eastAsia="宋体" w:cs="宋体"/>
          <w:color w:val="auto"/>
          <w:spacing w:val="0"/>
          <w:w w:val="100"/>
          <w:position w:val="0"/>
          <w:sz w:val="21"/>
          <w:szCs w:val="21"/>
          <w:highlight w:val="none"/>
        </w:rPr>
        <w:t>。</w:t>
      </w:r>
    </w:p>
    <w:p w14:paraId="7C855B1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 xml:space="preserve">3.5.8 </w:t>
      </w:r>
      <w:r>
        <w:rPr>
          <w:rFonts w:hint="eastAsia" w:ascii="宋体" w:hAnsi="宋体" w:eastAsia="宋体" w:cs="宋体"/>
          <w:color w:val="auto"/>
          <w:spacing w:val="0"/>
          <w:w w:val="100"/>
          <w:position w:val="0"/>
          <w:sz w:val="21"/>
          <w:szCs w:val="21"/>
          <w:highlight w:val="none"/>
          <w:lang w:val="en-US" w:eastAsia="zh-CN"/>
        </w:rPr>
        <w:t>投标人在投标文件中填报的资质、业绩、主要人员资历和目前在岗情况、信用等级等信息，应与其在交通运输主管部门“公路建设市场信用信息管理系统”上填报并发布的相关信息一致。投标人应根据本单位实际情况及时完成相关信息的申报、录入和动态更新，并对相关信息的真实性、完整性和准确性负责</w:t>
      </w:r>
      <w:r>
        <w:rPr>
          <w:rFonts w:ascii="宋体" w:hAnsi="宋体" w:eastAsia="宋体" w:cs="宋体"/>
          <w:color w:val="auto"/>
          <w:spacing w:val="0"/>
          <w:w w:val="100"/>
          <w:position w:val="0"/>
          <w:sz w:val="21"/>
          <w:szCs w:val="21"/>
          <w:highlight w:val="none"/>
        </w:rPr>
        <w:t>。</w:t>
      </w:r>
    </w:p>
    <w:p w14:paraId="6E7BF86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 xml:space="preserve">3.5.9 </w:t>
      </w:r>
      <w:r>
        <w:rPr>
          <w:rFonts w:hint="eastAsia" w:ascii="宋体" w:hAnsi="宋体" w:eastAsia="宋体" w:cs="宋体"/>
          <w:color w:val="auto"/>
          <w:spacing w:val="0"/>
          <w:w w:val="100"/>
          <w:position w:val="0"/>
          <w:sz w:val="21"/>
          <w:szCs w:val="21"/>
          <w:highlight w:val="none"/>
          <w:lang w:val="en-US" w:eastAsia="zh-CN"/>
        </w:rPr>
        <w:t xml:space="preserve">招标人有权核查投标人在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合同价款或履约保证金中扣除不超过 </w:t>
      </w:r>
      <w:r>
        <w:rPr>
          <w:rFonts w:hint="default" w:ascii="宋体" w:hAnsi="宋体" w:eastAsia="宋体" w:cs="宋体"/>
          <w:color w:val="auto"/>
          <w:spacing w:val="0"/>
          <w:w w:val="100"/>
          <w:position w:val="0"/>
          <w:sz w:val="21"/>
          <w:szCs w:val="21"/>
          <w:highlight w:val="none"/>
          <w:lang w:val="en-US" w:eastAsia="zh-CN"/>
        </w:rPr>
        <w:t>5</w:t>
      </w:r>
      <w:r>
        <w:rPr>
          <w:rFonts w:hint="eastAsia" w:ascii="宋体" w:hAnsi="宋体" w:eastAsia="宋体" w:cs="宋体"/>
          <w:color w:val="auto"/>
          <w:spacing w:val="0"/>
          <w:w w:val="100"/>
          <w:position w:val="0"/>
          <w:sz w:val="21"/>
          <w:szCs w:val="21"/>
          <w:highlight w:val="none"/>
          <w:lang w:val="en-US" w:eastAsia="zh-CN"/>
        </w:rPr>
        <w:t>％签约合同价的金额作为违约金。同时招标人将投标人上述弄虚作假行为上报省级交通运输主管部门，作为不良记录纳入公路建设市场信用信息管理系统</w:t>
      </w:r>
      <w:r>
        <w:rPr>
          <w:rFonts w:ascii="宋体" w:hAnsi="宋体" w:eastAsia="宋体" w:cs="宋体"/>
          <w:color w:val="auto"/>
          <w:spacing w:val="0"/>
          <w:w w:val="100"/>
          <w:position w:val="0"/>
          <w:sz w:val="21"/>
          <w:szCs w:val="21"/>
          <w:highlight w:val="none"/>
        </w:rPr>
        <w:t>。</w:t>
      </w:r>
    </w:p>
    <w:p w14:paraId="06D3A318">
      <w:pPr>
        <w:pStyle w:val="6"/>
        <w:spacing w:before="283" w:line="232" w:lineRule="auto"/>
        <w:ind w:left="32"/>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3.6 </w:t>
      </w:r>
      <w:r>
        <w:rPr>
          <w:b/>
          <w:bCs/>
          <w:color w:val="auto"/>
          <w:spacing w:val="0"/>
          <w:w w:val="100"/>
          <w:position w:val="0"/>
          <w:sz w:val="24"/>
          <w:szCs w:val="24"/>
          <w:highlight w:val="none"/>
        </w:rPr>
        <w:t>备选投标方案</w:t>
      </w:r>
    </w:p>
    <w:p w14:paraId="6D8C9B1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3.6.1 除投标人须知前附表规定允许外，投标人不得递交备选投标方案，否则其投标将被否决。</w:t>
      </w:r>
    </w:p>
    <w:p w14:paraId="0D3C59F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1DA6C25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3.6.3 投标人提供两个或两个以上投标报价，或在投标文件中提供一个报价，但同时提供两个或两个以上技术建议书的，视为提供备选方案。</w:t>
      </w:r>
    </w:p>
    <w:p w14:paraId="1BDC0498">
      <w:pPr>
        <w:pStyle w:val="6"/>
        <w:spacing w:before="284" w:line="232" w:lineRule="auto"/>
        <w:ind w:left="32"/>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3.7 </w:t>
      </w:r>
      <w:r>
        <w:rPr>
          <w:b/>
          <w:bCs/>
          <w:color w:val="auto"/>
          <w:spacing w:val="0"/>
          <w:w w:val="100"/>
          <w:position w:val="0"/>
          <w:sz w:val="24"/>
          <w:szCs w:val="24"/>
          <w:highlight w:val="none"/>
        </w:rPr>
        <w:t>投标文件的编制</w:t>
      </w:r>
    </w:p>
    <w:p w14:paraId="56555B4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default" w:ascii="宋体" w:hAnsi="宋体" w:eastAsia="宋体" w:cs="宋体"/>
          <w:color w:val="auto"/>
          <w:spacing w:val="0"/>
          <w:w w:val="100"/>
          <w:position w:val="0"/>
          <w:sz w:val="21"/>
          <w:szCs w:val="21"/>
          <w:highlight w:val="none"/>
          <w:lang w:val="en-US" w:eastAsia="zh-CN"/>
        </w:rPr>
        <w:t>3.7.1 投标文件应按第六章“投标文件格式”进行编写，如有必要，可以增加附页，作为投标文件的组成部分</w:t>
      </w:r>
      <w:r>
        <w:rPr>
          <w:rFonts w:hint="eastAsia" w:ascii="宋体" w:hAnsi="宋体" w:eastAsia="宋体" w:cs="宋体"/>
          <w:color w:val="auto"/>
          <w:spacing w:val="0"/>
          <w:w w:val="100"/>
          <w:position w:val="0"/>
          <w:sz w:val="21"/>
          <w:szCs w:val="21"/>
          <w:highlight w:val="none"/>
          <w:lang w:val="en-US" w:eastAsia="zh-CN"/>
        </w:rPr>
        <w:t xml:space="preserve">。 </w:t>
      </w:r>
    </w:p>
    <w:p w14:paraId="60A9F0B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3.7.2 投标文件应对招标文件有关勘察设计服务期限、投标有效期、质量要求、安全目标、发包人要求、招标范围等实质性内容作出响应。</w:t>
      </w:r>
    </w:p>
    <w:p w14:paraId="4ABE046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3.7.3 投标文件的制作应满足以下规定：</w:t>
      </w:r>
    </w:p>
    <w:p w14:paraId="542CAEC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（1）投标文件由投标人使用“电子交易平台”自带的“投标文件制作工具”制作生成。</w:t>
      </w:r>
    </w:p>
    <w:p w14:paraId="6627513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（2）投标人在编制投标文件时应建立分级目录，并按照标签提示导入相关内容。</w:t>
      </w:r>
    </w:p>
    <w:p w14:paraId="4B0FB71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（3）投标文件中证明资料的“复印件”均为“原件的扫描件”，应从“电子交易平台”会员诚信库中选择并进行超链接，未标示“复印件”的证明资料均应直接制作生成。</w:t>
      </w:r>
    </w:p>
    <w:p w14:paraId="428A7FA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（4）投标文件中的已标价报价清单数据文件应与招标人提供的报价清单数据文件格式一致。</w:t>
      </w:r>
    </w:p>
    <w:p w14:paraId="4818511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（5）第六章“投标文件格式”中要求盖单位章和（或）签字的地方，投标人均应使用 CA 数字证书加盖投标人的单位电子印章和（或）法定代表人的个人电子印章或电子签名章。联合体投标的，投标文件由联合体牵头人按上述规定加盖联合体牵头人单位电子印章和（或）法定代表人的个人电子印章或电子签名章。</w:t>
      </w:r>
    </w:p>
    <w:p w14:paraId="3E94464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（6）投标文件制作完成后，投标人应使用 CA 数字证书对投标文件进行文件加密，形成加密的投标文件。</w:t>
      </w:r>
    </w:p>
    <w:p w14:paraId="730E002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（7）投标文件制作的具体方法详见“投标文件制作工具”中的帮助文档。</w:t>
      </w:r>
    </w:p>
    <w:p w14:paraId="0CF8D60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3.7.4 因投标人自身原因而导致投标文件无法导入“电子交易平台”电子开标、评标系统，该投标视为无效投标，投标人自行承担由此导致的全部责任。 </w:t>
      </w:r>
    </w:p>
    <w:p w14:paraId="29725002">
      <w:pPr>
        <w:pStyle w:val="6"/>
        <w:spacing w:before="154" w:line="234" w:lineRule="auto"/>
        <w:ind w:left="35"/>
        <w:outlineLvl w:val="1"/>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4.</w:t>
      </w:r>
      <w:r>
        <w:rPr>
          <w:b/>
          <w:bCs/>
          <w:color w:val="auto"/>
          <w:spacing w:val="0"/>
          <w:w w:val="100"/>
          <w:position w:val="0"/>
          <w:sz w:val="28"/>
          <w:szCs w:val="28"/>
          <w:highlight w:val="none"/>
        </w:rPr>
        <w:t>投标</w:t>
      </w:r>
    </w:p>
    <w:p w14:paraId="51F77CA7">
      <w:pPr>
        <w:keepNext w:val="0"/>
        <w:keepLines w:val="0"/>
        <w:pageBreakBefore w:val="0"/>
        <w:widowControl/>
        <w:kinsoku w:val="0"/>
        <w:wordWrap/>
        <w:overflowPunct/>
        <w:topLinePunct w:val="0"/>
        <w:autoSpaceDE w:val="0"/>
        <w:autoSpaceDN w:val="0"/>
        <w:bidi w:val="0"/>
        <w:adjustRightInd w:val="0"/>
        <w:snapToGrid w:val="0"/>
        <w:spacing w:line="480" w:lineRule="exact"/>
        <w:ind w:right="0"/>
        <w:jc w:val="both"/>
        <w:textAlignment w:val="baseline"/>
        <w:rPr>
          <w:rFonts w:ascii="Times New Roman" w:hAnsi="Times New Roman" w:eastAsia="Times New Roman" w:cs="Times New Roman"/>
          <w:b/>
          <w:bCs/>
          <w:snapToGrid w:val="0"/>
          <w:color w:val="auto"/>
          <w:spacing w:val="0"/>
          <w:w w:val="100"/>
          <w:kern w:val="0"/>
          <w:position w:val="0"/>
          <w:sz w:val="24"/>
          <w:szCs w:val="24"/>
          <w:highlight w:val="none"/>
          <w:lang w:val="en-US" w:eastAsia="zh-CN" w:bidi="ar-SA"/>
        </w:rPr>
      </w:pPr>
      <w:r>
        <w:rPr>
          <w:rFonts w:ascii="Times New Roman" w:hAnsi="Times New Roman" w:eastAsia="Times New Roman" w:cs="Times New Roman"/>
          <w:b/>
          <w:bCs/>
          <w:snapToGrid w:val="0"/>
          <w:color w:val="auto"/>
          <w:spacing w:val="0"/>
          <w:w w:val="100"/>
          <w:kern w:val="0"/>
          <w:position w:val="0"/>
          <w:sz w:val="24"/>
          <w:szCs w:val="24"/>
          <w:highlight w:val="none"/>
          <w:lang w:val="en-US" w:eastAsia="zh-CN" w:bidi="ar-SA"/>
        </w:rPr>
        <w:t>4.1 投标文件的加密</w:t>
      </w:r>
    </w:p>
    <w:p w14:paraId="298A864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 投标文件应按照本章第 </w:t>
      </w:r>
      <w:r>
        <w:rPr>
          <w:rFonts w:hint="default" w:ascii="宋体" w:hAnsi="宋体" w:eastAsia="宋体" w:cs="宋体"/>
          <w:color w:val="auto"/>
          <w:spacing w:val="0"/>
          <w:w w:val="100"/>
          <w:position w:val="0"/>
          <w:sz w:val="21"/>
          <w:szCs w:val="21"/>
          <w:highlight w:val="none"/>
          <w:lang w:val="en-US" w:eastAsia="zh-CN"/>
        </w:rPr>
        <w:t xml:space="preserve">3.7.3 </w:t>
      </w:r>
      <w:r>
        <w:rPr>
          <w:rFonts w:hint="eastAsia" w:ascii="宋体" w:hAnsi="宋体" w:eastAsia="宋体" w:cs="宋体"/>
          <w:color w:val="auto"/>
          <w:spacing w:val="0"/>
          <w:w w:val="100"/>
          <w:position w:val="0"/>
          <w:sz w:val="21"/>
          <w:szCs w:val="21"/>
          <w:highlight w:val="none"/>
          <w:lang w:val="en-US" w:eastAsia="zh-CN"/>
        </w:rPr>
        <w:t xml:space="preserve">项要求制作并加密，未按要求加密的投标文件，招标人（“电子交易平台”）将拒绝接收并提示。 </w:t>
      </w:r>
    </w:p>
    <w:p w14:paraId="02646F8F">
      <w:pPr>
        <w:keepNext w:val="0"/>
        <w:keepLines w:val="0"/>
        <w:pageBreakBefore w:val="0"/>
        <w:widowControl/>
        <w:kinsoku w:val="0"/>
        <w:wordWrap/>
        <w:overflowPunct/>
        <w:topLinePunct w:val="0"/>
        <w:autoSpaceDE w:val="0"/>
        <w:autoSpaceDN w:val="0"/>
        <w:bidi w:val="0"/>
        <w:adjustRightInd w:val="0"/>
        <w:snapToGrid w:val="0"/>
        <w:spacing w:line="480" w:lineRule="exact"/>
        <w:ind w:right="0"/>
        <w:jc w:val="both"/>
        <w:textAlignment w:val="baseline"/>
        <w:rPr>
          <w:rFonts w:ascii="宋体" w:hAnsi="宋体" w:eastAsia="宋体" w:cs="宋体"/>
          <w:color w:val="auto"/>
          <w:spacing w:val="0"/>
          <w:w w:val="100"/>
          <w:position w:val="0"/>
          <w:sz w:val="21"/>
          <w:szCs w:val="21"/>
          <w:highlight w:val="none"/>
        </w:rPr>
      </w:pPr>
      <w:r>
        <w:rPr>
          <w:rFonts w:hint="eastAsia" w:ascii="Times New Roman" w:hAnsi="Times New Roman" w:eastAsia="Times New Roman" w:cs="Times New Roman"/>
          <w:b/>
          <w:bCs/>
          <w:snapToGrid w:val="0"/>
          <w:color w:val="auto"/>
          <w:spacing w:val="0"/>
          <w:w w:val="100"/>
          <w:kern w:val="0"/>
          <w:position w:val="0"/>
          <w:sz w:val="24"/>
          <w:szCs w:val="24"/>
          <w:highlight w:val="none"/>
          <w:lang w:val="en-US" w:eastAsia="zh-CN" w:bidi="ar-SA"/>
        </w:rPr>
        <w:t>4.2 投标文件的递交</w:t>
      </w:r>
      <w:r>
        <w:rPr>
          <w:rFonts w:hint="eastAsia" w:ascii="宋体" w:hAnsi="宋体" w:eastAsia="宋体" w:cs="宋体"/>
          <w:color w:val="auto"/>
          <w:spacing w:val="0"/>
          <w:w w:val="100"/>
          <w:position w:val="0"/>
          <w:sz w:val="21"/>
          <w:szCs w:val="21"/>
          <w:highlight w:val="none"/>
          <w:lang w:val="en-US" w:eastAsia="zh-CN"/>
        </w:rPr>
        <w:t xml:space="preserve"> </w:t>
      </w:r>
    </w:p>
    <w:p w14:paraId="249A8AE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default" w:ascii="宋体" w:hAnsi="宋体" w:eastAsia="宋体" w:cs="宋体"/>
          <w:color w:val="auto"/>
          <w:spacing w:val="0"/>
          <w:w w:val="100"/>
          <w:position w:val="0"/>
          <w:sz w:val="21"/>
          <w:szCs w:val="21"/>
          <w:highlight w:val="none"/>
          <w:lang w:val="en-US" w:eastAsia="zh-CN"/>
        </w:rPr>
        <w:t xml:space="preserve">4.2.1 </w:t>
      </w:r>
      <w:r>
        <w:rPr>
          <w:rFonts w:hint="eastAsia" w:ascii="宋体" w:hAnsi="宋体" w:eastAsia="宋体" w:cs="宋体"/>
          <w:color w:val="auto"/>
          <w:spacing w:val="0"/>
          <w:w w:val="100"/>
          <w:position w:val="0"/>
          <w:sz w:val="21"/>
          <w:szCs w:val="21"/>
          <w:highlight w:val="none"/>
          <w:lang w:val="en-US" w:eastAsia="zh-CN"/>
        </w:rPr>
        <w:t xml:space="preserve">投标人应在第一章“招标公告”或“投标邀请书”规定的投标截止时间前，通过互联网使用 </w:t>
      </w:r>
      <w:r>
        <w:rPr>
          <w:rFonts w:hint="default" w:ascii="宋体" w:hAnsi="宋体" w:eastAsia="宋体" w:cs="宋体"/>
          <w:color w:val="auto"/>
          <w:spacing w:val="0"/>
          <w:w w:val="100"/>
          <w:position w:val="0"/>
          <w:sz w:val="21"/>
          <w:szCs w:val="21"/>
          <w:highlight w:val="none"/>
          <w:lang w:val="en-US" w:eastAsia="zh-CN"/>
        </w:rPr>
        <w:t xml:space="preserve">CA </w:t>
      </w:r>
      <w:r>
        <w:rPr>
          <w:rFonts w:hint="eastAsia" w:ascii="宋体" w:hAnsi="宋体" w:eastAsia="宋体" w:cs="宋体"/>
          <w:color w:val="auto"/>
          <w:spacing w:val="0"/>
          <w:w w:val="100"/>
          <w:position w:val="0"/>
          <w:sz w:val="21"/>
          <w:szCs w:val="21"/>
          <w:highlight w:val="none"/>
          <w:lang w:val="en-US" w:eastAsia="zh-CN"/>
        </w:rPr>
        <w:t xml:space="preserve">数字证书登录“电子交易平台”，将加密的投标文件上传，并保存上传成功后系统自动生成的电子签收凭证，递交时间即为电子签收凭证时间。投标人应充分考虑上传文件时的不可预见因素，未在投标截止时间前完成上传的，视为逾期送达，招标人（“电子交易平台”）将拒绝接收。 </w:t>
      </w:r>
    </w:p>
    <w:p w14:paraId="62BFFE1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 xml:space="preserve">4.2.2 根据本章第 4.1 款的规定，投标人递交的投标文件，只要出现应当拒收的情形，其投标文件予以拒收。 </w:t>
      </w:r>
    </w:p>
    <w:p w14:paraId="370E266E">
      <w:pPr>
        <w:keepNext w:val="0"/>
        <w:keepLines w:val="0"/>
        <w:pageBreakBefore w:val="0"/>
        <w:widowControl/>
        <w:kinsoku w:val="0"/>
        <w:wordWrap/>
        <w:overflowPunct/>
        <w:topLinePunct w:val="0"/>
        <w:autoSpaceDE w:val="0"/>
        <w:autoSpaceDN w:val="0"/>
        <w:bidi w:val="0"/>
        <w:adjustRightInd w:val="0"/>
        <w:snapToGrid w:val="0"/>
        <w:spacing w:line="480" w:lineRule="exact"/>
        <w:ind w:right="0"/>
        <w:jc w:val="both"/>
        <w:textAlignment w:val="baseline"/>
        <w:rPr>
          <w:rFonts w:ascii="宋体" w:hAnsi="宋体" w:eastAsia="宋体" w:cs="宋体"/>
          <w:color w:val="auto"/>
          <w:spacing w:val="0"/>
          <w:w w:val="100"/>
          <w:position w:val="0"/>
          <w:sz w:val="21"/>
          <w:szCs w:val="21"/>
          <w:highlight w:val="none"/>
        </w:rPr>
      </w:pPr>
      <w:r>
        <w:rPr>
          <w:rFonts w:hint="eastAsia" w:ascii="Times New Roman" w:hAnsi="Times New Roman" w:eastAsia="Times New Roman" w:cs="Times New Roman"/>
          <w:b/>
          <w:bCs/>
          <w:snapToGrid w:val="0"/>
          <w:color w:val="auto"/>
          <w:spacing w:val="0"/>
          <w:w w:val="100"/>
          <w:kern w:val="0"/>
          <w:position w:val="0"/>
          <w:sz w:val="24"/>
          <w:szCs w:val="24"/>
          <w:highlight w:val="none"/>
          <w:lang w:val="en-US" w:eastAsia="zh-CN" w:bidi="ar-SA"/>
        </w:rPr>
        <w:t>4.3 投标文件的修改与撤回</w:t>
      </w:r>
    </w:p>
    <w:p w14:paraId="009F972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default" w:ascii="宋体" w:hAnsi="宋体" w:eastAsia="宋体" w:cs="宋体"/>
          <w:color w:val="auto"/>
          <w:spacing w:val="0"/>
          <w:w w:val="100"/>
          <w:position w:val="0"/>
          <w:sz w:val="21"/>
          <w:szCs w:val="21"/>
          <w:highlight w:val="none"/>
          <w:lang w:val="en-US" w:eastAsia="zh-CN"/>
        </w:rPr>
        <w:t xml:space="preserve">4.3.1 </w:t>
      </w:r>
      <w:r>
        <w:rPr>
          <w:rFonts w:hint="eastAsia" w:ascii="宋体" w:hAnsi="宋体" w:eastAsia="宋体" w:cs="宋体"/>
          <w:color w:val="auto"/>
          <w:spacing w:val="0"/>
          <w:w w:val="100"/>
          <w:position w:val="0"/>
          <w:sz w:val="21"/>
          <w:szCs w:val="21"/>
          <w:highlight w:val="none"/>
          <w:lang w:val="en-US" w:eastAsia="zh-CN"/>
        </w:rPr>
        <w:t xml:space="preserve">在本章第 </w:t>
      </w:r>
      <w:r>
        <w:rPr>
          <w:rFonts w:hint="default" w:ascii="宋体" w:hAnsi="宋体" w:eastAsia="宋体" w:cs="宋体"/>
          <w:color w:val="auto"/>
          <w:spacing w:val="0"/>
          <w:w w:val="100"/>
          <w:position w:val="0"/>
          <w:sz w:val="21"/>
          <w:szCs w:val="21"/>
          <w:highlight w:val="none"/>
          <w:lang w:val="en-US" w:eastAsia="zh-CN"/>
        </w:rPr>
        <w:t xml:space="preserve">4.2.1 </w:t>
      </w:r>
      <w:r>
        <w:rPr>
          <w:rFonts w:hint="eastAsia" w:ascii="宋体" w:hAnsi="宋体" w:eastAsia="宋体" w:cs="宋体"/>
          <w:color w:val="auto"/>
          <w:spacing w:val="0"/>
          <w:w w:val="100"/>
          <w:position w:val="0"/>
          <w:sz w:val="21"/>
          <w:szCs w:val="21"/>
          <w:highlight w:val="none"/>
          <w:lang w:val="en-US" w:eastAsia="zh-CN"/>
        </w:rPr>
        <w:t xml:space="preserve">项规定的投标截止时间前，投标人可以修改或撤回已递交的投标文件。投标人对加密的投标文件进行撤回的，应在“电子交易平台”直接进行撤回操作；投标人对加密的投标文件进行修改的，应在投标截止时间前完成上传。 </w:t>
      </w:r>
    </w:p>
    <w:p w14:paraId="52E2F03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default" w:ascii="宋体" w:hAnsi="宋体" w:eastAsia="宋体" w:cs="宋体"/>
          <w:color w:val="auto"/>
          <w:spacing w:val="0"/>
          <w:w w:val="100"/>
          <w:position w:val="0"/>
          <w:sz w:val="21"/>
          <w:szCs w:val="21"/>
          <w:highlight w:val="none"/>
          <w:lang w:val="en-US" w:eastAsia="zh-CN"/>
        </w:rPr>
        <w:t xml:space="preserve">4.3.2 </w:t>
      </w:r>
      <w:r>
        <w:rPr>
          <w:rFonts w:hint="eastAsia" w:ascii="宋体" w:hAnsi="宋体" w:eastAsia="宋体" w:cs="宋体"/>
          <w:color w:val="auto"/>
          <w:spacing w:val="0"/>
          <w:w w:val="100"/>
          <w:position w:val="0"/>
          <w:sz w:val="21"/>
          <w:szCs w:val="21"/>
          <w:highlight w:val="none"/>
          <w:lang w:val="en-US" w:eastAsia="zh-CN"/>
        </w:rPr>
        <w:t xml:space="preserve">投标人修改投标文件的，应使用“投标文件制作工具”制作成完整的投标文件，并按照本章第 </w:t>
      </w:r>
      <w:r>
        <w:rPr>
          <w:rFonts w:hint="default" w:ascii="宋体" w:hAnsi="宋体" w:eastAsia="宋体" w:cs="宋体"/>
          <w:color w:val="auto"/>
          <w:spacing w:val="0"/>
          <w:w w:val="100"/>
          <w:position w:val="0"/>
          <w:sz w:val="21"/>
          <w:szCs w:val="21"/>
          <w:highlight w:val="none"/>
          <w:lang w:val="en-US" w:eastAsia="zh-CN"/>
        </w:rPr>
        <w:t xml:space="preserve">3 </w:t>
      </w:r>
      <w:r>
        <w:rPr>
          <w:rFonts w:hint="eastAsia" w:ascii="宋体" w:hAnsi="宋体" w:eastAsia="宋体" w:cs="宋体"/>
          <w:color w:val="auto"/>
          <w:spacing w:val="0"/>
          <w:w w:val="100"/>
          <w:position w:val="0"/>
          <w:sz w:val="21"/>
          <w:szCs w:val="21"/>
          <w:highlight w:val="none"/>
          <w:lang w:val="en-US" w:eastAsia="zh-CN"/>
        </w:rPr>
        <w:t xml:space="preserve">条、第 </w:t>
      </w:r>
      <w:r>
        <w:rPr>
          <w:rFonts w:hint="default" w:ascii="宋体" w:hAnsi="宋体" w:eastAsia="宋体" w:cs="宋体"/>
          <w:color w:val="auto"/>
          <w:spacing w:val="0"/>
          <w:w w:val="100"/>
          <w:position w:val="0"/>
          <w:sz w:val="21"/>
          <w:szCs w:val="21"/>
          <w:highlight w:val="none"/>
          <w:lang w:val="en-US" w:eastAsia="zh-CN"/>
        </w:rPr>
        <w:t xml:space="preserve">4 </w:t>
      </w:r>
      <w:r>
        <w:rPr>
          <w:rFonts w:hint="eastAsia" w:ascii="宋体" w:hAnsi="宋体" w:eastAsia="宋体" w:cs="宋体"/>
          <w:color w:val="auto"/>
          <w:spacing w:val="0"/>
          <w:w w:val="100"/>
          <w:position w:val="0"/>
          <w:sz w:val="21"/>
          <w:szCs w:val="21"/>
          <w:highlight w:val="none"/>
          <w:lang w:val="en-US" w:eastAsia="zh-CN"/>
        </w:rPr>
        <w:t xml:space="preserve">条规定进行编制、加密和递交。对采用网上递交的加密的投标文件，以投标截止时间前最后完成上传的文件为准。 </w:t>
      </w:r>
    </w:p>
    <w:p w14:paraId="7704DC8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default" w:ascii="宋体" w:hAnsi="宋体" w:eastAsia="宋体" w:cs="宋体"/>
          <w:color w:val="auto"/>
          <w:spacing w:val="0"/>
          <w:w w:val="100"/>
          <w:position w:val="0"/>
          <w:sz w:val="21"/>
          <w:szCs w:val="21"/>
          <w:highlight w:val="none"/>
          <w:lang w:val="en-US" w:eastAsia="zh-CN"/>
        </w:rPr>
        <w:t xml:space="preserve">4.3.3 </w:t>
      </w:r>
      <w:r>
        <w:rPr>
          <w:rFonts w:hint="eastAsia" w:ascii="宋体" w:hAnsi="宋体" w:eastAsia="宋体" w:cs="宋体"/>
          <w:color w:val="auto"/>
          <w:spacing w:val="0"/>
          <w:w w:val="100"/>
          <w:position w:val="0"/>
          <w:sz w:val="21"/>
          <w:szCs w:val="21"/>
          <w:highlight w:val="none"/>
          <w:lang w:val="en-US" w:eastAsia="zh-CN"/>
        </w:rPr>
        <w:t xml:space="preserve">投标人撤回投标文件的，招标人自收到投标人书面撤回通知之日起 </w:t>
      </w:r>
      <w:r>
        <w:rPr>
          <w:rFonts w:hint="default" w:ascii="宋体" w:hAnsi="宋体" w:eastAsia="宋体" w:cs="宋体"/>
          <w:color w:val="auto"/>
          <w:spacing w:val="0"/>
          <w:w w:val="100"/>
          <w:position w:val="0"/>
          <w:sz w:val="21"/>
          <w:szCs w:val="21"/>
          <w:highlight w:val="none"/>
          <w:lang w:val="en-US" w:eastAsia="zh-CN"/>
        </w:rPr>
        <w:t xml:space="preserve">5 </w:t>
      </w:r>
      <w:r>
        <w:rPr>
          <w:rFonts w:hint="eastAsia" w:ascii="宋体" w:hAnsi="宋体" w:eastAsia="宋体" w:cs="宋体"/>
          <w:color w:val="auto"/>
          <w:spacing w:val="0"/>
          <w:w w:val="100"/>
          <w:position w:val="0"/>
          <w:sz w:val="21"/>
          <w:szCs w:val="21"/>
          <w:highlight w:val="none"/>
          <w:lang w:val="en-US" w:eastAsia="zh-CN"/>
        </w:rPr>
        <w:t>日内退还已收取的投标保证金。</w:t>
      </w:r>
    </w:p>
    <w:p w14:paraId="5DB1FFA8">
      <w:pPr>
        <w:pStyle w:val="6"/>
        <w:spacing w:before="104" w:line="236" w:lineRule="auto"/>
        <w:ind w:left="38"/>
        <w:outlineLvl w:val="1"/>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5.</w:t>
      </w:r>
      <w:r>
        <w:rPr>
          <w:b/>
          <w:bCs/>
          <w:color w:val="auto"/>
          <w:spacing w:val="0"/>
          <w:w w:val="100"/>
          <w:position w:val="0"/>
          <w:sz w:val="28"/>
          <w:szCs w:val="28"/>
          <w:highlight w:val="none"/>
        </w:rPr>
        <w:t>开标</w:t>
      </w:r>
    </w:p>
    <w:p w14:paraId="2B5439EE">
      <w:pPr>
        <w:pStyle w:val="6"/>
        <w:spacing w:before="301" w:line="234" w:lineRule="auto"/>
        <w:ind w:left="36"/>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5.1 </w:t>
      </w:r>
      <w:r>
        <w:rPr>
          <w:b/>
          <w:bCs/>
          <w:color w:val="auto"/>
          <w:spacing w:val="0"/>
          <w:w w:val="100"/>
          <w:position w:val="0"/>
          <w:sz w:val="24"/>
          <w:szCs w:val="24"/>
          <w:highlight w:val="none"/>
        </w:rPr>
        <w:t>开标时间和地点</w:t>
      </w:r>
    </w:p>
    <w:p w14:paraId="3D760FA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招标人在本章第 4.2.1 项规定的投标截止时间（开标时间）和投标人须知前附表规定的地点对收到的投标文件第一个信封（商务及技术文件）公开开标，并邀请所有投标人的法定代表人或其委托代理人准时参加。 </w:t>
      </w:r>
    </w:p>
    <w:p w14:paraId="5FAD40B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招标人在投标人须知前附表规定的时间和地点对投标文件第二个信封（报价文件）进行开标，并邀请所有投标人的法定代表人或其委托代理人准时参加。 </w:t>
      </w:r>
    </w:p>
    <w:p w14:paraId="1E9D4D0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 xml:space="preserve">投标人若未派法定代表人或委托代理人参加第一个信封（商务及技术文件）开标的，其投标将被否决。投标人若未派法定代表人或委托代理人参加第二个信封（报价文件）开标的，视为该投标人默认第二个信封（报价文件）的开标结果。 </w:t>
      </w:r>
    </w:p>
    <w:p w14:paraId="4385BEA8">
      <w:pPr>
        <w:pStyle w:val="6"/>
        <w:spacing w:before="301" w:line="234" w:lineRule="auto"/>
        <w:ind w:left="36"/>
        <w:outlineLvl w:val="2"/>
        <w:rPr>
          <w:rFonts w:ascii="Times New Roman" w:hAnsi="Times New Roman" w:eastAsia="Times New Roman" w:cs="Times New Roman"/>
          <w:b/>
          <w:bCs/>
          <w:color w:val="auto"/>
          <w:spacing w:val="0"/>
          <w:w w:val="100"/>
          <w:position w:val="0"/>
          <w:sz w:val="24"/>
          <w:szCs w:val="24"/>
          <w:highlight w:val="none"/>
        </w:rPr>
      </w:pPr>
      <w:r>
        <w:rPr>
          <w:rFonts w:hint="eastAsia" w:ascii="Times New Roman" w:hAnsi="Times New Roman" w:eastAsia="Times New Roman" w:cs="Times New Roman"/>
          <w:b/>
          <w:bCs/>
          <w:color w:val="auto"/>
          <w:spacing w:val="0"/>
          <w:w w:val="100"/>
          <w:position w:val="0"/>
          <w:sz w:val="24"/>
          <w:szCs w:val="24"/>
          <w:highlight w:val="none"/>
          <w:lang w:val="en-US" w:eastAsia="zh-CN"/>
        </w:rPr>
        <w:t xml:space="preserve">5.2 开标程序 </w:t>
      </w:r>
    </w:p>
    <w:p w14:paraId="311D48D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5.2.1 主持人按下列程序对投标文件第一个信封（商务及技术文件）进行开标： </w:t>
      </w:r>
    </w:p>
    <w:p w14:paraId="1008BB0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（1）宣布开标纪律； </w:t>
      </w:r>
    </w:p>
    <w:p w14:paraId="3E7EF23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（2）公布在投标截止时间前递交投标文件的投标人数量；</w:t>
      </w:r>
    </w:p>
    <w:p w14:paraId="339110B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（3）宣布开标人、唱标人、记录人等有关人员姓名； </w:t>
      </w:r>
    </w:p>
    <w:p w14:paraId="5E2B020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（4）由招标人现场随机抽取的投标人代表抽取评标基准价系数（如有）； </w:t>
      </w:r>
    </w:p>
    <w:p w14:paraId="078441B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（5）投标人代表解密加密的投标文件； </w:t>
      </w:r>
    </w:p>
    <w:p w14:paraId="0E1F6F3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（6）招标人对未成功解密的投标文件进行退回并按本章第 5.3 款进行补救处理，对已解密成功的投标文件进行二次解密； </w:t>
      </w:r>
    </w:p>
    <w:p w14:paraId="3219884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（7）导入并读取所有解密成功的投标文件第一个信封（商务及技术文件）的内容； </w:t>
      </w:r>
    </w:p>
    <w:p w14:paraId="58C2FCC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（8）公布标段名称、投标人名称、投标保证金的递交情况、勘察设计服务期限及其他内容，并记录在案； </w:t>
      </w:r>
    </w:p>
    <w:p w14:paraId="0FD3CDB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（9）投标人代表、招标人代表、记录人等有关人员在开标记录上签字确认； </w:t>
      </w:r>
    </w:p>
    <w:p w14:paraId="076B9B4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（10）开标结束。</w:t>
      </w:r>
    </w:p>
    <w:p w14:paraId="37FFD1C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5.2.2 投标文件第二个信封（报价文件）在投标文件第一个信封（商务及技术文件）完成评审前，“电子交易平台”的开标评标系统将不进行读取。 </w:t>
      </w:r>
    </w:p>
    <w:p w14:paraId="6313B3D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5.2.3 招标人将按照本章第 5.1 款规定的时间和地点对投标文件第二个信封（报价文件）进行开标。主持人按下列程序进行开标： </w:t>
      </w:r>
    </w:p>
    <w:p w14:paraId="5FE0AE4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（1）宣布开标纪律； </w:t>
      </w:r>
    </w:p>
    <w:p w14:paraId="64B7DC7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（2）当众拆开投标文件第一个信封（商务及技术文件）评审结果的密封袋，宣布通过投标文件第一个信封（商务及技术文件）评审的投标人名单； </w:t>
      </w:r>
    </w:p>
    <w:p w14:paraId="706A5D1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（3）宣布开标人、唱标人、记录人等有关人员姓名； </w:t>
      </w:r>
    </w:p>
    <w:p w14:paraId="10B4B73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（4）开标人将所有投标文件第二个信封（报价文件）的内容导入“电子交易平台”的开标评标系统，未通过投标文件第一个信封（商务及技术文件）评审的投标人的第二个信封（报价文件）不予读取； </w:t>
      </w:r>
    </w:p>
    <w:p w14:paraId="5AA9704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（5）公布标段名称、投标人名称、投标报价及其他内容，并记录在案； </w:t>
      </w:r>
    </w:p>
    <w:p w14:paraId="68E2679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（6）投标人代表、招标人代表、记录人等有关人员在开标记录上签字确认； </w:t>
      </w:r>
    </w:p>
    <w:p w14:paraId="2CF65DA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（7）开标结束。 </w:t>
      </w:r>
    </w:p>
    <w:p w14:paraId="3CB19D2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5.2.4 在投标文件第二个信封（报价文件）开标现场，招标人将按第三章“评标办法”规定的原则计算并宣布评标基准价。若招标人发现投标文件出现以下任一情况，其投标报价将不再参加评标基准价的计算： </w:t>
      </w:r>
    </w:p>
    <w:p w14:paraId="32C75D5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（1）未在投标函上填写投标总价； </w:t>
      </w:r>
    </w:p>
    <w:p w14:paraId="14E9B63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（2）投标报价超出招标人公布的最高投标限价（如有）； </w:t>
      </w:r>
    </w:p>
    <w:p w14:paraId="50C6EB9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（3）投标报价的大写金额无法确定具体数值； </w:t>
      </w:r>
    </w:p>
    <w:p w14:paraId="56119C4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（4）投标函上填写的标段号与投标文件封套上标记的标段号不一致。 </w:t>
      </w:r>
    </w:p>
    <w:p w14:paraId="404E46E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如果投标人认为某一标段的评标基准价计算有误，有权在开标现场提出，经招标人当场核实确认之后，可重新宣布评标基准价。开标现场宣布的评标基准价除计算有误经评标委员会修正外，在整个评标期间保持不变，不随任何因素发生变化。 </w:t>
      </w:r>
    </w:p>
    <w:p w14:paraId="4FEFCE5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 xml:space="preserve">5.2.5 在投标文件第一个信封（商务及技术文件）或第二个信封（报价文件）开标过程中，若招标人宣读的内容与投标文件不符，投标人有权在开标现场提出疑问，经招标人当场核查确认之后，可重新宣读其投标文件。若投标人现场未提出疑问，则认为投标人已确认招标人宣读的内容。 </w:t>
      </w:r>
    </w:p>
    <w:p w14:paraId="1EFB55D6">
      <w:pPr>
        <w:pStyle w:val="6"/>
        <w:spacing w:before="301" w:line="234" w:lineRule="auto"/>
        <w:ind w:left="36"/>
        <w:outlineLvl w:val="2"/>
        <w:rPr>
          <w:rFonts w:hint="eastAsia" w:ascii="Times New Roman" w:hAnsi="Times New Roman" w:eastAsia="Times New Roman" w:cs="Times New Roman"/>
          <w:b/>
          <w:bCs/>
          <w:color w:val="auto"/>
          <w:spacing w:val="0"/>
          <w:w w:val="100"/>
          <w:position w:val="0"/>
          <w:sz w:val="24"/>
          <w:szCs w:val="24"/>
          <w:highlight w:val="none"/>
          <w:lang w:val="en-US" w:eastAsia="zh-CN"/>
        </w:rPr>
      </w:pPr>
      <w:r>
        <w:rPr>
          <w:rFonts w:hint="eastAsia" w:ascii="Times New Roman" w:hAnsi="Times New Roman" w:eastAsia="Times New Roman" w:cs="Times New Roman"/>
          <w:b/>
          <w:bCs/>
          <w:color w:val="auto"/>
          <w:spacing w:val="0"/>
          <w:w w:val="100"/>
          <w:position w:val="0"/>
          <w:sz w:val="24"/>
          <w:szCs w:val="24"/>
          <w:highlight w:val="none"/>
          <w:lang w:val="en-US" w:eastAsia="zh-CN"/>
        </w:rPr>
        <w:t>5.3 开标补救措施</w:t>
      </w:r>
    </w:p>
    <w:p w14:paraId="1A98560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80" w:firstLineChars="200"/>
        <w:jc w:val="both"/>
        <w:textAlignment w:val="baseline"/>
        <w:rPr>
          <w:rFonts w:hint="default" w:ascii="宋体" w:hAnsi="宋体" w:eastAsia="宋体" w:cs="宋体"/>
          <w:color w:val="auto"/>
          <w:spacing w:val="0"/>
          <w:w w:val="100"/>
          <w:position w:val="0"/>
          <w:sz w:val="21"/>
          <w:szCs w:val="21"/>
          <w:highlight w:val="none"/>
          <w:lang w:val="en-US" w:eastAsia="zh-CN"/>
        </w:rPr>
      </w:pPr>
      <w:r>
        <w:rPr>
          <w:rFonts w:hint="eastAsia" w:ascii="Times New Roman" w:hAnsi="Times New Roman" w:eastAsia="Times New Roman" w:cs="Times New Roman"/>
          <w:b/>
          <w:bCs/>
          <w:color w:val="auto"/>
          <w:spacing w:val="0"/>
          <w:w w:val="100"/>
          <w:position w:val="0"/>
          <w:sz w:val="24"/>
          <w:szCs w:val="24"/>
          <w:highlight w:val="none"/>
          <w:lang w:val="en-US" w:eastAsia="zh-CN"/>
        </w:rPr>
        <w:t xml:space="preserve"> </w:t>
      </w:r>
      <w:r>
        <w:rPr>
          <w:rFonts w:hint="default" w:ascii="宋体" w:hAnsi="宋体" w:eastAsia="宋体" w:cs="宋体"/>
          <w:color w:val="auto"/>
          <w:spacing w:val="0"/>
          <w:w w:val="100"/>
          <w:position w:val="0"/>
          <w:sz w:val="21"/>
          <w:szCs w:val="21"/>
          <w:highlight w:val="none"/>
          <w:lang w:val="en-US" w:eastAsia="zh-CN"/>
        </w:rPr>
        <w:t xml:space="preserve">5.3.1 </w:t>
      </w:r>
      <w:r>
        <w:rPr>
          <w:rFonts w:hint="eastAsia" w:ascii="宋体" w:hAnsi="宋体" w:eastAsia="宋体" w:cs="宋体"/>
          <w:color w:val="auto"/>
          <w:spacing w:val="0"/>
          <w:w w:val="100"/>
          <w:position w:val="0"/>
          <w:sz w:val="21"/>
          <w:szCs w:val="21"/>
          <w:highlight w:val="none"/>
          <w:lang w:val="en-US" w:eastAsia="zh-CN"/>
        </w:rPr>
        <w:t xml:space="preserve">开标过程中因本章第 </w:t>
      </w:r>
      <w:r>
        <w:rPr>
          <w:rFonts w:hint="default" w:ascii="宋体" w:hAnsi="宋体" w:eastAsia="宋体" w:cs="宋体"/>
          <w:color w:val="auto"/>
          <w:spacing w:val="0"/>
          <w:w w:val="100"/>
          <w:position w:val="0"/>
          <w:sz w:val="21"/>
          <w:szCs w:val="21"/>
          <w:highlight w:val="none"/>
          <w:lang w:val="en-US" w:eastAsia="zh-CN"/>
        </w:rPr>
        <w:t xml:space="preserve">5.3.2 </w:t>
      </w:r>
      <w:r>
        <w:rPr>
          <w:rFonts w:hint="eastAsia" w:ascii="宋体" w:hAnsi="宋体" w:eastAsia="宋体" w:cs="宋体"/>
          <w:color w:val="auto"/>
          <w:spacing w:val="0"/>
          <w:w w:val="100"/>
          <w:position w:val="0"/>
          <w:sz w:val="21"/>
          <w:szCs w:val="21"/>
          <w:highlight w:val="none"/>
          <w:lang w:val="en-US" w:eastAsia="zh-CN"/>
        </w:rPr>
        <w:t xml:space="preserve">项、第 </w:t>
      </w:r>
      <w:r>
        <w:rPr>
          <w:rFonts w:hint="default" w:ascii="宋体" w:hAnsi="宋体" w:eastAsia="宋体" w:cs="宋体"/>
          <w:color w:val="auto"/>
          <w:spacing w:val="0"/>
          <w:w w:val="100"/>
          <w:position w:val="0"/>
          <w:sz w:val="21"/>
          <w:szCs w:val="21"/>
          <w:highlight w:val="none"/>
          <w:lang w:val="en-US" w:eastAsia="zh-CN"/>
        </w:rPr>
        <w:t xml:space="preserve">5.3.3 </w:t>
      </w:r>
      <w:r>
        <w:rPr>
          <w:rFonts w:hint="eastAsia" w:ascii="宋体" w:hAnsi="宋体" w:eastAsia="宋体" w:cs="宋体"/>
          <w:color w:val="auto"/>
          <w:spacing w:val="0"/>
          <w:w w:val="100"/>
          <w:position w:val="0"/>
          <w:sz w:val="21"/>
          <w:szCs w:val="21"/>
          <w:highlight w:val="none"/>
          <w:lang w:val="en-US" w:eastAsia="zh-CN"/>
        </w:rPr>
        <w:t xml:space="preserve">项所列原因，导致系统无法正常运行，将按投标人须知前附表的规定采取补救措施。 </w:t>
      </w:r>
    </w:p>
    <w:p w14:paraId="205D19D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default" w:ascii="宋体" w:hAnsi="宋体" w:eastAsia="宋体" w:cs="宋体"/>
          <w:color w:val="auto"/>
          <w:spacing w:val="0"/>
          <w:w w:val="100"/>
          <w:position w:val="0"/>
          <w:sz w:val="21"/>
          <w:szCs w:val="21"/>
          <w:highlight w:val="none"/>
          <w:lang w:val="en-US" w:eastAsia="zh-CN"/>
        </w:rPr>
        <w:t xml:space="preserve">5.3.2 </w:t>
      </w:r>
      <w:r>
        <w:rPr>
          <w:rFonts w:hint="eastAsia" w:ascii="宋体" w:hAnsi="宋体" w:eastAsia="宋体" w:cs="宋体"/>
          <w:color w:val="auto"/>
          <w:spacing w:val="0"/>
          <w:w w:val="100"/>
          <w:position w:val="0"/>
          <w:sz w:val="21"/>
          <w:szCs w:val="21"/>
          <w:highlight w:val="none"/>
          <w:lang w:val="en-US" w:eastAsia="zh-CN"/>
        </w:rPr>
        <w:t xml:space="preserve">因“电子交易平台”系统故障导致投标人无法正常上传加密的投标文件，投标人应打印并递交电子交易平台自动生成的上传失败的异常记录单。 </w:t>
      </w:r>
    </w:p>
    <w:p w14:paraId="2689BAF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default" w:ascii="宋体" w:hAnsi="宋体" w:eastAsia="宋体" w:cs="宋体"/>
          <w:color w:val="auto"/>
          <w:spacing w:val="0"/>
          <w:w w:val="100"/>
          <w:position w:val="0"/>
          <w:sz w:val="21"/>
          <w:szCs w:val="21"/>
          <w:highlight w:val="none"/>
          <w:lang w:val="en-US" w:eastAsia="zh-CN"/>
        </w:rPr>
        <w:t xml:space="preserve">5.3.3 </w:t>
      </w:r>
      <w:r>
        <w:rPr>
          <w:rFonts w:hint="eastAsia" w:ascii="宋体" w:hAnsi="宋体" w:eastAsia="宋体" w:cs="宋体"/>
          <w:color w:val="auto"/>
          <w:spacing w:val="0"/>
          <w:w w:val="100"/>
          <w:position w:val="0"/>
          <w:sz w:val="21"/>
          <w:szCs w:val="21"/>
          <w:highlight w:val="none"/>
          <w:lang w:val="en-US" w:eastAsia="zh-CN"/>
        </w:rPr>
        <w:t xml:space="preserve">当出现以下情况时，应对未开标的中止电子开标，并在恢复正常后及时安排时间开标： </w:t>
      </w:r>
    </w:p>
    <w:p w14:paraId="5166C00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w:t>
      </w:r>
      <w:r>
        <w:rPr>
          <w:rFonts w:hint="default" w:ascii="宋体" w:hAnsi="宋体" w:eastAsia="宋体" w:cs="宋体"/>
          <w:color w:val="auto"/>
          <w:spacing w:val="0"/>
          <w:w w:val="100"/>
          <w:position w:val="0"/>
          <w:sz w:val="21"/>
          <w:szCs w:val="21"/>
          <w:highlight w:val="none"/>
          <w:lang w:val="en-US" w:eastAsia="zh-CN"/>
        </w:rPr>
        <w:t>1</w:t>
      </w:r>
      <w:r>
        <w:rPr>
          <w:rFonts w:hint="eastAsia" w:ascii="宋体" w:hAnsi="宋体" w:eastAsia="宋体" w:cs="宋体"/>
          <w:color w:val="auto"/>
          <w:spacing w:val="0"/>
          <w:w w:val="100"/>
          <w:position w:val="0"/>
          <w:sz w:val="21"/>
          <w:szCs w:val="21"/>
          <w:highlight w:val="none"/>
          <w:lang w:val="en-US" w:eastAsia="zh-CN"/>
        </w:rPr>
        <w:t xml:space="preserve">）系统服务器发生故障，无法访问或无法使用系统； </w:t>
      </w:r>
    </w:p>
    <w:p w14:paraId="7647BB3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w:t>
      </w:r>
      <w:r>
        <w:rPr>
          <w:rFonts w:hint="default" w:ascii="宋体" w:hAnsi="宋体" w:eastAsia="宋体" w:cs="宋体"/>
          <w:color w:val="auto"/>
          <w:spacing w:val="0"/>
          <w:w w:val="100"/>
          <w:position w:val="0"/>
          <w:sz w:val="21"/>
          <w:szCs w:val="21"/>
          <w:highlight w:val="none"/>
          <w:lang w:val="en-US" w:eastAsia="zh-CN"/>
        </w:rPr>
        <w:t>2</w:t>
      </w:r>
      <w:r>
        <w:rPr>
          <w:rFonts w:hint="eastAsia" w:ascii="宋体" w:hAnsi="宋体" w:eastAsia="宋体" w:cs="宋体"/>
          <w:color w:val="auto"/>
          <w:spacing w:val="0"/>
          <w:w w:val="100"/>
          <w:position w:val="0"/>
          <w:sz w:val="21"/>
          <w:szCs w:val="21"/>
          <w:highlight w:val="none"/>
          <w:lang w:val="en-US" w:eastAsia="zh-CN"/>
        </w:rPr>
        <w:t xml:space="preserve">）系统的软件或数据库出现错误，不能进行正常操作； </w:t>
      </w:r>
    </w:p>
    <w:p w14:paraId="138E79A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w:t>
      </w:r>
      <w:r>
        <w:rPr>
          <w:rFonts w:hint="default" w:ascii="宋体" w:hAnsi="宋体" w:eastAsia="宋体" w:cs="宋体"/>
          <w:color w:val="auto"/>
          <w:spacing w:val="0"/>
          <w:w w:val="100"/>
          <w:position w:val="0"/>
          <w:sz w:val="21"/>
          <w:szCs w:val="21"/>
          <w:highlight w:val="none"/>
          <w:lang w:val="en-US" w:eastAsia="zh-CN"/>
        </w:rPr>
        <w:t>3</w:t>
      </w:r>
      <w:r>
        <w:rPr>
          <w:rFonts w:hint="eastAsia" w:ascii="宋体" w:hAnsi="宋体" w:eastAsia="宋体" w:cs="宋体"/>
          <w:color w:val="auto"/>
          <w:spacing w:val="0"/>
          <w:w w:val="100"/>
          <w:position w:val="0"/>
          <w:sz w:val="21"/>
          <w:szCs w:val="21"/>
          <w:highlight w:val="none"/>
          <w:lang w:val="en-US" w:eastAsia="zh-CN"/>
        </w:rPr>
        <w:t xml:space="preserve">）系统发现有安全漏洞，有潜在的泄密危险； </w:t>
      </w:r>
    </w:p>
    <w:p w14:paraId="65192AA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w:t>
      </w:r>
      <w:r>
        <w:rPr>
          <w:rFonts w:hint="default" w:ascii="宋体" w:hAnsi="宋体" w:eastAsia="宋体" w:cs="宋体"/>
          <w:color w:val="auto"/>
          <w:spacing w:val="0"/>
          <w:w w:val="100"/>
          <w:position w:val="0"/>
          <w:sz w:val="21"/>
          <w:szCs w:val="21"/>
          <w:highlight w:val="none"/>
          <w:lang w:val="en-US" w:eastAsia="zh-CN"/>
        </w:rPr>
        <w:t>4</w:t>
      </w:r>
      <w:r>
        <w:rPr>
          <w:rFonts w:hint="eastAsia" w:ascii="宋体" w:hAnsi="宋体" w:eastAsia="宋体" w:cs="宋体"/>
          <w:color w:val="auto"/>
          <w:spacing w:val="0"/>
          <w:w w:val="100"/>
          <w:position w:val="0"/>
          <w:sz w:val="21"/>
          <w:szCs w:val="21"/>
          <w:highlight w:val="none"/>
          <w:lang w:val="en-US" w:eastAsia="zh-CN"/>
        </w:rPr>
        <w:t xml:space="preserve">）出现断电事故且短时间内无法恢复供电； </w:t>
      </w:r>
    </w:p>
    <w:p w14:paraId="721B927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w:t>
      </w:r>
      <w:r>
        <w:rPr>
          <w:rFonts w:hint="default" w:ascii="宋体" w:hAnsi="宋体" w:eastAsia="宋体" w:cs="宋体"/>
          <w:color w:val="auto"/>
          <w:spacing w:val="0"/>
          <w:w w:val="100"/>
          <w:position w:val="0"/>
          <w:sz w:val="21"/>
          <w:szCs w:val="21"/>
          <w:highlight w:val="none"/>
          <w:lang w:val="en-US" w:eastAsia="zh-CN"/>
        </w:rPr>
        <w:t>5</w:t>
      </w:r>
      <w:r>
        <w:rPr>
          <w:rFonts w:hint="eastAsia" w:ascii="宋体" w:hAnsi="宋体" w:eastAsia="宋体" w:cs="宋体"/>
          <w:color w:val="auto"/>
          <w:spacing w:val="0"/>
          <w:w w:val="100"/>
          <w:position w:val="0"/>
          <w:sz w:val="21"/>
          <w:szCs w:val="21"/>
          <w:highlight w:val="none"/>
          <w:lang w:val="en-US" w:eastAsia="zh-CN"/>
        </w:rPr>
        <w:t xml:space="preserve">）其他无法保证招投标过程正常进行的情形。 </w:t>
      </w:r>
    </w:p>
    <w:p w14:paraId="4AE3638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default" w:ascii="宋体" w:hAnsi="宋体" w:eastAsia="宋体" w:cs="宋体"/>
          <w:color w:val="auto"/>
          <w:spacing w:val="0"/>
          <w:w w:val="100"/>
          <w:position w:val="0"/>
          <w:sz w:val="21"/>
          <w:szCs w:val="21"/>
          <w:highlight w:val="none"/>
          <w:lang w:val="en-US" w:eastAsia="zh-CN"/>
        </w:rPr>
        <w:t xml:space="preserve">5.3.4 </w:t>
      </w:r>
      <w:r>
        <w:rPr>
          <w:rFonts w:hint="eastAsia" w:ascii="宋体" w:hAnsi="宋体" w:eastAsia="宋体" w:cs="宋体"/>
          <w:color w:val="auto"/>
          <w:spacing w:val="0"/>
          <w:w w:val="100"/>
          <w:position w:val="0"/>
          <w:sz w:val="21"/>
          <w:szCs w:val="21"/>
          <w:highlight w:val="none"/>
          <w:lang w:val="en-US" w:eastAsia="zh-CN"/>
        </w:rPr>
        <w:t>采取补救措施时，必须对原有资料及信息作出妥善保密处理。</w:t>
      </w:r>
    </w:p>
    <w:p w14:paraId="7E7108FD">
      <w:pPr>
        <w:pStyle w:val="6"/>
        <w:spacing w:before="305" w:line="232" w:lineRule="auto"/>
        <w:ind w:left="37"/>
        <w:outlineLvl w:val="2"/>
        <w:rPr>
          <w:rFonts w:hint="eastAsia" w:ascii="宋体" w:hAnsi="宋体" w:eastAsia="宋体" w:cs="宋体"/>
          <w:color w:val="auto"/>
          <w:spacing w:val="0"/>
          <w:w w:val="100"/>
          <w:position w:val="0"/>
          <w:sz w:val="21"/>
          <w:szCs w:val="21"/>
          <w:highlight w:val="none"/>
          <w:lang w:val="en-US" w:eastAsia="zh-CN"/>
        </w:rPr>
      </w:pPr>
      <w:r>
        <w:rPr>
          <w:rFonts w:hint="eastAsia" w:ascii="Times New Roman" w:hAnsi="Times New Roman" w:eastAsia="Times New Roman" w:cs="Times New Roman"/>
          <w:b/>
          <w:bCs/>
          <w:color w:val="auto"/>
          <w:spacing w:val="0"/>
          <w:w w:val="100"/>
          <w:position w:val="0"/>
          <w:sz w:val="24"/>
          <w:szCs w:val="24"/>
          <w:highlight w:val="none"/>
          <w:lang w:val="en-US" w:eastAsia="zh-CN"/>
        </w:rPr>
        <w:t xml:space="preserve">5.4 开标异议 </w:t>
      </w:r>
    </w:p>
    <w:p w14:paraId="4A6A793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投标人对开标有异议的，应在开标现场提出，招标人当场作出答复，并制作记录，有异议的投标人代表、招标人代表、记录人等有关人员在记录上签字确认。</w:t>
      </w:r>
    </w:p>
    <w:p w14:paraId="541BCBB7">
      <w:pPr>
        <w:pStyle w:val="6"/>
        <w:spacing w:before="128" w:line="233" w:lineRule="auto"/>
        <w:ind w:left="39"/>
        <w:outlineLvl w:val="1"/>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6.</w:t>
      </w:r>
      <w:r>
        <w:rPr>
          <w:b/>
          <w:bCs/>
          <w:color w:val="auto"/>
          <w:spacing w:val="0"/>
          <w:w w:val="100"/>
          <w:position w:val="0"/>
          <w:sz w:val="28"/>
          <w:szCs w:val="28"/>
          <w:highlight w:val="none"/>
        </w:rPr>
        <w:t>评标</w:t>
      </w:r>
    </w:p>
    <w:p w14:paraId="71B4E30D">
      <w:pPr>
        <w:pStyle w:val="6"/>
        <w:spacing w:before="305" w:line="232" w:lineRule="auto"/>
        <w:ind w:left="37"/>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6.1 </w:t>
      </w:r>
      <w:r>
        <w:rPr>
          <w:b/>
          <w:bCs/>
          <w:color w:val="auto"/>
          <w:spacing w:val="0"/>
          <w:w w:val="100"/>
          <w:position w:val="0"/>
          <w:sz w:val="24"/>
          <w:szCs w:val="24"/>
          <w:highlight w:val="none"/>
        </w:rPr>
        <w:t>评标委员会</w:t>
      </w:r>
    </w:p>
    <w:p w14:paraId="46D2CBC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426FB52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6.1.2 评标委员会成员有下列情形之一的，应主动提出回避：</w:t>
      </w:r>
    </w:p>
    <w:p w14:paraId="6D917D4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（1）为负责招标项目监督管理的交通运输主管部门的工作人员；</w:t>
      </w:r>
    </w:p>
    <w:p w14:paraId="442B431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（2）与投标人法定代表人或其委托代理人有近亲属关系；</w:t>
      </w:r>
    </w:p>
    <w:p w14:paraId="42F0AAF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（3）为投标人的工作人员或退休人员；</w:t>
      </w:r>
    </w:p>
    <w:p w14:paraId="1E8476D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（4）与投标人有其他利害关系，可能影响评标活动公正性；</w:t>
      </w:r>
    </w:p>
    <w:p w14:paraId="65D421A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（5）在与招标投标有关的活动中有过违法违规行为、曾受过行政处罚或刑事处罚。</w:t>
      </w:r>
    </w:p>
    <w:p w14:paraId="748056E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6.1.3 评标过程中，评标委员会成员有回避事由、擅离职守或因健康等原因不能继续评标的，招标人有权更换。被更换的评标委员会成员作出的评审结论无效，由更换后的评标委员会成员重新进行评审。</w:t>
      </w:r>
    </w:p>
    <w:p w14:paraId="747D4CF8">
      <w:pPr>
        <w:pStyle w:val="6"/>
        <w:spacing w:before="131" w:line="233" w:lineRule="auto"/>
        <w:ind w:left="37"/>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6.2 </w:t>
      </w:r>
      <w:r>
        <w:rPr>
          <w:b/>
          <w:bCs/>
          <w:color w:val="auto"/>
          <w:spacing w:val="0"/>
          <w:w w:val="100"/>
          <w:position w:val="0"/>
          <w:sz w:val="24"/>
          <w:szCs w:val="24"/>
          <w:highlight w:val="none"/>
        </w:rPr>
        <w:t>评标原则</w:t>
      </w:r>
    </w:p>
    <w:p w14:paraId="012C6BB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评标活动遵循公平、公正、科学和择优的原则。</w:t>
      </w:r>
    </w:p>
    <w:p w14:paraId="444B65AB">
      <w:pPr>
        <w:pStyle w:val="6"/>
        <w:spacing w:before="284" w:line="233" w:lineRule="auto"/>
        <w:ind w:left="37"/>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6.3 </w:t>
      </w:r>
      <w:r>
        <w:rPr>
          <w:b/>
          <w:bCs/>
          <w:color w:val="auto"/>
          <w:spacing w:val="0"/>
          <w:w w:val="100"/>
          <w:position w:val="0"/>
          <w:sz w:val="24"/>
          <w:szCs w:val="24"/>
          <w:highlight w:val="none"/>
        </w:rPr>
        <w:t>评标</w:t>
      </w:r>
    </w:p>
    <w:p w14:paraId="7729C8E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default" w:ascii="宋体" w:hAnsi="宋体" w:eastAsia="宋体" w:cs="宋体"/>
          <w:color w:val="auto"/>
          <w:spacing w:val="0"/>
          <w:w w:val="100"/>
          <w:position w:val="0"/>
          <w:sz w:val="21"/>
          <w:szCs w:val="21"/>
          <w:highlight w:val="none"/>
          <w:lang w:val="en-US" w:eastAsia="zh-CN"/>
        </w:rPr>
        <w:t xml:space="preserve">6.3.1 </w:t>
      </w:r>
      <w:r>
        <w:rPr>
          <w:rFonts w:hint="eastAsia" w:ascii="宋体" w:hAnsi="宋体" w:eastAsia="宋体" w:cs="宋体"/>
          <w:color w:val="auto"/>
          <w:spacing w:val="0"/>
          <w:w w:val="100"/>
          <w:position w:val="0"/>
          <w:sz w:val="21"/>
          <w:szCs w:val="21"/>
          <w:highlight w:val="none"/>
          <w:lang w:val="en-US" w:eastAsia="zh-CN"/>
        </w:rPr>
        <w:t>评标委员会按照第三章</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评标办法</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规定的方法、评审因素、标准和程序对投标文件进行评审。第三章</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评标办法</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 xml:space="preserve">没有规定的方法、评审因素和标准，不作为评标依据。 </w:t>
      </w:r>
    </w:p>
    <w:p w14:paraId="5965BCD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default" w:ascii="宋体" w:hAnsi="宋体" w:eastAsia="宋体" w:cs="宋体"/>
          <w:color w:val="auto"/>
          <w:spacing w:val="0"/>
          <w:w w:val="100"/>
          <w:position w:val="0"/>
          <w:sz w:val="21"/>
          <w:szCs w:val="21"/>
          <w:highlight w:val="none"/>
          <w:lang w:val="en-US" w:eastAsia="zh-CN"/>
        </w:rPr>
        <w:t xml:space="preserve">6.3.2 </w:t>
      </w:r>
      <w:r>
        <w:rPr>
          <w:rFonts w:hint="eastAsia" w:ascii="宋体" w:hAnsi="宋体" w:eastAsia="宋体" w:cs="宋体"/>
          <w:color w:val="auto"/>
          <w:spacing w:val="0"/>
          <w:w w:val="100"/>
          <w:position w:val="0"/>
          <w:sz w:val="21"/>
          <w:szCs w:val="21"/>
          <w:highlight w:val="none"/>
          <w:lang w:val="en-US" w:eastAsia="zh-CN"/>
        </w:rPr>
        <w:t xml:space="preserve">评标及补救措施 </w:t>
      </w:r>
    </w:p>
    <w:p w14:paraId="662F802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评标委员会按照本章第 </w:t>
      </w:r>
      <w:r>
        <w:rPr>
          <w:rFonts w:hint="default" w:ascii="宋体" w:hAnsi="宋体" w:eastAsia="宋体" w:cs="宋体"/>
          <w:color w:val="auto"/>
          <w:spacing w:val="0"/>
          <w:w w:val="100"/>
          <w:position w:val="0"/>
          <w:sz w:val="21"/>
          <w:szCs w:val="21"/>
          <w:highlight w:val="none"/>
          <w:lang w:val="en-US" w:eastAsia="zh-CN"/>
        </w:rPr>
        <w:t xml:space="preserve">6.3.1 </w:t>
      </w:r>
      <w:r>
        <w:rPr>
          <w:rFonts w:hint="eastAsia" w:ascii="宋体" w:hAnsi="宋体" w:eastAsia="宋体" w:cs="宋体"/>
          <w:color w:val="auto"/>
          <w:spacing w:val="0"/>
          <w:w w:val="100"/>
          <w:position w:val="0"/>
          <w:sz w:val="21"/>
          <w:szCs w:val="21"/>
          <w:highlight w:val="none"/>
          <w:lang w:val="en-US" w:eastAsia="zh-CN"/>
        </w:rPr>
        <w:t xml:space="preserve">项的规定在电子评标系统上开展评审工作。如果评标过程中出现异常情况，导致无法继续评审工作的，可暂停评标，对原有资料及信息作出妥善保密处理，待电子评标系统恢复正常之后，应重新组织评审。 </w:t>
      </w:r>
    </w:p>
    <w:p w14:paraId="57E9BE0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评标完成后，评标委员会应向招标人提交评标报告和中标候选人名单。评标委员会推荐中标候选人的人数见投标人须知前附表。</w:t>
      </w:r>
    </w:p>
    <w:p w14:paraId="3B7AF6C5">
      <w:pPr>
        <w:keepNext w:val="0"/>
        <w:keepLines w:val="0"/>
        <w:pageBreakBefore w:val="0"/>
        <w:widowControl/>
        <w:kinsoku w:val="0"/>
        <w:wordWrap/>
        <w:overflowPunct/>
        <w:topLinePunct w:val="0"/>
        <w:autoSpaceDE w:val="0"/>
        <w:autoSpaceDN w:val="0"/>
        <w:bidi w:val="0"/>
        <w:adjustRightInd w:val="0"/>
        <w:snapToGrid w:val="0"/>
        <w:spacing w:line="480" w:lineRule="exact"/>
        <w:ind w:right="0"/>
        <w:jc w:val="both"/>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7.</w:t>
      </w:r>
      <w:r>
        <w:rPr>
          <w:b/>
          <w:bCs/>
          <w:color w:val="auto"/>
          <w:spacing w:val="0"/>
          <w:w w:val="100"/>
          <w:position w:val="0"/>
          <w:sz w:val="28"/>
          <w:szCs w:val="28"/>
          <w:highlight w:val="none"/>
        </w:rPr>
        <w:t>合同授予</w:t>
      </w:r>
    </w:p>
    <w:p w14:paraId="2347FFBE">
      <w:pPr>
        <w:pStyle w:val="6"/>
        <w:spacing w:before="304" w:line="233" w:lineRule="auto"/>
        <w:ind w:left="36"/>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7.1 </w:t>
      </w:r>
      <w:r>
        <w:rPr>
          <w:b/>
          <w:bCs/>
          <w:color w:val="auto"/>
          <w:spacing w:val="0"/>
          <w:w w:val="100"/>
          <w:position w:val="0"/>
          <w:sz w:val="24"/>
          <w:szCs w:val="24"/>
          <w:highlight w:val="none"/>
        </w:rPr>
        <w:t>中标候选人公示</w:t>
      </w:r>
    </w:p>
    <w:p w14:paraId="721602E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招标人在收到评标报告之日起3日内，按照投标人须知前附表规定的公示媒介和期限公示中标候选人，公示期不得少于3日，公示内容包括：</w:t>
      </w:r>
    </w:p>
    <w:p w14:paraId="0F7E5EC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（1）中标候选人排序、名称、投标报价，对勘察设计质量要求、安全目标和勘察设计服务期限的响应情况；</w:t>
      </w:r>
    </w:p>
    <w:p w14:paraId="4CBF32B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（2）中标候选人在投标文件中承诺的项目负责人姓名、个人业绩、相关证书名称和编号；</w:t>
      </w:r>
    </w:p>
    <w:p w14:paraId="6E17AB1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（3）中标候选人在投标文件中填报的项目业绩；</w:t>
      </w:r>
    </w:p>
    <w:p w14:paraId="4AE8D1E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（4）被否决投标的投标人名称、否决依据和原因；</w:t>
      </w:r>
    </w:p>
    <w:p w14:paraId="18D0686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（5）提出异议的渠道和方式；</w:t>
      </w:r>
    </w:p>
    <w:p w14:paraId="35244CF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（6）投标人须知前附表规定公示的其他内容。</w:t>
      </w:r>
    </w:p>
    <w:p w14:paraId="6632C212">
      <w:pPr>
        <w:pStyle w:val="6"/>
        <w:spacing w:before="271" w:line="233" w:lineRule="auto"/>
        <w:ind w:left="36"/>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7.2 </w:t>
      </w:r>
      <w:r>
        <w:rPr>
          <w:b/>
          <w:bCs/>
          <w:color w:val="auto"/>
          <w:spacing w:val="0"/>
          <w:w w:val="100"/>
          <w:position w:val="0"/>
          <w:sz w:val="24"/>
          <w:szCs w:val="24"/>
          <w:highlight w:val="none"/>
        </w:rPr>
        <w:t>评标结果异议</w:t>
      </w:r>
    </w:p>
    <w:p w14:paraId="46DD8A8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投标人或其他利害关系人对依法必须进行招标的项目的评标结果有异议的，应在中标候选人公示期间提出。招标人将在收到异议之日起</w:t>
      </w:r>
      <w:r>
        <w:rPr>
          <w:rFonts w:hint="default" w:ascii="宋体" w:hAnsi="宋体" w:eastAsia="宋体" w:cs="宋体"/>
          <w:color w:val="auto"/>
          <w:spacing w:val="0"/>
          <w:w w:val="100"/>
          <w:position w:val="0"/>
          <w:sz w:val="21"/>
          <w:szCs w:val="21"/>
          <w:highlight w:val="none"/>
          <w:lang w:val="en-US" w:eastAsia="zh-CN"/>
        </w:rPr>
        <w:t>3</w:t>
      </w:r>
      <w:r>
        <w:rPr>
          <w:rFonts w:hint="eastAsia" w:ascii="宋体" w:hAnsi="宋体" w:eastAsia="宋体" w:cs="宋体"/>
          <w:color w:val="auto"/>
          <w:spacing w:val="0"/>
          <w:w w:val="100"/>
          <w:position w:val="0"/>
          <w:sz w:val="21"/>
          <w:szCs w:val="21"/>
          <w:highlight w:val="none"/>
          <w:lang w:val="en-US" w:eastAsia="zh-CN"/>
        </w:rPr>
        <w:t>日内作出答复；作出答复前，将暂停招标投标活动。提出异议与作出答复均应通过“电子交易平台”在“异议与答复”菜单以书面形式进行</w:t>
      </w:r>
      <w:r>
        <w:rPr>
          <w:rFonts w:ascii="宋体" w:hAnsi="宋体" w:eastAsia="宋体" w:cs="宋体"/>
          <w:color w:val="auto"/>
          <w:spacing w:val="0"/>
          <w:w w:val="100"/>
          <w:position w:val="0"/>
          <w:sz w:val="21"/>
          <w:szCs w:val="21"/>
          <w:highlight w:val="none"/>
        </w:rPr>
        <w:t>。</w:t>
      </w:r>
    </w:p>
    <w:p w14:paraId="7B079CF4">
      <w:pPr>
        <w:pStyle w:val="6"/>
        <w:spacing w:before="130" w:line="233" w:lineRule="auto"/>
        <w:ind w:left="36"/>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7.3 </w:t>
      </w:r>
      <w:r>
        <w:rPr>
          <w:b/>
          <w:bCs/>
          <w:color w:val="auto"/>
          <w:spacing w:val="0"/>
          <w:w w:val="100"/>
          <w:position w:val="0"/>
          <w:sz w:val="24"/>
          <w:szCs w:val="24"/>
          <w:highlight w:val="none"/>
        </w:rPr>
        <w:t>中标候选人履约能力审查</w:t>
      </w:r>
    </w:p>
    <w:p w14:paraId="257826B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445DE6A0">
      <w:pPr>
        <w:pStyle w:val="6"/>
        <w:spacing w:before="119" w:line="236" w:lineRule="auto"/>
        <w:ind w:left="36"/>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7.4 </w:t>
      </w:r>
      <w:r>
        <w:rPr>
          <w:b/>
          <w:bCs/>
          <w:color w:val="auto"/>
          <w:spacing w:val="0"/>
          <w:w w:val="100"/>
          <w:position w:val="0"/>
          <w:sz w:val="24"/>
          <w:szCs w:val="24"/>
          <w:highlight w:val="none"/>
        </w:rPr>
        <w:t>定标</w:t>
      </w:r>
    </w:p>
    <w:p w14:paraId="2C32D5B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按照投标人须知前附表的规定，招标人或招标人授权的评标委员会依法确定中标人。</w:t>
      </w:r>
    </w:p>
    <w:p w14:paraId="14502D05">
      <w:pPr>
        <w:pStyle w:val="6"/>
        <w:spacing w:before="285" w:line="233" w:lineRule="auto"/>
        <w:ind w:left="36"/>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7.5 </w:t>
      </w:r>
      <w:r>
        <w:rPr>
          <w:b/>
          <w:bCs/>
          <w:color w:val="auto"/>
          <w:spacing w:val="0"/>
          <w:w w:val="100"/>
          <w:position w:val="0"/>
          <w:sz w:val="24"/>
          <w:szCs w:val="24"/>
          <w:highlight w:val="none"/>
        </w:rPr>
        <w:t>中标通知</w:t>
      </w:r>
    </w:p>
    <w:p w14:paraId="58DC971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在本章第</w:t>
      </w:r>
      <w:r>
        <w:rPr>
          <w:rFonts w:hint="default" w:ascii="宋体" w:hAnsi="宋体" w:eastAsia="宋体" w:cs="宋体"/>
          <w:color w:val="auto"/>
          <w:spacing w:val="0"/>
          <w:w w:val="100"/>
          <w:position w:val="0"/>
          <w:sz w:val="21"/>
          <w:szCs w:val="21"/>
          <w:highlight w:val="none"/>
          <w:lang w:val="en-US" w:eastAsia="zh-CN"/>
        </w:rPr>
        <w:t>3.3</w:t>
      </w:r>
      <w:r>
        <w:rPr>
          <w:rFonts w:hint="eastAsia" w:ascii="宋体" w:hAnsi="宋体" w:eastAsia="宋体" w:cs="宋体"/>
          <w:color w:val="auto"/>
          <w:spacing w:val="0"/>
          <w:w w:val="100"/>
          <w:position w:val="0"/>
          <w:sz w:val="21"/>
          <w:szCs w:val="21"/>
          <w:highlight w:val="none"/>
          <w:lang w:val="en-US" w:eastAsia="zh-CN"/>
        </w:rPr>
        <w:t>款规定的投标有效期内，招标人应通过“电子交易平台”以数据电文形式向中标人发出中标通知书，同时将中标结果通知未中标的投标人</w:t>
      </w:r>
      <w:r>
        <w:rPr>
          <w:rFonts w:ascii="宋体" w:hAnsi="宋体" w:eastAsia="宋体" w:cs="宋体"/>
          <w:color w:val="auto"/>
          <w:spacing w:val="0"/>
          <w:w w:val="100"/>
          <w:position w:val="0"/>
          <w:sz w:val="21"/>
          <w:szCs w:val="21"/>
          <w:highlight w:val="none"/>
        </w:rPr>
        <w:t>。</w:t>
      </w:r>
    </w:p>
    <w:p w14:paraId="19312021">
      <w:pPr>
        <w:pStyle w:val="6"/>
        <w:spacing w:before="143" w:line="235" w:lineRule="auto"/>
        <w:ind w:left="36"/>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7.6 </w:t>
      </w:r>
      <w:r>
        <w:rPr>
          <w:b/>
          <w:bCs/>
          <w:color w:val="auto"/>
          <w:spacing w:val="0"/>
          <w:w w:val="100"/>
          <w:position w:val="0"/>
          <w:sz w:val="24"/>
          <w:szCs w:val="24"/>
          <w:highlight w:val="none"/>
        </w:rPr>
        <w:t>中标结果公告</w:t>
      </w:r>
    </w:p>
    <w:p w14:paraId="329CEC8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招标人在确定中标人之日起3日内，按照投标人须知前附表规定的公告媒介公告中标结果，公告内容包括中标人名称、中标价。</w:t>
      </w:r>
    </w:p>
    <w:p w14:paraId="2EC7312E">
      <w:pPr>
        <w:pStyle w:val="6"/>
        <w:spacing w:before="145" w:line="233" w:lineRule="auto"/>
        <w:ind w:left="36"/>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7.7 </w:t>
      </w:r>
      <w:r>
        <w:rPr>
          <w:b/>
          <w:bCs/>
          <w:color w:val="auto"/>
          <w:spacing w:val="0"/>
          <w:w w:val="100"/>
          <w:position w:val="0"/>
          <w:sz w:val="24"/>
          <w:szCs w:val="24"/>
          <w:highlight w:val="none"/>
        </w:rPr>
        <w:t>技术成果经济补偿</w:t>
      </w:r>
    </w:p>
    <w:p w14:paraId="0DF0F99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 xml:space="preserve">招标人对符合招标文件规定的未中标人的技术成果进行补偿的，招标人将按投标人须知前附表规定的标准给予经济补偿，未中标人在投标文件中声明放弃技术成果经济补偿费的除外。招标人将于中标通知书发出后 </w:t>
      </w:r>
      <w:r>
        <w:rPr>
          <w:rFonts w:hint="default" w:ascii="宋体" w:hAnsi="宋体" w:eastAsia="宋体" w:cs="宋体"/>
          <w:color w:val="auto"/>
          <w:spacing w:val="0"/>
          <w:w w:val="100"/>
          <w:position w:val="0"/>
          <w:sz w:val="21"/>
          <w:szCs w:val="21"/>
          <w:highlight w:val="none"/>
          <w:lang w:val="en-US" w:eastAsia="zh-CN"/>
        </w:rPr>
        <w:t xml:space="preserve">30 </w:t>
      </w:r>
      <w:r>
        <w:rPr>
          <w:rFonts w:hint="eastAsia" w:ascii="宋体" w:hAnsi="宋体" w:eastAsia="宋体" w:cs="宋体"/>
          <w:color w:val="auto"/>
          <w:spacing w:val="0"/>
          <w:w w:val="100"/>
          <w:position w:val="0"/>
          <w:sz w:val="21"/>
          <w:szCs w:val="21"/>
          <w:highlight w:val="none"/>
          <w:lang w:val="en-US" w:eastAsia="zh-CN"/>
        </w:rPr>
        <w:t>日内向未中标人支付技术成果经济补偿费</w:t>
      </w:r>
      <w:r>
        <w:rPr>
          <w:rFonts w:ascii="宋体" w:hAnsi="宋体" w:eastAsia="宋体" w:cs="宋体"/>
          <w:color w:val="auto"/>
          <w:spacing w:val="0"/>
          <w:w w:val="100"/>
          <w:position w:val="0"/>
          <w:sz w:val="21"/>
          <w:szCs w:val="21"/>
          <w:highlight w:val="none"/>
        </w:rPr>
        <w:t>。</w:t>
      </w:r>
    </w:p>
    <w:p w14:paraId="0ADD2D1A">
      <w:pPr>
        <w:pStyle w:val="6"/>
        <w:spacing w:before="97" w:line="233" w:lineRule="auto"/>
        <w:ind w:left="36"/>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7.8 </w:t>
      </w:r>
      <w:r>
        <w:rPr>
          <w:b/>
          <w:bCs/>
          <w:color w:val="auto"/>
          <w:spacing w:val="0"/>
          <w:w w:val="100"/>
          <w:position w:val="0"/>
          <w:sz w:val="24"/>
          <w:szCs w:val="24"/>
          <w:highlight w:val="none"/>
        </w:rPr>
        <w:t>履约保证金</w:t>
      </w:r>
    </w:p>
    <w:p w14:paraId="5B3C2AB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default" w:ascii="宋体" w:hAnsi="宋体" w:eastAsia="宋体" w:cs="宋体"/>
          <w:color w:val="auto"/>
          <w:spacing w:val="0"/>
          <w:w w:val="100"/>
          <w:position w:val="0"/>
          <w:sz w:val="21"/>
          <w:szCs w:val="21"/>
          <w:highlight w:val="none"/>
          <w:lang w:val="en-US" w:eastAsia="zh-CN"/>
        </w:rPr>
        <w:t xml:space="preserve">7.8.1 </w:t>
      </w:r>
      <w:r>
        <w:rPr>
          <w:rFonts w:hint="eastAsia" w:ascii="宋体" w:hAnsi="宋体" w:eastAsia="宋体" w:cs="宋体"/>
          <w:color w:val="auto"/>
          <w:spacing w:val="0"/>
          <w:w w:val="100"/>
          <w:position w:val="0"/>
          <w:sz w:val="21"/>
          <w:szCs w:val="21"/>
          <w:highlight w:val="none"/>
          <w:lang w:val="en-US" w:eastAsia="zh-CN"/>
        </w:rPr>
        <w:t>在签订合同前，中标人应按投标人须知前附表规定的形式、金额和招标文件第四章</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合同条款及格式</w:t>
      </w:r>
      <w:r>
        <w:rPr>
          <w:rFonts w:hint="default" w:ascii="宋体" w:hAnsi="宋体" w:eastAsia="宋体" w:cs="宋体"/>
          <w:color w:val="auto"/>
          <w:spacing w:val="0"/>
          <w:w w:val="100"/>
          <w:position w:val="0"/>
          <w:sz w:val="21"/>
          <w:szCs w:val="21"/>
          <w:highlight w:val="none"/>
          <w:lang w:val="en-US" w:eastAsia="zh-CN"/>
        </w:rPr>
        <w:t>”</w:t>
      </w:r>
      <w:r>
        <w:rPr>
          <w:rFonts w:hint="eastAsia" w:ascii="宋体" w:hAnsi="宋体" w:eastAsia="宋体" w:cs="宋体"/>
          <w:color w:val="auto"/>
          <w:spacing w:val="0"/>
          <w:w w:val="100"/>
          <w:position w:val="0"/>
          <w:sz w:val="21"/>
          <w:szCs w:val="21"/>
          <w:highlight w:val="none"/>
          <w:lang w:val="en-US" w:eastAsia="zh-CN"/>
        </w:rPr>
        <w:t xml:space="preserve">规定的或事先经过招标人书面认可的履约保证金格式向招标人提交履约保证金。除投标人须知前附表另有规定外，履约保证金为签约合同价的10%。联合体中标的，其履约保证金以联合体各方或联合体中牵头人的名义提交。 </w:t>
      </w:r>
    </w:p>
    <w:p w14:paraId="6D3E70A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 xml:space="preserve">采用银行保函时，应由符合投标人须知前附表规定级别的银行开具，所需的费用由中标人承担，中标人应保证银行保函有效。 </w:t>
      </w:r>
    </w:p>
    <w:p w14:paraId="1D44788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7.8.2 中标人不能按本章第7.8.1项要求提交履约保证金的，视为放弃中标，其投标保证金不予退还，给招标人造成的损失超过投标保证金数额的，中标人还应对超过部分予以赔偿</w:t>
      </w:r>
      <w:r>
        <w:rPr>
          <w:rFonts w:ascii="宋体" w:hAnsi="宋体" w:eastAsia="宋体" w:cs="宋体"/>
          <w:color w:val="auto"/>
          <w:spacing w:val="0"/>
          <w:w w:val="100"/>
          <w:position w:val="0"/>
          <w:sz w:val="21"/>
          <w:szCs w:val="21"/>
          <w:highlight w:val="none"/>
        </w:rPr>
        <w:t>。</w:t>
      </w:r>
    </w:p>
    <w:p w14:paraId="34DEE9B8">
      <w:pPr>
        <w:pStyle w:val="6"/>
        <w:spacing w:before="148" w:line="234" w:lineRule="auto"/>
        <w:ind w:left="36"/>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7.9 </w:t>
      </w:r>
      <w:r>
        <w:rPr>
          <w:b/>
          <w:bCs/>
          <w:color w:val="auto"/>
          <w:spacing w:val="0"/>
          <w:w w:val="100"/>
          <w:position w:val="0"/>
          <w:sz w:val="24"/>
          <w:szCs w:val="24"/>
          <w:highlight w:val="none"/>
        </w:rPr>
        <w:t>签订合同</w:t>
      </w:r>
    </w:p>
    <w:p w14:paraId="34ECD2E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7.9.1 招标人和中标人应在中标通知书发出之日起30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w:t>
      </w:r>
    </w:p>
    <w:p w14:paraId="2B6B946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7.9.2 发出中标通知书后，招标人无正当理由拒签合同，或在签订合同时向中标人提出附加条件的，招标人向中标人退还投标保证金；给中标人造成损失的，还应赔偿损失。</w:t>
      </w:r>
    </w:p>
    <w:p w14:paraId="4CC90AE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招标人不得以压低勘察设计费、增加工作量、缩短勘察设计服务期限等作为中标的条件，不得与中标人再行订立背离合同实质性内容的其他协议。</w:t>
      </w:r>
    </w:p>
    <w:p w14:paraId="4132817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7.9.3 签约合同价的确定原则如下：</w:t>
      </w:r>
    </w:p>
    <w:p w14:paraId="521971E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（1）按照评标办法规定对投标报价进行修正后，若修正后的最终投标报价小于开标时的投标函大写金额报价，则签订合同时以修正后的最终投标报价为准；</w:t>
      </w:r>
    </w:p>
    <w:p w14:paraId="7406D35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（2）按照评标办法规定对投标报价进行修正后，若修正后的最终投标报价大于开标时的投标函大写金额报价，则签订合同时以开标时的投标函大写金额报价为准，同时按比例修正相应子目的单价或合价。</w:t>
      </w:r>
    </w:p>
    <w:p w14:paraId="2B8C537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7.9.4 联合体中标的，联合体各方应共同与招标人签订合同，就中标项目向招标人承担连带责任。</w:t>
      </w:r>
    </w:p>
    <w:p w14:paraId="5DBA82D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7.9.5 招标人和中标人在签订合同协议书的同时，须按照本招标文件规定的格式和要求签订廉政合同，明确双方在廉政建设方面的权利和义务以及应承担的违约责任。</w:t>
      </w:r>
    </w:p>
    <w:p w14:paraId="573B0986">
      <w:pPr>
        <w:pStyle w:val="6"/>
        <w:spacing w:before="290" w:line="232" w:lineRule="auto"/>
        <w:ind w:left="38"/>
        <w:outlineLvl w:val="1"/>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8.</w:t>
      </w:r>
      <w:r>
        <w:rPr>
          <w:b/>
          <w:bCs/>
          <w:color w:val="auto"/>
          <w:spacing w:val="0"/>
          <w:w w:val="100"/>
          <w:position w:val="0"/>
          <w:sz w:val="28"/>
          <w:szCs w:val="28"/>
          <w:highlight w:val="none"/>
        </w:rPr>
        <w:t>纪律和监督</w:t>
      </w:r>
    </w:p>
    <w:p w14:paraId="49F24B93">
      <w:pPr>
        <w:pStyle w:val="6"/>
        <w:spacing w:before="307" w:line="233" w:lineRule="auto"/>
        <w:ind w:left="37"/>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8.1 </w:t>
      </w:r>
      <w:r>
        <w:rPr>
          <w:b/>
          <w:bCs/>
          <w:color w:val="auto"/>
          <w:spacing w:val="0"/>
          <w:w w:val="100"/>
          <w:position w:val="0"/>
          <w:sz w:val="24"/>
          <w:szCs w:val="24"/>
          <w:highlight w:val="none"/>
        </w:rPr>
        <w:t>对招标人的纪律要求</w:t>
      </w:r>
    </w:p>
    <w:p w14:paraId="2969253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招标人不得泄露招标投标活动中应保密的情况和资料，不得与投标人串通损害国家利益、社会公共利益或他人合法权益。</w:t>
      </w:r>
    </w:p>
    <w:p w14:paraId="2CCDEED0">
      <w:pPr>
        <w:pStyle w:val="6"/>
        <w:spacing w:before="121" w:line="233" w:lineRule="auto"/>
        <w:ind w:left="37"/>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8.2 </w:t>
      </w:r>
      <w:r>
        <w:rPr>
          <w:b/>
          <w:bCs/>
          <w:color w:val="auto"/>
          <w:spacing w:val="0"/>
          <w:w w:val="100"/>
          <w:position w:val="0"/>
          <w:sz w:val="24"/>
          <w:szCs w:val="24"/>
          <w:highlight w:val="none"/>
        </w:rPr>
        <w:t>对投标人的纪律要求</w:t>
      </w:r>
    </w:p>
    <w:p w14:paraId="2FB7324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投标人不得相互串通投标或与招标人串通投标，不得向招标人或评标委员会成员行贿谋取中标，不得以他人名义投标或以其他方式弄虚作假骗取中标；投标人不得以任何方式干扰、影响评标工作。</w:t>
      </w:r>
    </w:p>
    <w:p w14:paraId="40455D4A">
      <w:pPr>
        <w:pStyle w:val="6"/>
        <w:spacing w:before="123" w:line="232" w:lineRule="auto"/>
        <w:ind w:left="37"/>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8.3 </w:t>
      </w:r>
      <w:r>
        <w:rPr>
          <w:b/>
          <w:bCs/>
          <w:color w:val="auto"/>
          <w:spacing w:val="0"/>
          <w:w w:val="100"/>
          <w:position w:val="0"/>
          <w:sz w:val="24"/>
          <w:szCs w:val="24"/>
          <w:highlight w:val="none"/>
        </w:rPr>
        <w:t>对评标委员会成员的纪律要求</w:t>
      </w:r>
    </w:p>
    <w:p w14:paraId="71E0CFB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评标办法”没有规定的评审因素和标准进行评标。</w:t>
      </w:r>
    </w:p>
    <w:p w14:paraId="54AD393E">
      <w:pPr>
        <w:pStyle w:val="6"/>
        <w:spacing w:before="121" w:line="232" w:lineRule="auto"/>
        <w:ind w:left="37"/>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8.4 </w:t>
      </w:r>
      <w:r>
        <w:rPr>
          <w:b/>
          <w:bCs/>
          <w:color w:val="auto"/>
          <w:spacing w:val="0"/>
          <w:w w:val="100"/>
          <w:position w:val="0"/>
          <w:sz w:val="24"/>
          <w:szCs w:val="24"/>
          <w:highlight w:val="none"/>
        </w:rPr>
        <w:t>对与评标活动有关的工作人员的纪律要求</w:t>
      </w:r>
    </w:p>
    <w:p w14:paraId="41B80A7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14:paraId="7C8FCF10">
      <w:pPr>
        <w:pStyle w:val="6"/>
        <w:spacing w:before="122" w:line="231" w:lineRule="auto"/>
        <w:ind w:left="37"/>
        <w:outlineLvl w:val="2"/>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8.5 </w:t>
      </w:r>
      <w:r>
        <w:rPr>
          <w:b/>
          <w:bCs/>
          <w:color w:val="auto"/>
          <w:spacing w:val="0"/>
          <w:w w:val="100"/>
          <w:position w:val="0"/>
          <w:sz w:val="24"/>
          <w:szCs w:val="24"/>
          <w:highlight w:val="none"/>
        </w:rPr>
        <w:t>投诉</w:t>
      </w:r>
    </w:p>
    <w:p w14:paraId="5CA034D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8.5.1 投标人或其他利害关系人认为招标投标活动不符合法律、行政法规规定的，可以自知道或应当知道之日起10日内向有关行政监督部门投诉。投诉应有明确的请求和必要的证明材料。</w:t>
      </w:r>
    </w:p>
    <w:p w14:paraId="3B5BFCA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监督部门的联系方式见投标人须知前附表。</w:t>
      </w:r>
    </w:p>
    <w:p w14:paraId="0A1B3D2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8.5.2 投标人或其他利害关系人对招标文件、开标和评标结果提出投诉的，应按照本章第2.4款、第5.4款和第7.2款的规定先向招标人提出异议。异议答复期间不计算在第8.5.1项规定的期限内。</w:t>
      </w:r>
    </w:p>
    <w:p w14:paraId="62D74A4B">
      <w:pPr>
        <w:pStyle w:val="6"/>
        <w:spacing w:before="152" w:line="234" w:lineRule="auto"/>
        <w:ind w:left="37"/>
        <w:outlineLvl w:val="1"/>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9.</w:t>
      </w:r>
      <w:r>
        <w:rPr>
          <w:b/>
          <w:bCs/>
          <w:color w:val="auto"/>
          <w:spacing w:val="0"/>
          <w:w w:val="100"/>
          <w:position w:val="0"/>
          <w:sz w:val="28"/>
          <w:szCs w:val="28"/>
          <w:highlight w:val="none"/>
        </w:rPr>
        <w:t>是否采用电子招标投标</w:t>
      </w:r>
    </w:p>
    <w:p w14:paraId="56F817D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本招标项目是否采用电子招标投标方式，见投标人须知前附表。</w:t>
      </w:r>
    </w:p>
    <w:p w14:paraId="60D7061A">
      <w:pPr>
        <w:pStyle w:val="6"/>
        <w:spacing w:before="290" w:line="234" w:lineRule="auto"/>
        <w:ind w:left="47"/>
        <w:outlineLvl w:val="1"/>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10.</w:t>
      </w:r>
      <w:r>
        <w:rPr>
          <w:b/>
          <w:bCs/>
          <w:color w:val="auto"/>
          <w:spacing w:val="0"/>
          <w:w w:val="100"/>
          <w:position w:val="0"/>
          <w:sz w:val="28"/>
          <w:szCs w:val="28"/>
          <w:highlight w:val="none"/>
        </w:rPr>
        <w:t>需要补充的其他内容</w:t>
      </w:r>
    </w:p>
    <w:p w14:paraId="6D139F9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10.1 自购买招标文件之日起，投标人应保证其提供的联系方式（电话、传真、电子邮件）一直有效，以便及时收到招标人发出的函件（招标文件的澄清、修改等），并应及时向招标人反馈信息，否则招标人不承担由此引起的一切后果。</w:t>
      </w:r>
    </w:p>
    <w:p w14:paraId="7BE6CA6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2" w:firstLineChars="200"/>
        <w:jc w:val="both"/>
        <w:textAlignment w:val="baseline"/>
        <w:rPr>
          <w:rFonts w:hint="eastAsia" w:ascii="宋体" w:hAnsi="宋体" w:eastAsia="宋体" w:cs="宋体"/>
          <w:b/>
          <w:bCs/>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lang w:val="en-US" w:eastAsia="zh-CN"/>
        </w:rPr>
        <w:t>10.2</w:t>
      </w:r>
      <w:r>
        <w:rPr>
          <w:rFonts w:hint="eastAsia" w:ascii="宋体" w:hAnsi="宋体" w:eastAsia="宋体" w:cs="宋体"/>
          <w:b/>
          <w:bCs/>
          <w:color w:val="auto"/>
          <w:spacing w:val="0"/>
          <w:w w:val="100"/>
          <w:position w:val="0"/>
          <w:sz w:val="21"/>
          <w:szCs w:val="21"/>
          <w:highlight w:val="none"/>
        </w:rPr>
        <w:t xml:space="preserve">本项目采用优质采云采购平台进行全流程电子招投标。依据《关于进一步规范电子招标投标系统建设运营的通知》（发改委法规【2014】1925 号)的相关规定，由中标人支付交易平台使用与技术支持服务费用。收费标准:按每标段按中标金额*0.2‰费率计算，不满 3000 元时按 3000 元收取，超过 8000 元时，按 8000 元收取。该费用在工程量清单中不单独计列，请各投标人综合考虑报价。中标人在支付优质采云采购平台使用与技术支持服务费用后，凭缴费收据或发票到招标人处领取中标通知书。 </w:t>
      </w:r>
    </w:p>
    <w:p w14:paraId="020974B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2" w:firstLineChars="200"/>
        <w:jc w:val="both"/>
        <w:textAlignment w:val="baseline"/>
        <w:rPr>
          <w:rFonts w:hint="eastAsia" w:ascii="宋体" w:hAnsi="宋体" w:eastAsia="宋体" w:cs="宋体"/>
          <w:b/>
          <w:bCs/>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rPr>
        <w:t>户名: 安徽智云上数字科技有限公司</w:t>
      </w:r>
    </w:p>
    <w:p w14:paraId="32C856B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2" w:firstLineChars="200"/>
        <w:jc w:val="both"/>
        <w:textAlignment w:val="baseline"/>
        <w:rPr>
          <w:rFonts w:hint="eastAsia" w:ascii="宋体" w:hAnsi="宋体" w:eastAsia="宋体" w:cs="宋体"/>
          <w:b/>
          <w:bCs/>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rPr>
        <w:t>账号: 34050147470800003969</w:t>
      </w:r>
    </w:p>
    <w:p w14:paraId="7FC0145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2" w:firstLineChars="200"/>
        <w:jc w:val="both"/>
        <w:textAlignment w:val="baseline"/>
        <w:rPr>
          <w:rFonts w:hint="eastAsia" w:ascii="宋体" w:hAnsi="宋体" w:eastAsia="宋体" w:cs="宋体"/>
          <w:b/>
          <w:bCs/>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rPr>
        <w:t>开户银行: 中国建设银行股份有限公司合肥滨湖新区支行</w:t>
      </w:r>
    </w:p>
    <w:p w14:paraId="54EDA07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2" w:firstLineChars="200"/>
        <w:jc w:val="both"/>
        <w:textAlignment w:val="baseline"/>
        <w:rPr>
          <w:rFonts w:hint="eastAsia" w:ascii="宋体" w:hAnsi="宋体" w:eastAsia="宋体" w:cs="宋体"/>
          <w:b/>
          <w:bCs/>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rPr>
        <w:t>缴费咨询电话: 0551-62220164</w:t>
      </w:r>
      <w:bookmarkStart w:id="59" w:name="_GoBack"/>
      <w:bookmarkEnd w:id="59"/>
    </w:p>
    <w:p w14:paraId="02995CF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lang w:val="en-US" w:eastAsia="zh-CN"/>
        </w:rPr>
        <w:t>10.3</w:t>
      </w:r>
      <w:r>
        <w:rPr>
          <w:rFonts w:ascii="宋体" w:hAnsi="宋体" w:eastAsia="宋体" w:cs="宋体"/>
          <w:color w:val="auto"/>
          <w:spacing w:val="0"/>
          <w:w w:val="100"/>
          <w:position w:val="0"/>
          <w:sz w:val="21"/>
          <w:szCs w:val="21"/>
          <w:highlight w:val="none"/>
        </w:rPr>
        <w:t>需要补充的其他内容：见投标人须知前附表</w:t>
      </w:r>
      <w:r>
        <w:rPr>
          <w:rFonts w:hint="eastAsia" w:ascii="宋体" w:hAnsi="宋体" w:eastAsia="宋体" w:cs="宋体"/>
          <w:color w:val="auto"/>
          <w:spacing w:val="0"/>
          <w:w w:val="100"/>
          <w:position w:val="0"/>
          <w:sz w:val="21"/>
          <w:szCs w:val="21"/>
          <w:highlight w:val="none"/>
          <w:lang w:eastAsia="zh-CN"/>
        </w:rPr>
        <w:t>。</w:t>
      </w:r>
    </w:p>
    <w:p w14:paraId="14C9371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2" w:firstLineChars="200"/>
        <w:jc w:val="both"/>
        <w:textAlignment w:val="baseline"/>
        <w:rPr>
          <w:rFonts w:hint="eastAsia" w:ascii="宋体" w:hAnsi="宋体" w:eastAsia="宋体" w:cs="宋体"/>
          <w:b/>
          <w:bCs/>
          <w:color w:val="auto"/>
          <w:spacing w:val="0"/>
          <w:w w:val="100"/>
          <w:position w:val="0"/>
          <w:sz w:val="21"/>
          <w:szCs w:val="21"/>
          <w:highlight w:val="none"/>
        </w:rPr>
      </w:pPr>
    </w:p>
    <w:p w14:paraId="1F043DF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pPr>
    </w:p>
    <w:p w14:paraId="74A72C3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ascii="宋体" w:hAnsi="宋体" w:eastAsia="宋体" w:cs="宋体"/>
          <w:color w:val="auto"/>
          <w:spacing w:val="0"/>
          <w:w w:val="100"/>
          <w:position w:val="0"/>
          <w:sz w:val="21"/>
          <w:szCs w:val="21"/>
          <w:highlight w:val="none"/>
        </w:rPr>
        <w:sectPr>
          <w:headerReference r:id="rId16" w:type="default"/>
          <w:footerReference r:id="rId17" w:type="default"/>
          <w:pgSz w:w="11900" w:h="16843"/>
          <w:pgMar w:top="1378" w:right="1417" w:bottom="1208" w:left="1417" w:header="1366" w:footer="1003" w:gutter="0"/>
          <w:pgNumType w:fmt="decimal"/>
          <w:cols w:space="0" w:num="1"/>
          <w:rtlGutter w:val="0"/>
          <w:docGrid w:linePitch="0" w:charSpace="0"/>
        </w:sectPr>
      </w:pPr>
    </w:p>
    <w:p w14:paraId="68E72EF1">
      <w:pPr>
        <w:autoSpaceDE w:val="0"/>
        <w:autoSpaceDN w:val="0"/>
        <w:adjustRightInd w:val="0"/>
        <w:spacing w:line="360" w:lineRule="auto"/>
        <w:jc w:val="center"/>
        <w:rPr>
          <w:b/>
          <w:bCs/>
          <w:color w:val="auto"/>
          <w:sz w:val="22"/>
          <w:szCs w:val="22"/>
          <w:highlight w:val="none"/>
        </w:rPr>
      </w:pPr>
      <w:r>
        <w:rPr>
          <w:b/>
          <w:bCs/>
          <w:color w:val="auto"/>
          <w:sz w:val="22"/>
          <w:szCs w:val="22"/>
          <w:highlight w:val="none"/>
        </w:rPr>
        <w:t>附件：</w:t>
      </w:r>
      <w:r>
        <w:rPr>
          <w:rFonts w:hint="eastAsia"/>
          <w:b/>
          <w:bCs/>
          <w:color w:val="auto"/>
          <w:sz w:val="22"/>
          <w:szCs w:val="22"/>
          <w:highlight w:val="none"/>
        </w:rPr>
        <w:t>关于印发《合肥市公共资源交易电子招标投标操作规程》的通知</w:t>
      </w:r>
    </w:p>
    <w:p w14:paraId="413414D4">
      <w:pPr>
        <w:autoSpaceDE w:val="0"/>
        <w:autoSpaceDN w:val="0"/>
        <w:adjustRightInd w:val="0"/>
        <w:spacing w:line="360" w:lineRule="auto"/>
        <w:jc w:val="center"/>
        <w:rPr>
          <w:rFonts w:hint="eastAsia" w:eastAsia="宋体"/>
          <w:b/>
          <w:bCs/>
          <w:color w:val="auto"/>
          <w:sz w:val="22"/>
          <w:szCs w:val="22"/>
          <w:highlight w:val="none"/>
          <w:lang w:eastAsia="zh-CN"/>
        </w:rPr>
      </w:pPr>
      <w:r>
        <w:rPr>
          <w:rFonts w:hint="eastAsia"/>
          <w:b/>
          <w:bCs/>
          <w:color w:val="auto"/>
          <w:sz w:val="22"/>
          <w:szCs w:val="22"/>
          <w:highlight w:val="none"/>
        </w:rPr>
        <w:t>合公业〔2022〕250号</w:t>
      </w:r>
    </w:p>
    <w:p w14:paraId="5703469F">
      <w:pPr>
        <w:pStyle w:val="6"/>
        <w:spacing w:line="360" w:lineRule="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default" w:ascii="宋体" w:hAnsi="宋体" w:eastAsia="宋体" w:cs="宋体"/>
          <w:snapToGrid w:val="0"/>
          <w:color w:val="auto"/>
          <w:spacing w:val="0"/>
          <w:w w:val="100"/>
          <w:kern w:val="0"/>
          <w:position w:val="0"/>
          <w:sz w:val="21"/>
          <w:szCs w:val="21"/>
          <w:highlight w:val="none"/>
          <w:lang w:val="en-US" w:eastAsia="en-US" w:bidi="ar-SA"/>
        </w:rPr>
        <w:t>各有关单位：</w:t>
      </w:r>
    </w:p>
    <w:p w14:paraId="6DFED4A7">
      <w:pPr>
        <w:pStyle w:val="6"/>
        <w:spacing w:line="360" w:lineRule="auto"/>
        <w:ind w:firstLine="420" w:firstLineChars="200"/>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default" w:ascii="宋体" w:hAnsi="宋体" w:eastAsia="宋体" w:cs="宋体"/>
          <w:snapToGrid w:val="0"/>
          <w:color w:val="auto"/>
          <w:spacing w:val="0"/>
          <w:w w:val="100"/>
          <w:kern w:val="0"/>
          <w:position w:val="0"/>
          <w:sz w:val="21"/>
          <w:szCs w:val="21"/>
          <w:highlight w:val="none"/>
          <w:lang w:val="en-US" w:eastAsia="en-US" w:bidi="ar-SA"/>
        </w:rPr>
        <w:t>市公共资源交易监督管理局结合实际对《合肥市公共资源交易电子招标投标操作规程》进行修订，相关内容已经审议通过，并经市司法局依法登记，登记号“HFGS-2022-046”，现印发给你们，请遵照执行。</w:t>
      </w:r>
    </w:p>
    <w:p w14:paraId="68B8608E">
      <w:pPr>
        <w:pStyle w:val="6"/>
        <w:spacing w:line="360" w:lineRule="auto"/>
        <w:jc w:val="right"/>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default" w:ascii="宋体" w:hAnsi="宋体" w:eastAsia="宋体" w:cs="宋体"/>
          <w:snapToGrid w:val="0"/>
          <w:color w:val="auto"/>
          <w:spacing w:val="0"/>
          <w:w w:val="100"/>
          <w:kern w:val="0"/>
          <w:position w:val="0"/>
          <w:sz w:val="21"/>
          <w:szCs w:val="21"/>
          <w:highlight w:val="none"/>
          <w:lang w:val="en-US" w:eastAsia="en-US" w:bidi="ar-SA"/>
        </w:rPr>
        <w:t>2022年11月8日</w:t>
      </w:r>
    </w:p>
    <w:p w14:paraId="18D3E619">
      <w:pPr>
        <w:pStyle w:val="6"/>
        <w:spacing w:line="360" w:lineRule="auto"/>
        <w:rPr>
          <w:rFonts w:hint="default" w:ascii="宋体" w:hAnsi="宋体" w:eastAsia="宋体" w:cs="宋体"/>
          <w:snapToGrid w:val="0"/>
          <w:color w:val="auto"/>
          <w:spacing w:val="0"/>
          <w:w w:val="100"/>
          <w:kern w:val="0"/>
          <w:position w:val="0"/>
          <w:sz w:val="21"/>
          <w:szCs w:val="21"/>
          <w:highlight w:val="none"/>
          <w:lang w:val="en-US" w:eastAsia="en-US" w:bidi="ar-SA"/>
        </w:rPr>
      </w:pPr>
    </w:p>
    <w:p w14:paraId="7ACE336C">
      <w:pPr>
        <w:pStyle w:val="6"/>
        <w:keepNext w:val="0"/>
        <w:keepLines w:val="0"/>
        <w:pageBreakBefore w:val="0"/>
        <w:wordWrap/>
        <w:overflowPunct/>
        <w:topLinePunct w:val="0"/>
        <w:bidi w:val="0"/>
        <w:spacing w:line="400" w:lineRule="exact"/>
        <w:jc w:val="center"/>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default" w:ascii="宋体" w:hAnsi="宋体" w:eastAsia="宋体" w:cs="宋体"/>
          <w:snapToGrid w:val="0"/>
          <w:color w:val="auto"/>
          <w:spacing w:val="0"/>
          <w:w w:val="100"/>
          <w:kern w:val="0"/>
          <w:position w:val="0"/>
          <w:sz w:val="21"/>
          <w:szCs w:val="21"/>
          <w:highlight w:val="none"/>
          <w:lang w:val="en-US" w:eastAsia="en-US" w:bidi="ar-SA"/>
        </w:rPr>
        <w:t>合肥市公共资源交易电子招标投标操作规程</w:t>
      </w:r>
    </w:p>
    <w:p w14:paraId="663759DA">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ascii="宋体" w:hAnsi="宋体" w:eastAsia="宋体" w:cs="宋体"/>
          <w:snapToGrid w:val="0"/>
          <w:color w:val="auto"/>
          <w:spacing w:val="0"/>
          <w:w w:val="100"/>
          <w:kern w:val="0"/>
          <w:position w:val="0"/>
          <w:sz w:val="21"/>
          <w:szCs w:val="21"/>
          <w:highlight w:val="none"/>
          <w:lang w:val="en-US" w:eastAsia="en-US" w:bidi="ar-SA"/>
        </w:rPr>
        <w:t xml:space="preserve">第一条  </w:t>
      </w:r>
      <w:r>
        <w:rPr>
          <w:rFonts w:hint="eastAsia" w:ascii="宋体" w:hAnsi="宋体" w:eastAsia="宋体" w:cs="宋体"/>
          <w:snapToGrid w:val="0"/>
          <w:color w:val="auto"/>
          <w:spacing w:val="0"/>
          <w:w w:val="100"/>
          <w:kern w:val="0"/>
          <w:position w:val="0"/>
          <w:sz w:val="21"/>
          <w:szCs w:val="21"/>
          <w:highlight w:val="none"/>
          <w:lang w:val="en-US" w:eastAsia="en-US" w:bidi="ar-SA"/>
        </w:rPr>
        <w:t>为进一步规范招标投标行为，提高招标投标效率，充分利用信息网络技术，根据《中华人民共和国招标投标法》《中华人民共和国政府采购法》《中华人民共和国电子签名法》《合肥市公共资源交易管理条例》和《电子招标投标办法》（八部委20号令）等有关规定，结合工作实际，制定本规程。</w:t>
      </w:r>
    </w:p>
    <w:p w14:paraId="1BD3481A">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第二条  本规程适用于进入安徽合肥公共资源交易平台交易的项目。行业主管部门另有规定的，从其规定。</w:t>
      </w:r>
    </w:p>
    <w:p w14:paraId="6009A172">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第三条  本规程所称的电子招标投标，是指以数据电文形式，依托电子交易系统和电子服务系统完成的全部或者部分招标投标交易活动。</w:t>
      </w:r>
    </w:p>
    <w:p w14:paraId="770C8D4B">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第四条  电子交易系统是招标投标当事人通过数据电文形式完成招标投标交易活动的系统。</w:t>
      </w:r>
    </w:p>
    <w:p w14:paraId="7F7B12C5">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电子交易系统要具备在线完成招标投标全部交易过程，编辑、生成、对接、交换和发布有关招标投标数据信息的功能，并为行政监督部门依法实施监督和受理投诉提供所需的信息通道。</w:t>
      </w:r>
    </w:p>
    <w:p w14:paraId="2BB6D525">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第五条  电子服务系统是满足与各电子交易系统之间电子招标投标信息对接交换、资源共享需要，并为市场主体、行政监督部门和社会公众提供信息交换、整合和发布的系统。</w:t>
      </w:r>
    </w:p>
    <w:p w14:paraId="79209A7F">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电子服务系统要具备与各电子交易系统之间招标投标相关信息对接、交换、发布、资格信誉和业绩公开、行业统计分析、连接评标专家库、提供行政监督通道等服务功能。</w:t>
      </w:r>
    </w:p>
    <w:p w14:paraId="55F3CE28">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第六条  招标人或招标代理机构负责电子招标投标的组织实施，电子交易系统建设单位负责电子交易系统的服务保障，电子服务系统建设单位负责电子服务系统的服务保障。</w:t>
      </w:r>
    </w:p>
    <w:p w14:paraId="27BB9B58">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第七条  电子招标投标各方主体（招标人、投标人、招标代理机构等）应当按照相关规定取得和使用数字证书及电子签章，通过数字证书登录电子交易系统或电子服务系统进行操作。各方主体在系统中所有操作都具有法律效力,并承担法律责任。</w:t>
      </w:r>
    </w:p>
    <w:p w14:paraId="6F83E41D">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投标人应妥善保管数字证书，由于数字证书遗失、损坏、更换、续期等情况导致投标文件无法上传或解密，由投标人自行承担责任。</w:t>
      </w:r>
    </w:p>
    <w:p w14:paraId="06E9C308">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 xml:space="preserve">第八条  招标人或招标代理机构应在招标公告和招标文件中明确招标项目采取电子招标投标方式，并按相关流程通过电子交易系统制作招标文件。 </w:t>
      </w:r>
    </w:p>
    <w:p w14:paraId="7B64AF13">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第九条  招标公告、招标文件应由招标人或招标代理机构通过电子服务系统在安徽合肥公共资源交易中心网站发布，其中招标文件须加盖电子签章。</w:t>
      </w:r>
    </w:p>
    <w:p w14:paraId="6ACD5DAE">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第十条  投标人登录安徽合肥公共资源交易中心电子服务系统获取招标文件。</w:t>
      </w:r>
    </w:p>
    <w:p w14:paraId="7FD40CD1">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第十一条  澄清、修改文件应由招标人或招标代理机构通过电子服务系统在安徽合肥公共资源交易中心网站发布，投标人应及时查阅相关澄清、修改信息。</w:t>
      </w:r>
    </w:p>
    <w:p w14:paraId="1B711194">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第十二条  投标人应使用电子标书制作软件制作投标文件，电子标书制作软件应允许投标人离线制作投标文件，并且具备分段或整体加密、解密功能。</w:t>
      </w:r>
    </w:p>
    <w:p w14:paraId="2FF5B261">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第十三条  投标人必须对投标文件进行电子签章并使用数字证书加密，并于招标文件规定的投标截止时间前通过电子交易系统完成上传。</w:t>
      </w:r>
    </w:p>
    <w:p w14:paraId="5FB346F4">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投标人对加密的投标文件进行撤回的，应通过电子交易系统在投标截止时间前进行撤回操作；投标人对加密的投标文件进行修改的，应在投标截止时间前完成上传。</w:t>
      </w:r>
    </w:p>
    <w:p w14:paraId="582A5D9D">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第十四条  投标截止时间以电子交易系统显示的时间为准，逾期系统将自动关闭, 未完成上传的投标文件将被拒绝。</w:t>
      </w:r>
    </w:p>
    <w:p w14:paraId="161E16B4">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第十五条  投标人在投标截止时间后按招标文件规定的解密时间完成投标文件解密，加密和解密须用同一数字证书。投标人未在招标文件规定的时间内完成解密的视为其放弃投标。</w:t>
      </w:r>
    </w:p>
    <w:p w14:paraId="089713FA">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招标人或招标代理机构完成解密，导入并读取所有成功解密的投标文件，电子交易系统应自动记录开标过程。</w:t>
      </w:r>
    </w:p>
    <w:p w14:paraId="03E6055F">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招标文件约定须到达指定地点或线上进行演示、答辩、磋商、谈判等情形的，投标人应按照招标文件规定的时间到达指定地点或登录电子交易系统保持在线。</w:t>
      </w:r>
    </w:p>
    <w:p w14:paraId="7A3D35AA">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第十六条  未能成功解密的投标文件，如招标文件中允许使用电子光盘或U盘作为投标文件解密失败的补救方案，并且投标人在投标截止时间之前到达开标现场并成功递交，招标人或招标代理机构可导入电子光盘或U盘中非加密投标文件继续开标。若系统识别出电子光盘或U盘中未加密的投标文件和网上递交的加密投标文件识别码不一致，电子交易系统应拒绝导入。</w:t>
      </w:r>
    </w:p>
    <w:p w14:paraId="5ACDA99D">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第十七条  招标人或招标代理机构组织评标，评标委员会依据招标文件规定的评标办法进行电子评标，并对评标结果签字或电子签名确认。</w:t>
      </w:r>
    </w:p>
    <w:p w14:paraId="4C3873C8">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多次报价应按招标文件的要求提交。</w:t>
      </w:r>
    </w:p>
    <w:p w14:paraId="125CD490">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第十八条  评标委员会通过电子交易系统将需要澄清、说明或补正的内容以询标函的形式发送给投标人，投标人应登录电子交易系统并保持在线状态，以便及时接收评标委员会可能发出的询标函，并在规定时间内回复，若投标人未及时回复，视为放弃澄清、说明或补正。</w:t>
      </w:r>
    </w:p>
    <w:p w14:paraId="26E4B1F0">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第十九条  评标委员会完成评标后，应通过电子交易系统提交评标报告。招标人或招标代理机构将评标报告及时交互至电子服务系统。</w:t>
      </w:r>
    </w:p>
    <w:p w14:paraId="1AA55299">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第二十条  招标人或招标代理机构应通过电子服务系统在安徽合肥公共资源交易中心网站公示和公布中标候选人及中标结果。</w:t>
      </w:r>
    </w:p>
    <w:p w14:paraId="4D5C9351">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第二十一条  投标人如对招标投标活动有异议（质疑），在规定时限内，可以通过电子交易系统在线提交异议（质疑）材料。投标人对招标人、招标代理机构异议（质疑）答复不满意或者招标人、招标代理机构未在规定时间内作出答复的，可以在规定时间内在线向行政监督部门提出投诉。</w:t>
      </w:r>
    </w:p>
    <w:p w14:paraId="5BD2CE1F">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 xml:space="preserve">第二十二条  招标人确定中标人后，应通过电子交易系统向中标人发出中标通知书，中标通知书发出即视为送达。 </w:t>
      </w:r>
    </w:p>
    <w:p w14:paraId="0B35160A">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第二十三条  出现下列情形导致电子服务系统或电子交易系统无法正常运行，影响招标投标过程的公平、公正和信息安全，经第三方机构认定后，各方当事人免责：</w:t>
      </w:r>
    </w:p>
    <w:p w14:paraId="1CC5C9DB">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（一）网络、服务器、数据库发生故障造成无法访问或使用的；</w:t>
      </w:r>
    </w:p>
    <w:p w14:paraId="63AE95A9">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（二）电力系统发生故障导致电子服务系统或电子交易系统无法运行的；</w:t>
      </w:r>
    </w:p>
    <w:p w14:paraId="084D1BED">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（三）出现网络攻击、病毒入侵以及电子服务系统或电子交易系统安全漏洞导致无法正常提供服务的；</w:t>
      </w:r>
    </w:p>
    <w:p w14:paraId="35CC081D">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（四）其他无法保证招标投标过程公平、公正和信息安全的情形。</w:t>
      </w:r>
    </w:p>
    <w:p w14:paraId="56FAA1B2">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第二十四条  出现上述情形，系统建设方应及时组织相关方查明原因，排除故障。若能保证在开标前恢复系统运行的，招投标程序继续进行；若导致开评标程序无法按时开展，但能在原开标时间后1小时内恢复系统运行的，招投标程序继续进行；若导致开评标程序无法按时开展，在原开标时间后1小时内无法恢复系统运行的，按以下程序操作：</w:t>
      </w:r>
    </w:p>
    <w:p w14:paraId="24E52D59">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一）项目中止，中止期限由招标人或招标代理机构根据项目具体情况确定。中止期限届满后中止情形尚未消除的，招标人或招标代理机构可以根据实际情况决定延长中止期限。决定延长中止期限的，应向投标人发出延长中止期限通知，并在安徽合肥公共资源交易中心网站进行公布。</w:t>
      </w:r>
    </w:p>
    <w:p w14:paraId="5CEF5CE2">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二）项目恢复，导致项目中止的情形消除后，招标人或招标代理机构应当尽快恢复招投标程序，向投标人发出恢复交易通知，并在安徽合肥公共资源交易中心网站进行公布；已发出延长中止期限通知的，按通知执行。</w:t>
      </w:r>
    </w:p>
    <w:p w14:paraId="44AE1F8B">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第二十五条  在招标文件规定的解密时间内出现第二十三条规定的意外情形时，如部分投标人未完成投标文件解密的，系统恢复后，允许投标人继续解密，解密时限重新计时；在规定的解密时间外出现上述情况的，系统恢复后，除原已解密文件无法恢复外，将不再允许未解密的投标人进行解密。</w:t>
      </w:r>
    </w:p>
    <w:p w14:paraId="19BE9F6E">
      <w:pPr>
        <w:pStyle w:val="6"/>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第二十六条  本规程由合肥市公共资源交易监督管理局负责解释。</w:t>
      </w:r>
    </w:p>
    <w:p w14:paraId="6742A552">
      <w:pPr>
        <w:pStyle w:val="6"/>
        <w:keepNext w:val="0"/>
        <w:keepLines w:val="0"/>
        <w:pageBreakBefore w:val="0"/>
        <w:widowControl/>
        <w:kinsoku w:val="0"/>
        <w:wordWrap/>
        <w:overflowPunct/>
        <w:topLinePunct w:val="0"/>
        <w:autoSpaceDE w:val="0"/>
        <w:autoSpaceDN w:val="0"/>
        <w:bidi w:val="0"/>
        <w:snapToGrid w:val="0"/>
        <w:spacing w:line="400" w:lineRule="exact"/>
        <w:ind w:right="0"/>
        <w:textAlignment w:val="baseline"/>
        <w:rPr>
          <w:rFonts w:ascii="宋体" w:hAnsi="宋体" w:eastAsia="宋体" w:cs="宋体"/>
          <w:snapToGrid w:val="0"/>
          <w:color w:val="auto"/>
          <w:spacing w:val="0"/>
          <w:w w:val="100"/>
          <w:kern w:val="0"/>
          <w:position w:val="0"/>
          <w:sz w:val="21"/>
          <w:szCs w:val="21"/>
          <w:highlight w:val="none"/>
          <w:lang w:val="en-US" w:eastAsia="en-US" w:bidi="ar-SA"/>
        </w:rPr>
      </w:pPr>
      <w:r>
        <w:rPr>
          <w:rFonts w:hint="eastAsia" w:ascii="宋体" w:hAnsi="宋体" w:eastAsia="宋体" w:cs="宋体"/>
          <w:snapToGrid w:val="0"/>
          <w:color w:val="auto"/>
          <w:spacing w:val="0"/>
          <w:w w:val="100"/>
          <w:kern w:val="0"/>
          <w:position w:val="0"/>
          <w:sz w:val="21"/>
          <w:szCs w:val="21"/>
          <w:highlight w:val="none"/>
          <w:lang w:val="en-US" w:eastAsia="en-US" w:bidi="ar-SA"/>
        </w:rPr>
        <w:t>第二十七条  本规程自发布之日起施行，有效期2年。原《合肥市公共资源交易电子招标投标操作规程》（合公法〔2020〕16号）同时废止</w:t>
      </w:r>
      <w:r>
        <w:rPr>
          <w:rFonts w:ascii="宋体" w:hAnsi="宋体" w:eastAsia="宋体" w:cs="宋体"/>
          <w:snapToGrid w:val="0"/>
          <w:color w:val="auto"/>
          <w:spacing w:val="0"/>
          <w:w w:val="100"/>
          <w:kern w:val="0"/>
          <w:position w:val="0"/>
          <w:sz w:val="21"/>
          <w:szCs w:val="21"/>
          <w:highlight w:val="none"/>
          <w:lang w:val="en-US" w:eastAsia="en-US" w:bidi="ar-SA"/>
        </w:rPr>
        <w:t>。</w:t>
      </w:r>
    </w:p>
    <w:p w14:paraId="62DBB7D8">
      <w:pPr>
        <w:spacing w:before="157" w:line="297" w:lineRule="auto"/>
        <w:ind w:left="37" w:right="64" w:firstLine="421"/>
        <w:rPr>
          <w:rFonts w:ascii="宋体" w:hAnsi="宋体" w:eastAsia="宋体" w:cs="宋体"/>
          <w:color w:val="auto"/>
          <w:spacing w:val="0"/>
          <w:w w:val="100"/>
          <w:position w:val="0"/>
          <w:sz w:val="21"/>
          <w:szCs w:val="21"/>
          <w:highlight w:val="none"/>
        </w:rPr>
        <w:sectPr>
          <w:headerReference r:id="rId18" w:type="default"/>
          <w:footerReference r:id="rId19" w:type="default"/>
          <w:pgSz w:w="11900" w:h="16843"/>
          <w:pgMar w:top="1378" w:right="1417" w:bottom="1208" w:left="1417" w:header="1366" w:footer="1003" w:gutter="0"/>
          <w:pgNumType w:fmt="decimal"/>
          <w:cols w:space="0" w:num="1"/>
          <w:rtlGutter w:val="0"/>
          <w:docGrid w:linePitch="0" w:charSpace="0"/>
        </w:sectPr>
      </w:pPr>
    </w:p>
    <w:p w14:paraId="24AAF440">
      <w:pPr>
        <w:spacing w:line="250" w:lineRule="auto"/>
        <w:rPr>
          <w:rFonts w:ascii="Arial"/>
          <w:color w:val="auto"/>
          <w:spacing w:val="0"/>
          <w:w w:val="100"/>
          <w:position w:val="0"/>
          <w:sz w:val="21"/>
          <w:highlight w:val="none"/>
        </w:rPr>
      </w:pPr>
    </w:p>
    <w:p w14:paraId="7552B561">
      <w:pPr>
        <w:spacing w:line="250" w:lineRule="auto"/>
        <w:rPr>
          <w:rFonts w:ascii="Arial"/>
          <w:color w:val="auto"/>
          <w:spacing w:val="0"/>
          <w:w w:val="100"/>
          <w:position w:val="0"/>
          <w:sz w:val="21"/>
          <w:highlight w:val="none"/>
        </w:rPr>
      </w:pPr>
    </w:p>
    <w:p w14:paraId="3C28EC4C">
      <w:pPr>
        <w:spacing w:line="250" w:lineRule="auto"/>
        <w:rPr>
          <w:rFonts w:ascii="Arial"/>
          <w:color w:val="auto"/>
          <w:spacing w:val="0"/>
          <w:w w:val="100"/>
          <w:position w:val="0"/>
          <w:sz w:val="21"/>
          <w:highlight w:val="none"/>
        </w:rPr>
      </w:pPr>
    </w:p>
    <w:p w14:paraId="6B3F18BE">
      <w:pPr>
        <w:spacing w:line="250" w:lineRule="auto"/>
        <w:rPr>
          <w:rFonts w:ascii="Arial"/>
          <w:color w:val="auto"/>
          <w:spacing w:val="0"/>
          <w:w w:val="100"/>
          <w:position w:val="0"/>
          <w:sz w:val="21"/>
          <w:highlight w:val="none"/>
        </w:rPr>
      </w:pPr>
    </w:p>
    <w:p w14:paraId="1267C8D0">
      <w:pPr>
        <w:spacing w:line="250" w:lineRule="auto"/>
        <w:rPr>
          <w:rFonts w:ascii="Arial"/>
          <w:color w:val="auto"/>
          <w:spacing w:val="0"/>
          <w:w w:val="100"/>
          <w:position w:val="0"/>
          <w:sz w:val="21"/>
          <w:highlight w:val="none"/>
        </w:rPr>
      </w:pPr>
    </w:p>
    <w:p w14:paraId="22581E4F">
      <w:pPr>
        <w:spacing w:line="250" w:lineRule="auto"/>
        <w:rPr>
          <w:rFonts w:ascii="Arial"/>
          <w:color w:val="auto"/>
          <w:spacing w:val="0"/>
          <w:w w:val="100"/>
          <w:position w:val="0"/>
          <w:sz w:val="21"/>
          <w:highlight w:val="none"/>
        </w:rPr>
      </w:pPr>
    </w:p>
    <w:p w14:paraId="78CCB778">
      <w:pPr>
        <w:spacing w:line="250" w:lineRule="auto"/>
        <w:rPr>
          <w:rFonts w:ascii="Arial"/>
          <w:color w:val="auto"/>
          <w:spacing w:val="0"/>
          <w:w w:val="100"/>
          <w:position w:val="0"/>
          <w:sz w:val="21"/>
          <w:highlight w:val="none"/>
        </w:rPr>
      </w:pPr>
    </w:p>
    <w:p w14:paraId="55924420">
      <w:pPr>
        <w:spacing w:line="250" w:lineRule="auto"/>
        <w:rPr>
          <w:rFonts w:ascii="Arial"/>
          <w:color w:val="auto"/>
          <w:spacing w:val="0"/>
          <w:w w:val="100"/>
          <w:position w:val="0"/>
          <w:sz w:val="21"/>
          <w:highlight w:val="none"/>
        </w:rPr>
      </w:pPr>
    </w:p>
    <w:p w14:paraId="4922A384">
      <w:pPr>
        <w:spacing w:line="250" w:lineRule="auto"/>
        <w:rPr>
          <w:rFonts w:ascii="Arial"/>
          <w:color w:val="auto"/>
          <w:spacing w:val="0"/>
          <w:w w:val="100"/>
          <w:position w:val="0"/>
          <w:sz w:val="21"/>
          <w:highlight w:val="none"/>
        </w:rPr>
      </w:pPr>
    </w:p>
    <w:p w14:paraId="0012BB91">
      <w:pPr>
        <w:spacing w:line="250" w:lineRule="auto"/>
        <w:rPr>
          <w:rFonts w:ascii="Arial"/>
          <w:color w:val="auto"/>
          <w:spacing w:val="0"/>
          <w:w w:val="100"/>
          <w:position w:val="0"/>
          <w:sz w:val="21"/>
          <w:highlight w:val="none"/>
        </w:rPr>
      </w:pPr>
    </w:p>
    <w:p w14:paraId="5B5E047F">
      <w:pPr>
        <w:spacing w:line="250" w:lineRule="auto"/>
        <w:rPr>
          <w:rFonts w:ascii="Arial"/>
          <w:color w:val="auto"/>
          <w:spacing w:val="0"/>
          <w:w w:val="100"/>
          <w:position w:val="0"/>
          <w:sz w:val="21"/>
          <w:highlight w:val="none"/>
        </w:rPr>
      </w:pPr>
    </w:p>
    <w:p w14:paraId="4F322FEB">
      <w:pPr>
        <w:spacing w:line="250" w:lineRule="auto"/>
        <w:rPr>
          <w:rFonts w:ascii="Arial"/>
          <w:color w:val="auto"/>
          <w:spacing w:val="0"/>
          <w:w w:val="100"/>
          <w:position w:val="0"/>
          <w:sz w:val="21"/>
          <w:highlight w:val="none"/>
        </w:rPr>
      </w:pPr>
    </w:p>
    <w:p w14:paraId="2AB45C18">
      <w:pPr>
        <w:spacing w:line="250" w:lineRule="auto"/>
        <w:rPr>
          <w:rFonts w:ascii="Arial"/>
          <w:color w:val="auto"/>
          <w:spacing w:val="0"/>
          <w:w w:val="100"/>
          <w:position w:val="0"/>
          <w:sz w:val="21"/>
          <w:highlight w:val="none"/>
        </w:rPr>
      </w:pPr>
    </w:p>
    <w:p w14:paraId="17426E11">
      <w:pPr>
        <w:spacing w:line="250" w:lineRule="auto"/>
        <w:rPr>
          <w:rFonts w:ascii="Arial"/>
          <w:color w:val="auto"/>
          <w:spacing w:val="0"/>
          <w:w w:val="100"/>
          <w:position w:val="0"/>
          <w:sz w:val="21"/>
          <w:highlight w:val="none"/>
        </w:rPr>
      </w:pPr>
    </w:p>
    <w:p w14:paraId="0A525D3F">
      <w:pPr>
        <w:spacing w:line="250" w:lineRule="auto"/>
        <w:rPr>
          <w:rFonts w:ascii="Arial"/>
          <w:color w:val="auto"/>
          <w:spacing w:val="0"/>
          <w:w w:val="100"/>
          <w:position w:val="0"/>
          <w:sz w:val="21"/>
          <w:highlight w:val="none"/>
        </w:rPr>
      </w:pPr>
    </w:p>
    <w:p w14:paraId="75863970">
      <w:pPr>
        <w:spacing w:line="250" w:lineRule="auto"/>
        <w:rPr>
          <w:rFonts w:ascii="Arial"/>
          <w:color w:val="auto"/>
          <w:spacing w:val="0"/>
          <w:w w:val="100"/>
          <w:position w:val="0"/>
          <w:sz w:val="21"/>
          <w:highlight w:val="none"/>
        </w:rPr>
      </w:pPr>
    </w:p>
    <w:p w14:paraId="29F972CA">
      <w:pPr>
        <w:spacing w:line="250" w:lineRule="auto"/>
        <w:rPr>
          <w:rFonts w:ascii="Arial"/>
          <w:color w:val="auto"/>
          <w:spacing w:val="0"/>
          <w:w w:val="100"/>
          <w:position w:val="0"/>
          <w:sz w:val="21"/>
          <w:highlight w:val="none"/>
        </w:rPr>
      </w:pPr>
    </w:p>
    <w:p w14:paraId="5AA148D7">
      <w:pPr>
        <w:spacing w:line="250" w:lineRule="auto"/>
        <w:rPr>
          <w:rFonts w:ascii="Arial"/>
          <w:color w:val="auto"/>
          <w:spacing w:val="0"/>
          <w:w w:val="100"/>
          <w:position w:val="0"/>
          <w:sz w:val="21"/>
          <w:highlight w:val="none"/>
        </w:rPr>
      </w:pPr>
    </w:p>
    <w:p w14:paraId="515C38DF">
      <w:pPr>
        <w:spacing w:line="250" w:lineRule="auto"/>
        <w:rPr>
          <w:rFonts w:ascii="Arial"/>
          <w:color w:val="auto"/>
          <w:spacing w:val="0"/>
          <w:w w:val="100"/>
          <w:position w:val="0"/>
          <w:sz w:val="21"/>
          <w:highlight w:val="none"/>
        </w:rPr>
      </w:pPr>
    </w:p>
    <w:p w14:paraId="6346AF4E">
      <w:pPr>
        <w:spacing w:line="251" w:lineRule="auto"/>
        <w:rPr>
          <w:rFonts w:ascii="Arial"/>
          <w:color w:val="auto"/>
          <w:spacing w:val="0"/>
          <w:w w:val="100"/>
          <w:position w:val="0"/>
          <w:sz w:val="21"/>
          <w:highlight w:val="none"/>
        </w:rPr>
      </w:pPr>
    </w:p>
    <w:p w14:paraId="67726B92">
      <w:pPr>
        <w:spacing w:line="251" w:lineRule="auto"/>
        <w:rPr>
          <w:rFonts w:ascii="Arial"/>
          <w:color w:val="auto"/>
          <w:spacing w:val="0"/>
          <w:w w:val="100"/>
          <w:position w:val="0"/>
          <w:sz w:val="21"/>
          <w:highlight w:val="none"/>
        </w:rPr>
      </w:pPr>
    </w:p>
    <w:p w14:paraId="40B5873E">
      <w:pPr>
        <w:pStyle w:val="6"/>
        <w:spacing w:before="169" w:line="218" w:lineRule="auto"/>
        <w:ind w:left="2113"/>
        <w:outlineLvl w:val="0"/>
        <w:rPr>
          <w:color w:val="auto"/>
          <w:spacing w:val="0"/>
          <w:w w:val="100"/>
          <w:position w:val="0"/>
          <w:sz w:val="52"/>
          <w:szCs w:val="52"/>
          <w:highlight w:val="none"/>
        </w:rPr>
      </w:pPr>
      <w:bookmarkStart w:id="12" w:name="bookmark18"/>
      <w:bookmarkEnd w:id="12"/>
      <w:r>
        <w:rPr>
          <w:b/>
          <w:bCs/>
          <w:color w:val="auto"/>
          <w:spacing w:val="0"/>
          <w:w w:val="100"/>
          <w:position w:val="0"/>
          <w:sz w:val="52"/>
          <w:szCs w:val="52"/>
          <w:highlight w:val="none"/>
        </w:rPr>
        <w:t>第三章</w:t>
      </w:r>
      <w:r>
        <w:rPr>
          <w:color w:val="auto"/>
          <w:spacing w:val="0"/>
          <w:w w:val="100"/>
          <w:position w:val="0"/>
          <w:sz w:val="52"/>
          <w:szCs w:val="52"/>
          <w:highlight w:val="none"/>
        </w:rPr>
        <w:t xml:space="preserve">  </w:t>
      </w:r>
      <w:r>
        <w:rPr>
          <w:b/>
          <w:bCs/>
          <w:color w:val="auto"/>
          <w:spacing w:val="0"/>
          <w:w w:val="100"/>
          <w:position w:val="0"/>
          <w:sz w:val="52"/>
          <w:szCs w:val="52"/>
          <w:highlight w:val="none"/>
        </w:rPr>
        <w:t>评标办法</w:t>
      </w:r>
    </w:p>
    <w:p w14:paraId="10CBF823">
      <w:pPr>
        <w:spacing w:line="218" w:lineRule="auto"/>
        <w:rPr>
          <w:color w:val="auto"/>
          <w:spacing w:val="0"/>
          <w:w w:val="100"/>
          <w:position w:val="0"/>
          <w:sz w:val="52"/>
          <w:szCs w:val="52"/>
          <w:highlight w:val="none"/>
        </w:rPr>
        <w:sectPr>
          <w:headerReference r:id="rId20" w:type="default"/>
          <w:footerReference r:id="rId21" w:type="default"/>
          <w:pgSz w:w="11900" w:h="16843"/>
          <w:pgMar w:top="1378" w:right="1417" w:bottom="1208" w:left="1417" w:header="1366" w:footer="1003" w:gutter="0"/>
          <w:pgNumType w:fmt="decimal"/>
          <w:cols w:space="0" w:num="1"/>
          <w:rtlGutter w:val="0"/>
          <w:docGrid w:linePitch="0" w:charSpace="0"/>
        </w:sectPr>
      </w:pPr>
    </w:p>
    <w:p w14:paraId="42231B36">
      <w:pPr>
        <w:pStyle w:val="6"/>
        <w:spacing w:before="169" w:line="218" w:lineRule="auto"/>
        <w:ind w:left="313"/>
        <w:outlineLvl w:val="1"/>
        <w:rPr>
          <w:color w:val="auto"/>
          <w:spacing w:val="0"/>
          <w:w w:val="100"/>
          <w:position w:val="0"/>
          <w:sz w:val="52"/>
          <w:szCs w:val="52"/>
          <w:highlight w:val="none"/>
        </w:rPr>
      </w:pPr>
      <w:bookmarkStart w:id="13" w:name="bookmark3"/>
      <w:bookmarkEnd w:id="13"/>
      <w:bookmarkStart w:id="14" w:name="bookmark19"/>
      <w:bookmarkEnd w:id="14"/>
      <w:r>
        <w:rPr>
          <w:b/>
          <w:bCs/>
          <w:color w:val="auto"/>
          <w:spacing w:val="0"/>
          <w:w w:val="100"/>
          <w:position w:val="0"/>
          <w:sz w:val="52"/>
          <w:szCs w:val="52"/>
          <w:highlight w:val="none"/>
        </w:rPr>
        <w:t>第三章</w:t>
      </w:r>
      <w:r>
        <w:rPr>
          <w:color w:val="auto"/>
          <w:spacing w:val="0"/>
          <w:w w:val="100"/>
          <w:position w:val="0"/>
          <w:sz w:val="52"/>
          <w:szCs w:val="52"/>
          <w:highlight w:val="none"/>
        </w:rPr>
        <w:t xml:space="preserve">  </w:t>
      </w:r>
      <w:r>
        <w:rPr>
          <w:b/>
          <w:bCs/>
          <w:color w:val="auto"/>
          <w:spacing w:val="0"/>
          <w:w w:val="100"/>
          <w:position w:val="0"/>
          <w:sz w:val="52"/>
          <w:szCs w:val="52"/>
          <w:highlight w:val="none"/>
        </w:rPr>
        <w:t>评标办法（综合评估法）</w:t>
      </w:r>
    </w:p>
    <w:p w14:paraId="58228A24">
      <w:pPr>
        <w:spacing w:line="241" w:lineRule="auto"/>
        <w:rPr>
          <w:rFonts w:ascii="Arial"/>
          <w:color w:val="auto"/>
          <w:spacing w:val="0"/>
          <w:w w:val="100"/>
          <w:position w:val="0"/>
          <w:sz w:val="21"/>
          <w:highlight w:val="none"/>
        </w:rPr>
      </w:pPr>
    </w:p>
    <w:p w14:paraId="7010F27B">
      <w:pPr>
        <w:spacing w:line="242" w:lineRule="auto"/>
        <w:rPr>
          <w:rFonts w:ascii="Arial"/>
          <w:color w:val="auto"/>
          <w:spacing w:val="0"/>
          <w:w w:val="100"/>
          <w:position w:val="0"/>
          <w:sz w:val="21"/>
          <w:highlight w:val="none"/>
        </w:rPr>
      </w:pPr>
    </w:p>
    <w:p w14:paraId="7BCE1CAE">
      <w:pPr>
        <w:pStyle w:val="6"/>
        <w:spacing w:before="91" w:line="220" w:lineRule="auto"/>
        <w:ind w:left="63"/>
        <w:outlineLvl w:val="2"/>
        <w:rPr>
          <w:color w:val="auto"/>
          <w:spacing w:val="0"/>
          <w:w w:val="100"/>
          <w:position w:val="0"/>
          <w:sz w:val="28"/>
          <w:szCs w:val="28"/>
          <w:highlight w:val="none"/>
        </w:rPr>
      </w:pPr>
      <w:r>
        <w:rPr>
          <w:b/>
          <w:bCs/>
          <w:color w:val="auto"/>
          <w:spacing w:val="0"/>
          <w:w w:val="100"/>
          <w:position w:val="0"/>
          <w:sz w:val="28"/>
          <w:szCs w:val="28"/>
          <w:highlight w:val="none"/>
        </w:rPr>
        <w:t>01</w:t>
      </w:r>
      <w:r>
        <w:rPr>
          <w:color w:val="auto"/>
          <w:spacing w:val="0"/>
          <w:w w:val="100"/>
          <w:position w:val="0"/>
          <w:sz w:val="28"/>
          <w:szCs w:val="28"/>
          <w:highlight w:val="none"/>
        </w:rPr>
        <w:t xml:space="preserve"> </w:t>
      </w:r>
      <w:r>
        <w:rPr>
          <w:b/>
          <w:bCs/>
          <w:color w:val="auto"/>
          <w:spacing w:val="0"/>
          <w:w w:val="100"/>
          <w:position w:val="0"/>
          <w:sz w:val="28"/>
          <w:szCs w:val="28"/>
          <w:highlight w:val="none"/>
        </w:rPr>
        <w:t>标段：</w:t>
      </w:r>
    </w:p>
    <w:p w14:paraId="5926A611">
      <w:pPr>
        <w:pStyle w:val="6"/>
        <w:spacing w:before="330" w:line="219" w:lineRule="auto"/>
        <w:ind w:left="65"/>
        <w:jc w:val="center"/>
        <w:outlineLvl w:val="2"/>
        <w:rPr>
          <w:color w:val="auto"/>
          <w:spacing w:val="0"/>
          <w:w w:val="100"/>
          <w:position w:val="0"/>
          <w:sz w:val="28"/>
          <w:szCs w:val="28"/>
          <w:highlight w:val="none"/>
        </w:rPr>
      </w:pPr>
      <w:r>
        <w:rPr>
          <w:b/>
          <w:bCs/>
          <w:color w:val="auto"/>
          <w:spacing w:val="0"/>
          <w:w w:val="100"/>
          <w:position w:val="0"/>
          <w:sz w:val="28"/>
          <w:szCs w:val="28"/>
          <w:highlight w:val="none"/>
        </w:rPr>
        <w:t>评标办法前附表</w:t>
      </w:r>
    </w:p>
    <w:p w14:paraId="4F4DCA4C">
      <w:pPr>
        <w:rPr>
          <w:rFonts w:hint="eastAsia" w:eastAsia="宋体"/>
          <w:color w:val="auto"/>
          <w:highlight w:val="none"/>
          <w:lang w:eastAsia="zh-CN"/>
        </w:rPr>
      </w:pPr>
    </w:p>
    <w:tbl>
      <w:tblPr>
        <w:tblStyle w:val="18"/>
        <w:tblW w:w="9236"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936"/>
        <w:gridCol w:w="1073"/>
        <w:gridCol w:w="7227"/>
      </w:tblGrid>
      <w:tr w14:paraId="578E2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84" w:hRule="atLeast"/>
          <w:tblHeader/>
        </w:trPr>
        <w:tc>
          <w:tcPr>
            <w:tcW w:w="2009" w:type="dxa"/>
            <w:gridSpan w:val="2"/>
            <w:tcBorders>
              <w:top w:val="single" w:color="000000" w:sz="2" w:space="0"/>
              <w:left w:val="single" w:color="000000" w:sz="2" w:space="0"/>
              <w:bottom w:val="single" w:color="auto" w:sz="4" w:space="0"/>
              <w:right w:val="single" w:color="000000" w:sz="2" w:space="0"/>
            </w:tcBorders>
            <w:shd w:val="clear" w:color="auto" w:fill="auto"/>
            <w:vAlign w:val="top"/>
          </w:tcPr>
          <w:p w14:paraId="6ECDB31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780"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b/>
                <w:bCs/>
                <w:snapToGrid/>
                <w:color w:val="auto"/>
                <w:spacing w:val="0"/>
                <w:w w:val="100"/>
                <w:kern w:val="0"/>
                <w:sz w:val="21"/>
                <w:szCs w:val="21"/>
                <w:highlight w:val="none"/>
                <w:lang w:val="en-US" w:eastAsia="zh-CN" w:bidi="ar"/>
              </w:rPr>
              <w:t>条款号</w:t>
            </w:r>
          </w:p>
        </w:tc>
        <w:tc>
          <w:tcPr>
            <w:tcW w:w="7227" w:type="dxa"/>
            <w:tcBorders>
              <w:top w:val="single" w:color="000000" w:sz="2" w:space="0"/>
              <w:left w:val="single" w:color="000000" w:sz="2" w:space="0"/>
              <w:bottom w:val="single" w:color="auto" w:sz="4" w:space="0"/>
              <w:right w:val="single" w:color="000000" w:sz="2" w:space="0"/>
            </w:tcBorders>
            <w:shd w:val="clear" w:color="auto" w:fill="auto"/>
            <w:vAlign w:val="top"/>
          </w:tcPr>
          <w:p w14:paraId="2449B6D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2170"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b/>
                <w:bCs/>
                <w:snapToGrid/>
                <w:color w:val="auto"/>
                <w:spacing w:val="0"/>
                <w:w w:val="100"/>
                <w:kern w:val="0"/>
                <w:sz w:val="21"/>
                <w:szCs w:val="21"/>
                <w:highlight w:val="none"/>
                <w:lang w:val="en-US" w:eastAsia="zh-CN" w:bidi="ar"/>
              </w:rPr>
              <w:t>评审因素与评审标准</w:t>
            </w:r>
          </w:p>
        </w:tc>
      </w:tr>
      <w:tr w14:paraId="689B5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474D359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1</w:t>
            </w:r>
          </w:p>
        </w:tc>
        <w:tc>
          <w:tcPr>
            <w:tcW w:w="1073" w:type="dxa"/>
            <w:tcBorders>
              <w:top w:val="single" w:color="auto" w:sz="4" w:space="0"/>
              <w:left w:val="nil"/>
              <w:bottom w:val="single" w:color="auto" w:sz="4" w:space="0"/>
              <w:right w:val="single" w:color="auto" w:sz="4" w:space="0"/>
            </w:tcBorders>
            <w:shd w:val="clear" w:color="auto" w:fill="auto"/>
            <w:vAlign w:val="center"/>
          </w:tcPr>
          <w:p w14:paraId="1D9B99A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right="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评标方法</w:t>
            </w:r>
          </w:p>
        </w:tc>
        <w:tc>
          <w:tcPr>
            <w:tcW w:w="7227" w:type="dxa"/>
            <w:tcBorders>
              <w:top w:val="single" w:color="auto" w:sz="4" w:space="0"/>
              <w:left w:val="nil"/>
              <w:bottom w:val="single" w:color="auto" w:sz="4" w:space="0"/>
              <w:right w:val="single" w:color="auto" w:sz="4" w:space="0"/>
            </w:tcBorders>
            <w:shd w:val="clear" w:color="auto" w:fill="auto"/>
            <w:vAlign w:val="top"/>
          </w:tcPr>
          <w:p w14:paraId="187F839A">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6" w:right="9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综合评分相等时，评标委员会依次按照以下优先顺序推荐中标候选人或确定中标人：</w:t>
            </w:r>
          </w:p>
          <w:p w14:paraId="5E59E704">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（1）评标价低的投标人优先；</w:t>
            </w:r>
          </w:p>
          <w:p w14:paraId="54CCAD2F">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4"/>
              <w:jc w:val="both"/>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（2）被</w:t>
            </w:r>
            <w:r>
              <w:rPr>
                <w:rFonts w:hint="eastAsia" w:ascii="宋体" w:hAnsi="宋体" w:eastAsia="宋体" w:cs="宋体"/>
                <w:snapToGrid/>
                <w:color w:val="auto"/>
                <w:spacing w:val="0"/>
                <w:w w:val="100"/>
                <w:kern w:val="0"/>
                <w:sz w:val="21"/>
                <w:szCs w:val="21"/>
                <w:highlight w:val="none"/>
                <w:u w:val="single"/>
                <w:lang w:val="en-US" w:eastAsia="zh-CN" w:bidi="ar"/>
              </w:rPr>
              <w:t>安徽省</w:t>
            </w:r>
            <w:r>
              <w:rPr>
                <w:rFonts w:hint="eastAsia" w:ascii="宋体" w:hAnsi="宋体" w:eastAsia="宋体" w:cs="宋体"/>
                <w:snapToGrid/>
                <w:color w:val="auto"/>
                <w:spacing w:val="0"/>
                <w:w w:val="100"/>
                <w:kern w:val="0"/>
                <w:sz w:val="21"/>
                <w:szCs w:val="21"/>
                <w:highlight w:val="none"/>
                <w:lang w:val="en-US" w:eastAsia="zh-CN" w:bidi="ar"/>
              </w:rPr>
              <w:t>交通运输主管部门评为较高信用等级的投标人优先；</w:t>
            </w:r>
          </w:p>
          <w:p w14:paraId="1127F99B">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（3）商务和技术得分较高的投标人优先；</w:t>
            </w:r>
          </w:p>
          <w:p w14:paraId="51430645">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（4）投标文件提供的业绩累计合同金额大的投标人优先。</w:t>
            </w:r>
          </w:p>
        </w:tc>
      </w:tr>
      <w:tr w14:paraId="2EDF0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04055DB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2.1.1</w:t>
            </w:r>
          </w:p>
          <w:p w14:paraId="4B0FBCB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2.1.3</w:t>
            </w:r>
          </w:p>
        </w:tc>
        <w:tc>
          <w:tcPr>
            <w:tcW w:w="1073" w:type="dxa"/>
            <w:tcBorders>
              <w:top w:val="single" w:color="auto" w:sz="4" w:space="0"/>
              <w:left w:val="nil"/>
              <w:bottom w:val="single" w:color="auto" w:sz="4" w:space="0"/>
              <w:right w:val="single" w:color="auto" w:sz="4" w:space="0"/>
            </w:tcBorders>
            <w:shd w:val="clear" w:color="auto" w:fill="auto"/>
            <w:vAlign w:val="center"/>
          </w:tcPr>
          <w:p w14:paraId="2719DD4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形式评审</w:t>
            </w:r>
          </w:p>
          <w:p w14:paraId="617A4F0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与响应性</w:t>
            </w:r>
          </w:p>
          <w:p w14:paraId="405286C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评审标准</w:t>
            </w:r>
          </w:p>
        </w:tc>
        <w:tc>
          <w:tcPr>
            <w:tcW w:w="7227" w:type="dxa"/>
            <w:tcBorders>
              <w:top w:val="single" w:color="auto" w:sz="4" w:space="0"/>
              <w:left w:val="nil"/>
              <w:bottom w:val="single" w:color="auto" w:sz="4" w:space="0"/>
              <w:right w:val="single" w:color="auto" w:sz="4" w:space="0"/>
            </w:tcBorders>
            <w:shd w:val="clear" w:color="auto" w:fill="auto"/>
            <w:vAlign w:val="top"/>
          </w:tcPr>
          <w:p w14:paraId="0178C395">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b/>
                <w:bCs/>
                <w:snapToGrid/>
                <w:color w:val="auto"/>
                <w:spacing w:val="0"/>
                <w:w w:val="100"/>
                <w:kern w:val="0"/>
                <w:sz w:val="21"/>
                <w:szCs w:val="21"/>
                <w:highlight w:val="none"/>
                <w:lang w:val="en-US" w:eastAsia="zh-CN" w:bidi="ar"/>
              </w:rPr>
              <w:t>第一个信封（商务及技术文件）评审标准：</w:t>
            </w:r>
          </w:p>
          <w:p w14:paraId="7BC99212">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（1）投标文件按照招标文件规定的格式、内容填写，字迹清晰可辨；</w:t>
            </w:r>
          </w:p>
          <w:p w14:paraId="54264B65">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a.投标函按招标文件规定填报了项目名称、标段号、服务期限、工程质量要求及安全目标；</w:t>
            </w:r>
          </w:p>
          <w:p w14:paraId="1CF0D23B">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b.投标文件组成齐全完整，内容均按规定填写。</w:t>
            </w:r>
          </w:p>
          <w:p w14:paraId="2418F181">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（2）投标文件上法定代表人或其委托代理人的签字、投标人的单位章盖章齐全，符合招标文件规定。</w:t>
            </w:r>
          </w:p>
          <w:p w14:paraId="3ED36E15">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（3）投标人按照招标文件的规定提供了投标保证金：</w:t>
            </w:r>
          </w:p>
          <w:p w14:paraId="48A3BE97">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a.投标保证金金额符合招标文件规定的金额，且投标保证金有效期不少于投标有效期；</w:t>
            </w:r>
          </w:p>
          <w:p w14:paraId="65B558AB">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 xml:space="preserve">b.若投标保证金采用现金或支票形式提交，投标人应在递交投标文件截止时间之前，将投标保证金由投标人的基本账户转入招标人指定账户； </w:t>
            </w:r>
          </w:p>
          <w:p w14:paraId="44CD2BC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c.若投标保证金采用银行保函形式提交，银行保函的格式、开具保函的银行均满足招标文件要求，且在递交投标文件截止时间之前向招标人提交了银行保函原件；</w:t>
            </w:r>
          </w:p>
          <w:p w14:paraId="0E4FB01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（4）投标人法定代表人授权委托代理人签署投标文件的，须提交授权委托书，</w:t>
            </w:r>
            <w:r>
              <w:rPr>
                <w:rFonts w:hint="eastAsia" w:ascii="宋体" w:hAnsi="宋体" w:eastAsia="宋体" w:cs="宋体"/>
                <w:b/>
                <w:bCs/>
                <w:snapToGrid/>
                <w:color w:val="auto"/>
                <w:spacing w:val="0"/>
                <w:w w:val="100"/>
                <w:kern w:val="0"/>
                <w:sz w:val="21"/>
                <w:szCs w:val="21"/>
                <w:highlight w:val="none"/>
                <w:vertAlign w:val="baseline"/>
                <w:lang w:val="en-US" w:eastAsia="zh-CN" w:bidi="ar"/>
              </w:rPr>
              <w:t>且授权人和被授权人均在授权委托书上签名，未使用印章、签名章或其他电子制版签名代替。</w:t>
            </w:r>
          </w:p>
          <w:p w14:paraId="7E402D1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b/>
                <w:bCs/>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（5）投标人法定代表人亲自签署投标文件的，提供了法定代表人身份证明，</w:t>
            </w:r>
            <w:r>
              <w:rPr>
                <w:rFonts w:hint="eastAsia" w:ascii="宋体" w:hAnsi="宋体" w:eastAsia="宋体" w:cs="宋体"/>
                <w:b/>
                <w:bCs/>
                <w:snapToGrid/>
                <w:color w:val="auto"/>
                <w:spacing w:val="0"/>
                <w:w w:val="100"/>
                <w:kern w:val="0"/>
                <w:sz w:val="21"/>
                <w:szCs w:val="21"/>
                <w:highlight w:val="none"/>
                <w:vertAlign w:val="baseline"/>
                <w:lang w:val="en-US" w:eastAsia="zh-CN" w:bidi="ar"/>
              </w:rPr>
              <w:t>且法定代表人在法定代表人身份证明上签名，未使用印章、签名章或其他电子制版签名代替。</w:t>
            </w:r>
          </w:p>
          <w:p w14:paraId="6639F2F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（6）投标人以联合体形式投标时，联合体满足招标文件的要求：</w:t>
            </w:r>
          </w:p>
          <w:p w14:paraId="595FA6E2">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a.未进行资格预审的，投标人按照招标文件提供的格式签订了联合体协议书，明确各方承担连带责任，并明确了联合体牵头人；</w:t>
            </w:r>
          </w:p>
          <w:p w14:paraId="7E61970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b.已进行资格预审的，投标人提供了资格预审申请文件中所附的联合体协议书复印件，且通过资格预审后的联合体无成员增减或更换的情况。</w:t>
            </w:r>
          </w:p>
          <w:p w14:paraId="12625B8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（7）投标人如有分包计划，符合招标文件第二章“投标人须知”第 1.11 款规定，且按招标文件第六章“投标文件格式”的要求填写了“拟分包项目情况表”。</w:t>
            </w:r>
          </w:p>
          <w:p w14:paraId="2A60F73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（8）同一投标人未提交两个以上不同的投标文件，但招标文件要求提交备选投标的除外。</w:t>
            </w:r>
          </w:p>
          <w:p w14:paraId="0AE44D2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宋体" w:hAnsi="宋体" w:eastAsia="宋体" w:cs="宋体"/>
                <w:snapToGrid/>
                <w:color w:val="auto"/>
                <w:spacing w:val="0"/>
                <w:w w:val="100"/>
                <w:kern w:val="0"/>
                <w:sz w:val="21"/>
                <w:szCs w:val="21"/>
                <w:highlight w:val="none"/>
                <w:vertAlign w:val="baseline"/>
                <w:lang w:val="en-US" w:eastAsia="zh-CN" w:bidi="ar"/>
              </w:rPr>
              <w:t>9</w:t>
            </w:r>
            <w:r>
              <w:rPr>
                <w:rFonts w:hint="eastAsia" w:ascii="宋体" w:hAnsi="宋体" w:eastAsia="宋体" w:cs="宋体"/>
                <w:snapToGrid/>
                <w:color w:val="auto"/>
                <w:spacing w:val="0"/>
                <w:w w:val="100"/>
                <w:kern w:val="0"/>
                <w:sz w:val="21"/>
                <w:szCs w:val="21"/>
                <w:highlight w:val="none"/>
                <w:vertAlign w:val="baseline"/>
                <w:lang w:val="en-US" w:eastAsia="zh-CN" w:bidi="ar"/>
              </w:rPr>
              <w:t>）投标文件中未出现有关投标报价的内容。</w:t>
            </w:r>
          </w:p>
          <w:p w14:paraId="6D427CD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宋体" w:hAnsi="宋体" w:eastAsia="宋体" w:cs="宋体"/>
                <w:snapToGrid/>
                <w:color w:val="auto"/>
                <w:spacing w:val="0"/>
                <w:w w:val="100"/>
                <w:kern w:val="0"/>
                <w:sz w:val="21"/>
                <w:szCs w:val="21"/>
                <w:highlight w:val="none"/>
                <w:vertAlign w:val="baseline"/>
                <w:lang w:val="en-US" w:eastAsia="zh-CN" w:bidi="ar"/>
              </w:rPr>
              <w:t>10</w:t>
            </w:r>
            <w:r>
              <w:rPr>
                <w:rFonts w:hint="eastAsia" w:ascii="宋体" w:hAnsi="宋体" w:eastAsia="宋体" w:cs="宋体"/>
                <w:snapToGrid/>
                <w:color w:val="auto"/>
                <w:spacing w:val="0"/>
                <w:w w:val="100"/>
                <w:kern w:val="0"/>
                <w:sz w:val="21"/>
                <w:szCs w:val="21"/>
                <w:highlight w:val="none"/>
                <w:vertAlign w:val="baseline"/>
                <w:lang w:val="en-US" w:eastAsia="zh-CN" w:bidi="ar"/>
              </w:rPr>
              <w:t>）投标文件载明的招标项目完成期限未超过招标文件规定</w:t>
            </w:r>
            <w:r>
              <w:rPr>
                <w:rFonts w:hint="eastAsia" w:ascii="宋体" w:hAnsi="宋体" w:eastAsia="宋体" w:cs="宋体"/>
                <w:snapToGrid/>
                <w:color w:val="auto"/>
                <w:spacing w:val="0"/>
                <w:w w:val="100"/>
                <w:kern w:val="0"/>
                <w:sz w:val="21"/>
                <w:szCs w:val="21"/>
                <w:highlight w:val="none"/>
                <w:lang w:val="en-US" w:eastAsia="zh-CN" w:bidi="ar"/>
              </w:rPr>
              <w:t>的时限。</w:t>
            </w:r>
          </w:p>
          <w:p w14:paraId="234FDD3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8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Times New Roman" w:hAnsi="Times New Roman" w:eastAsia="宋体" w:cs="Times New Roman"/>
                <w:snapToGrid/>
                <w:color w:val="auto"/>
                <w:spacing w:val="0"/>
                <w:w w:val="100"/>
                <w:kern w:val="0"/>
                <w:sz w:val="21"/>
                <w:szCs w:val="21"/>
                <w:highlight w:val="none"/>
                <w:lang w:val="en-US" w:eastAsia="zh-CN" w:bidi="ar"/>
              </w:rPr>
              <w:t>11</w:t>
            </w:r>
            <w:r>
              <w:rPr>
                <w:rFonts w:hint="eastAsia" w:ascii="宋体" w:hAnsi="宋体" w:eastAsia="宋体" w:cs="宋体"/>
                <w:snapToGrid/>
                <w:color w:val="auto"/>
                <w:spacing w:val="0"/>
                <w:w w:val="100"/>
                <w:kern w:val="0"/>
                <w:sz w:val="21"/>
                <w:szCs w:val="21"/>
                <w:highlight w:val="none"/>
                <w:lang w:val="en-US" w:eastAsia="zh-CN" w:bidi="ar"/>
              </w:rPr>
              <w:t>）投标文件对招标文件的实质性要求和条件作出响应。</w:t>
            </w:r>
          </w:p>
          <w:p w14:paraId="1A622C19">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8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Times New Roman" w:hAnsi="Times New Roman" w:eastAsia="宋体" w:cs="Times New Roman"/>
                <w:snapToGrid/>
                <w:color w:val="auto"/>
                <w:spacing w:val="0"/>
                <w:w w:val="100"/>
                <w:kern w:val="0"/>
                <w:sz w:val="21"/>
                <w:szCs w:val="21"/>
                <w:highlight w:val="none"/>
                <w:lang w:val="en-US" w:eastAsia="zh-CN" w:bidi="ar"/>
              </w:rPr>
              <w:t>12</w:t>
            </w:r>
            <w:r>
              <w:rPr>
                <w:rFonts w:hint="eastAsia" w:ascii="宋体" w:hAnsi="宋体" w:eastAsia="宋体" w:cs="宋体"/>
                <w:snapToGrid/>
                <w:color w:val="auto"/>
                <w:spacing w:val="0"/>
                <w:w w:val="100"/>
                <w:kern w:val="0"/>
                <w:sz w:val="21"/>
                <w:szCs w:val="21"/>
                <w:highlight w:val="none"/>
                <w:lang w:val="en-US" w:eastAsia="zh-CN" w:bidi="ar"/>
              </w:rPr>
              <w:t>）权利义务符合招标文件规定</w:t>
            </w:r>
            <w:r>
              <w:rPr>
                <w:rFonts w:hint="eastAsia" w:ascii="宋体" w:hAnsi="宋体" w:eastAsia="宋体" w:cs="宋体"/>
                <w:b/>
                <w:bCs/>
                <w:snapToGrid/>
                <w:color w:val="auto"/>
                <w:spacing w:val="0"/>
                <w:w w:val="100"/>
                <w:kern w:val="0"/>
                <w:sz w:val="21"/>
                <w:szCs w:val="21"/>
                <w:highlight w:val="none"/>
                <w:lang w:val="en-US" w:eastAsia="zh-CN" w:bidi="ar"/>
              </w:rPr>
              <w:t>：</w:t>
            </w:r>
          </w:p>
          <w:p w14:paraId="2E8989D3">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3" w:right="50" w:firstLine="42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a.</w:t>
            </w:r>
            <w:r>
              <w:rPr>
                <w:rFonts w:hint="eastAsia" w:ascii="宋体" w:hAnsi="宋体" w:eastAsia="宋体" w:cs="宋体"/>
                <w:snapToGrid/>
                <w:color w:val="auto"/>
                <w:spacing w:val="0"/>
                <w:w w:val="100"/>
                <w:kern w:val="0"/>
                <w:sz w:val="21"/>
                <w:szCs w:val="21"/>
                <w:highlight w:val="none"/>
                <w:lang w:val="en-US" w:eastAsia="zh-CN" w:bidi="ar"/>
              </w:rPr>
              <w:t>投标人应接受招标文件规定的风险划分原则，未提出新的风险划分办法；</w:t>
            </w:r>
          </w:p>
          <w:p w14:paraId="769B12F4">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66" w:right="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b.</w:t>
            </w:r>
            <w:r>
              <w:rPr>
                <w:rFonts w:hint="eastAsia" w:ascii="宋体" w:hAnsi="宋体" w:eastAsia="宋体" w:cs="宋体"/>
                <w:snapToGrid/>
                <w:color w:val="auto"/>
                <w:spacing w:val="0"/>
                <w:w w:val="100"/>
                <w:kern w:val="0"/>
                <w:sz w:val="21"/>
                <w:szCs w:val="21"/>
                <w:highlight w:val="none"/>
                <w:lang w:val="en-US" w:eastAsia="zh-CN" w:bidi="ar"/>
              </w:rPr>
              <w:t>投标人未增加发包人的责任范围，或减少投标人义务；</w:t>
            </w:r>
          </w:p>
          <w:p w14:paraId="4B925E9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3" w:right="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c.</w:t>
            </w:r>
            <w:r>
              <w:rPr>
                <w:rFonts w:hint="eastAsia" w:ascii="宋体" w:hAnsi="宋体" w:eastAsia="宋体" w:cs="宋体"/>
                <w:snapToGrid/>
                <w:color w:val="auto"/>
                <w:spacing w:val="0"/>
                <w:w w:val="100"/>
                <w:kern w:val="0"/>
                <w:sz w:val="21"/>
                <w:szCs w:val="21"/>
                <w:highlight w:val="none"/>
                <w:lang w:val="en-US" w:eastAsia="zh-CN" w:bidi="ar"/>
              </w:rPr>
              <w:t>投标人未提出不同的支付办法；</w:t>
            </w:r>
          </w:p>
          <w:p w14:paraId="1E9AD3D4">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3" w:right="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d.</w:t>
            </w:r>
            <w:r>
              <w:rPr>
                <w:rFonts w:hint="eastAsia" w:ascii="宋体" w:hAnsi="宋体" w:eastAsia="宋体" w:cs="宋体"/>
                <w:snapToGrid/>
                <w:color w:val="auto"/>
                <w:spacing w:val="0"/>
                <w:w w:val="100"/>
                <w:kern w:val="0"/>
                <w:sz w:val="21"/>
                <w:szCs w:val="21"/>
                <w:highlight w:val="none"/>
                <w:lang w:val="en-US" w:eastAsia="zh-CN" w:bidi="ar"/>
              </w:rPr>
              <w:t>投标人对合同纠纷、事故处理办法未提出异议；</w:t>
            </w:r>
          </w:p>
          <w:p w14:paraId="4E77F9C4">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4" w:right="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e.</w:t>
            </w:r>
            <w:r>
              <w:rPr>
                <w:rFonts w:hint="eastAsia" w:ascii="宋体" w:hAnsi="宋体" w:eastAsia="宋体" w:cs="宋体"/>
                <w:snapToGrid/>
                <w:color w:val="auto"/>
                <w:spacing w:val="0"/>
                <w:w w:val="100"/>
                <w:kern w:val="0"/>
                <w:sz w:val="21"/>
                <w:szCs w:val="21"/>
                <w:highlight w:val="none"/>
                <w:lang w:val="en-US" w:eastAsia="zh-CN" w:bidi="ar"/>
              </w:rPr>
              <w:t>投标人在投标活动中无欺诈行为；</w:t>
            </w:r>
          </w:p>
          <w:p w14:paraId="292CB86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4" w:right="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f.</w:t>
            </w:r>
            <w:r>
              <w:rPr>
                <w:rFonts w:hint="eastAsia" w:ascii="宋体" w:hAnsi="宋体" w:eastAsia="宋体" w:cs="宋体"/>
                <w:snapToGrid/>
                <w:color w:val="auto"/>
                <w:spacing w:val="0"/>
                <w:w w:val="100"/>
                <w:kern w:val="0"/>
                <w:sz w:val="21"/>
                <w:szCs w:val="21"/>
                <w:highlight w:val="none"/>
                <w:lang w:val="en-US" w:eastAsia="zh-CN" w:bidi="ar"/>
              </w:rPr>
              <w:t>投标人未对合同条款有重要保留。</w:t>
            </w:r>
          </w:p>
          <w:p w14:paraId="0357515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8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Times New Roman" w:hAnsi="Times New Roman" w:eastAsia="宋体" w:cs="Times New Roman"/>
                <w:snapToGrid/>
                <w:color w:val="auto"/>
                <w:spacing w:val="0"/>
                <w:w w:val="100"/>
                <w:kern w:val="0"/>
                <w:sz w:val="21"/>
                <w:szCs w:val="21"/>
                <w:highlight w:val="none"/>
                <w:lang w:val="en-US" w:eastAsia="zh-CN" w:bidi="ar"/>
              </w:rPr>
              <w:t>13</w:t>
            </w:r>
            <w:r>
              <w:rPr>
                <w:rFonts w:hint="eastAsia" w:ascii="宋体" w:hAnsi="宋体" w:eastAsia="宋体" w:cs="宋体"/>
                <w:snapToGrid/>
                <w:color w:val="auto"/>
                <w:spacing w:val="0"/>
                <w:w w:val="100"/>
                <w:kern w:val="0"/>
                <w:sz w:val="21"/>
                <w:szCs w:val="21"/>
                <w:highlight w:val="none"/>
                <w:lang w:val="en-US" w:eastAsia="zh-CN" w:bidi="ar"/>
              </w:rPr>
              <w:t>）投标人对其信誉情况的承诺与事实相符。</w:t>
            </w:r>
          </w:p>
          <w:p w14:paraId="7E31DB6B">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5" w:right="98" w:firstLine="425"/>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Times New Roman" w:hAnsi="Times New Roman" w:eastAsia="宋体" w:cs="Times New Roman"/>
                <w:snapToGrid/>
                <w:color w:val="auto"/>
                <w:spacing w:val="0"/>
                <w:w w:val="100"/>
                <w:kern w:val="0"/>
                <w:sz w:val="21"/>
                <w:szCs w:val="21"/>
                <w:highlight w:val="none"/>
                <w:lang w:val="en-US" w:eastAsia="zh-CN" w:bidi="ar"/>
              </w:rPr>
              <w:t>14</w:t>
            </w:r>
            <w:r>
              <w:rPr>
                <w:rFonts w:hint="eastAsia" w:ascii="宋体" w:hAnsi="宋体" w:eastAsia="宋体" w:cs="宋体"/>
                <w:snapToGrid/>
                <w:color w:val="auto"/>
                <w:spacing w:val="0"/>
                <w:w w:val="100"/>
                <w:kern w:val="0"/>
                <w:sz w:val="21"/>
                <w:szCs w:val="21"/>
                <w:highlight w:val="none"/>
                <w:lang w:val="en-US" w:eastAsia="zh-CN" w:bidi="ar"/>
              </w:rPr>
              <w:t>）投标人网上下载招标文件的标段、投标保证金提交的标段和投标文件所投标段一致。</w:t>
            </w:r>
          </w:p>
          <w:p w14:paraId="12B47B73">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15</w:t>
            </w:r>
            <w:r>
              <w:rPr>
                <w:rFonts w:hint="eastAsia" w:ascii="宋体" w:hAnsi="宋体" w:eastAsia="宋体" w:cs="宋体"/>
                <w:snapToGrid/>
                <w:color w:val="auto"/>
                <w:spacing w:val="0"/>
                <w:w w:val="100"/>
                <w:kern w:val="0"/>
                <w:sz w:val="21"/>
                <w:szCs w:val="21"/>
                <w:highlight w:val="none"/>
                <w:vertAlign w:val="baseline"/>
                <w:lang w:val="en-US" w:eastAsia="zh-CN" w:bidi="ar"/>
              </w:rPr>
              <w:t>）投标文件未附有招标人不能接受的条件。</w:t>
            </w:r>
          </w:p>
          <w:p w14:paraId="3893B03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7"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b/>
                <w:bCs/>
                <w:snapToGrid/>
                <w:color w:val="auto"/>
                <w:spacing w:val="0"/>
                <w:w w:val="100"/>
                <w:kern w:val="0"/>
                <w:sz w:val="21"/>
                <w:szCs w:val="21"/>
                <w:highlight w:val="none"/>
                <w:lang w:val="en-US" w:eastAsia="zh-CN" w:bidi="ar"/>
              </w:rPr>
              <w:t>第二个信封（报价文件）评审标准：</w:t>
            </w:r>
          </w:p>
          <w:p w14:paraId="363DA5CA">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6" w:right="59" w:firstLine="424"/>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（1）投标文件按照招标文件规定的格式、内容填写，字迹清晰可辨，内容齐全完整；</w:t>
            </w:r>
          </w:p>
          <w:p w14:paraId="1AB4BD5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4" w:right="57" w:firstLine="42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a.投标函按招标文件规定填报了项目名称、标段号、投标价（包括大写金额和小写金额）；</w:t>
            </w:r>
          </w:p>
          <w:p w14:paraId="1342DA62">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7" w:right="90" w:firstLine="414"/>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b.已标价报价清单说明文字与招标文件规定一致，未进行实质 性修改和删减；</w:t>
            </w:r>
          </w:p>
          <w:p w14:paraId="34519229">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8"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c.投标文件组成齐全完整，内容均按规定填写。</w:t>
            </w:r>
          </w:p>
          <w:p w14:paraId="447182A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66" w:firstLine="418"/>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（2）投标文件上法定代表人电子签名章、投标人的单位电子印章盖章齐全，符合招标文件规定。</w:t>
            </w:r>
          </w:p>
          <w:p w14:paraId="2D81AC2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8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（3）投标报价未超过招标文件设定的最高投标限价。</w:t>
            </w:r>
          </w:p>
          <w:p w14:paraId="644D1467">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8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（4）投标报价的大写金额能够确定具体数值。</w:t>
            </w:r>
          </w:p>
          <w:p w14:paraId="789A4713">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5" w:right="47" w:firstLine="425"/>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（5）同一投标人未提交两个以上不同的投标报价，但招标文件要求提交备选投标的除外。</w:t>
            </w:r>
          </w:p>
          <w:p w14:paraId="2DFA4A5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3" w:right="61" w:firstLine="427"/>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（6）按招标文件要求上传了加密电子投标文件，并按要求成功解密。</w:t>
            </w:r>
          </w:p>
          <w:p w14:paraId="3E12699A">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（7）其他实质性要求：符合招标文件的其他实质性要求和条件。</w:t>
            </w:r>
          </w:p>
        </w:tc>
      </w:tr>
      <w:tr w14:paraId="0910F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640" w:hRule="atLeast"/>
        </w:trPr>
        <w:tc>
          <w:tcPr>
            <w:tcW w:w="936" w:type="dxa"/>
            <w:tcBorders>
              <w:top w:val="single" w:color="000000" w:sz="2" w:space="0"/>
              <w:left w:val="single" w:color="000000" w:sz="2" w:space="0"/>
              <w:bottom w:val="single" w:color="000000" w:sz="2" w:space="0"/>
              <w:right w:val="single" w:color="000000" w:sz="2" w:space="0"/>
            </w:tcBorders>
            <w:shd w:val="clear" w:color="auto" w:fill="auto"/>
            <w:vAlign w:val="top"/>
          </w:tcPr>
          <w:p w14:paraId="035DC10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3A40C78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31A0952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68B72BB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270C4257">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2B8A610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5E06DC8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16" w:right="0"/>
              <w:jc w:val="left"/>
              <w:textAlignment w:val="baseline"/>
              <w:rPr>
                <w:rFonts w:hint="default" w:ascii="Times New Roman" w:hAnsi="Times New Roman" w:cs="Times New Roman"/>
                <w:color w:val="auto"/>
                <w:spacing w:val="0"/>
                <w:w w:val="100"/>
                <w:kern w:val="0"/>
                <w:sz w:val="21"/>
                <w:szCs w:val="21"/>
                <w:highlight w:val="none"/>
              </w:rPr>
            </w:pPr>
            <w:r>
              <w:rPr>
                <w:rFonts w:hint="default" w:ascii="Times New Roman" w:hAnsi="Times New Roman" w:eastAsia="Arial" w:cs="Times New Roman"/>
                <w:snapToGrid w:val="0"/>
                <w:color w:val="auto"/>
                <w:spacing w:val="0"/>
                <w:w w:val="100"/>
                <w:kern w:val="0"/>
                <w:sz w:val="21"/>
                <w:szCs w:val="21"/>
                <w:highlight w:val="none"/>
                <w:lang w:val="en-US" w:eastAsia="zh-CN" w:bidi="ar"/>
              </w:rPr>
              <w:t>2.1.2</w:t>
            </w:r>
          </w:p>
        </w:tc>
        <w:tc>
          <w:tcPr>
            <w:tcW w:w="10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CA68519">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143"/>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资格评审标准</w:t>
            </w:r>
          </w:p>
        </w:tc>
        <w:tc>
          <w:tcPr>
            <w:tcW w:w="7227" w:type="dxa"/>
            <w:tcBorders>
              <w:top w:val="single" w:color="000000" w:sz="2" w:space="0"/>
              <w:left w:val="single" w:color="000000" w:sz="2" w:space="0"/>
              <w:bottom w:val="single" w:color="000000" w:sz="2" w:space="0"/>
              <w:right w:val="single" w:color="000000" w:sz="2" w:space="0"/>
            </w:tcBorders>
            <w:shd w:val="clear" w:color="auto" w:fill="auto"/>
            <w:vAlign w:val="top"/>
          </w:tcPr>
          <w:p w14:paraId="7B99CA9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8" w:right="28" w:firstLine="2"/>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1</w:t>
            </w:r>
            <w:r>
              <w:rPr>
                <w:rFonts w:hint="eastAsia" w:ascii="宋体" w:hAnsi="宋体" w:eastAsia="宋体" w:cs="宋体"/>
                <w:snapToGrid/>
                <w:color w:val="auto"/>
                <w:spacing w:val="0"/>
                <w:w w:val="100"/>
                <w:kern w:val="0"/>
                <w:sz w:val="21"/>
                <w:szCs w:val="21"/>
                <w:highlight w:val="none"/>
                <w:vertAlign w:val="baseline"/>
                <w:lang w:val="en-US" w:eastAsia="zh-CN" w:bidi="ar"/>
              </w:rPr>
              <w:t>）投标人具备有效的营业执照、组织机构代码证、勘察资质证书、设计资质证书和基本账户开户许可证或基本存款账户编号。</w:t>
            </w:r>
          </w:p>
          <w:p w14:paraId="434BBA9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1" w:right="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2</w:t>
            </w:r>
            <w:r>
              <w:rPr>
                <w:rFonts w:hint="eastAsia" w:ascii="宋体" w:hAnsi="宋体" w:eastAsia="宋体" w:cs="宋体"/>
                <w:snapToGrid/>
                <w:color w:val="auto"/>
                <w:spacing w:val="0"/>
                <w:w w:val="100"/>
                <w:kern w:val="0"/>
                <w:sz w:val="21"/>
                <w:szCs w:val="21"/>
                <w:highlight w:val="none"/>
                <w:vertAlign w:val="baseline"/>
                <w:lang w:val="en-US" w:eastAsia="zh-CN" w:bidi="ar"/>
              </w:rPr>
              <w:t>）投标人的资质等级符合招标文件规定。</w:t>
            </w:r>
          </w:p>
          <w:p w14:paraId="32FE6ADB">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1" w:right="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3</w:t>
            </w:r>
            <w:r>
              <w:rPr>
                <w:rFonts w:hint="eastAsia" w:ascii="宋体" w:hAnsi="宋体" w:eastAsia="宋体" w:cs="宋体"/>
                <w:snapToGrid/>
                <w:color w:val="auto"/>
                <w:spacing w:val="0"/>
                <w:w w:val="100"/>
                <w:kern w:val="0"/>
                <w:sz w:val="21"/>
                <w:szCs w:val="21"/>
                <w:highlight w:val="none"/>
                <w:vertAlign w:val="baseline"/>
                <w:lang w:val="en-US" w:eastAsia="zh-CN" w:bidi="ar"/>
              </w:rPr>
              <w:t>）投标人的类似项目业绩符合招标文件规定。</w:t>
            </w:r>
          </w:p>
          <w:p w14:paraId="02C09DAF">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1" w:right="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4</w:t>
            </w:r>
            <w:r>
              <w:rPr>
                <w:rFonts w:hint="eastAsia" w:ascii="宋体" w:hAnsi="宋体" w:eastAsia="宋体" w:cs="宋体"/>
                <w:snapToGrid/>
                <w:color w:val="auto"/>
                <w:spacing w:val="0"/>
                <w:w w:val="100"/>
                <w:kern w:val="0"/>
                <w:sz w:val="21"/>
                <w:szCs w:val="21"/>
                <w:highlight w:val="none"/>
                <w:vertAlign w:val="baseline"/>
                <w:lang w:val="en-US" w:eastAsia="zh-CN" w:bidi="ar"/>
              </w:rPr>
              <w:t>）投标人的信誉符合招标文件规定。</w:t>
            </w:r>
          </w:p>
          <w:p w14:paraId="62FD6559">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1" w:right="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5</w:t>
            </w:r>
            <w:r>
              <w:rPr>
                <w:rFonts w:hint="eastAsia" w:ascii="宋体" w:hAnsi="宋体" w:eastAsia="宋体" w:cs="宋体"/>
                <w:snapToGrid/>
                <w:color w:val="auto"/>
                <w:spacing w:val="0"/>
                <w:w w:val="100"/>
                <w:kern w:val="0"/>
                <w:sz w:val="21"/>
                <w:szCs w:val="21"/>
                <w:highlight w:val="none"/>
                <w:vertAlign w:val="baseline"/>
                <w:lang w:val="en-US" w:eastAsia="zh-CN" w:bidi="ar"/>
              </w:rPr>
              <w:t>）投标人的项目负责人资格符合招标文件规定。</w:t>
            </w:r>
          </w:p>
          <w:p w14:paraId="6F1E295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1" w:right="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6</w:t>
            </w:r>
            <w:r>
              <w:rPr>
                <w:rFonts w:hint="eastAsia" w:ascii="宋体" w:hAnsi="宋体" w:eastAsia="宋体" w:cs="宋体"/>
                <w:snapToGrid/>
                <w:color w:val="auto"/>
                <w:spacing w:val="0"/>
                <w:w w:val="100"/>
                <w:kern w:val="0"/>
                <w:sz w:val="21"/>
                <w:szCs w:val="21"/>
                <w:highlight w:val="none"/>
                <w:vertAlign w:val="baseline"/>
                <w:lang w:val="en-US" w:eastAsia="zh-CN" w:bidi="ar"/>
              </w:rPr>
              <w:t>）投标人的其他要求符合招标文件规定。</w:t>
            </w:r>
          </w:p>
          <w:p w14:paraId="44C5CF2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9" w:right="47" w:firstLine="1"/>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7</w:t>
            </w:r>
            <w:r>
              <w:rPr>
                <w:rFonts w:hint="eastAsia" w:ascii="宋体" w:hAnsi="宋体" w:eastAsia="宋体" w:cs="宋体"/>
                <w:snapToGrid/>
                <w:color w:val="auto"/>
                <w:spacing w:val="0"/>
                <w:w w:val="100"/>
                <w:kern w:val="0"/>
                <w:sz w:val="21"/>
                <w:szCs w:val="21"/>
                <w:highlight w:val="none"/>
                <w:vertAlign w:val="baseline"/>
                <w:lang w:val="en-US" w:eastAsia="zh-CN" w:bidi="ar"/>
              </w:rPr>
              <w:t xml:space="preserve">）投标人不存在第二章“投标人须知 ”第 </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 xml:space="preserve">1.4.3 </w:t>
            </w:r>
            <w:r>
              <w:rPr>
                <w:rFonts w:hint="eastAsia" w:ascii="宋体" w:hAnsi="宋体" w:eastAsia="宋体" w:cs="宋体"/>
                <w:snapToGrid/>
                <w:color w:val="auto"/>
                <w:spacing w:val="0"/>
                <w:w w:val="100"/>
                <w:kern w:val="0"/>
                <w:sz w:val="21"/>
                <w:szCs w:val="21"/>
                <w:highlight w:val="none"/>
                <w:vertAlign w:val="baseline"/>
                <w:lang w:val="en-US" w:eastAsia="zh-CN" w:bidi="ar"/>
              </w:rPr>
              <w:t xml:space="preserve">项或第 </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 xml:space="preserve">1.4.4 </w:t>
            </w:r>
            <w:r>
              <w:rPr>
                <w:rFonts w:hint="eastAsia" w:ascii="宋体" w:hAnsi="宋体" w:eastAsia="宋体" w:cs="宋体"/>
                <w:snapToGrid/>
                <w:color w:val="auto"/>
                <w:spacing w:val="0"/>
                <w:w w:val="100"/>
                <w:kern w:val="0"/>
                <w:sz w:val="21"/>
                <w:szCs w:val="21"/>
                <w:highlight w:val="none"/>
                <w:vertAlign w:val="baseline"/>
                <w:lang w:val="en-US" w:eastAsia="zh-CN" w:bidi="ar"/>
              </w:rPr>
              <w:t>项规定的任何一种情形。</w:t>
            </w:r>
          </w:p>
          <w:p w14:paraId="59E550A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7" w:right="47" w:firstLine="3"/>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8</w:t>
            </w:r>
            <w:r>
              <w:rPr>
                <w:rFonts w:hint="eastAsia" w:ascii="宋体" w:hAnsi="宋体" w:eastAsia="宋体" w:cs="宋体"/>
                <w:snapToGrid/>
                <w:color w:val="auto"/>
                <w:spacing w:val="0"/>
                <w:w w:val="100"/>
                <w:kern w:val="0"/>
                <w:sz w:val="21"/>
                <w:szCs w:val="21"/>
                <w:highlight w:val="none"/>
                <w:vertAlign w:val="baseline"/>
                <w:lang w:val="en-US" w:eastAsia="zh-CN" w:bidi="ar"/>
              </w:rPr>
              <w:t>）以联合体形式参与投标的，联合体各方均未再以自己名义单独或参加其他联合体在同一标段中投标；独立参与投标的，投标人未同时参加联合体在同一标段中投标。</w:t>
            </w:r>
          </w:p>
        </w:tc>
      </w:tr>
      <w:tr w14:paraId="08A1F4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cantSplit/>
          <w:trHeight w:val="23" w:hRule="atLeast"/>
        </w:trPr>
        <w:tc>
          <w:tcPr>
            <w:tcW w:w="936" w:type="dxa"/>
            <w:tcBorders>
              <w:top w:val="single" w:color="000000" w:sz="2" w:space="0"/>
              <w:left w:val="single" w:color="000000" w:sz="2" w:space="0"/>
              <w:bottom w:val="single" w:color="000000" w:sz="2" w:space="0"/>
              <w:right w:val="single" w:color="000000" w:sz="2" w:space="0"/>
            </w:tcBorders>
            <w:shd w:val="clear" w:color="auto" w:fill="auto"/>
            <w:vAlign w:val="top"/>
          </w:tcPr>
          <w:p w14:paraId="6EC61F0F">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64ADB49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214B306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3DBBA93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189579D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16" w:right="0"/>
              <w:jc w:val="left"/>
              <w:textAlignment w:val="baseline"/>
              <w:rPr>
                <w:rFonts w:hint="default" w:ascii="Times New Roman" w:hAnsi="Times New Roman" w:cs="Times New Roman"/>
                <w:color w:val="auto"/>
                <w:spacing w:val="0"/>
                <w:w w:val="100"/>
                <w:kern w:val="0"/>
                <w:sz w:val="21"/>
                <w:szCs w:val="21"/>
                <w:highlight w:val="none"/>
              </w:rPr>
            </w:pPr>
            <w:r>
              <w:rPr>
                <w:rFonts w:hint="default" w:ascii="Times New Roman" w:hAnsi="Times New Roman" w:eastAsia="Arial" w:cs="Times New Roman"/>
                <w:snapToGrid w:val="0"/>
                <w:color w:val="auto"/>
                <w:spacing w:val="0"/>
                <w:w w:val="100"/>
                <w:kern w:val="0"/>
                <w:sz w:val="21"/>
                <w:szCs w:val="21"/>
                <w:highlight w:val="none"/>
                <w:lang w:val="en-US" w:eastAsia="zh-CN" w:bidi="ar"/>
              </w:rPr>
              <w:t>2.2.1</w:t>
            </w:r>
          </w:p>
        </w:tc>
        <w:tc>
          <w:tcPr>
            <w:tcW w:w="1073" w:type="dxa"/>
            <w:tcBorders>
              <w:top w:val="single" w:color="000000" w:sz="2" w:space="0"/>
              <w:left w:val="single" w:color="000000" w:sz="2" w:space="0"/>
              <w:bottom w:val="single" w:color="000000" w:sz="2" w:space="0"/>
              <w:right w:val="single" w:color="000000" w:sz="2" w:space="0"/>
            </w:tcBorders>
            <w:shd w:val="clear" w:color="auto" w:fill="auto"/>
            <w:vAlign w:val="top"/>
          </w:tcPr>
          <w:p w14:paraId="2C125FF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7C72A01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04C3347F">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152"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分值构成</w:t>
            </w:r>
          </w:p>
          <w:p w14:paraId="59F09D8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77" w:right="0"/>
              <w:jc w:val="left"/>
              <w:textAlignment w:val="baseline"/>
              <w:rPr>
                <w:rFonts w:hint="default" w:ascii="Times New Roman" w:hAnsi="Times New Roman" w:cs="Times New Roman"/>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（总分</w:t>
            </w:r>
            <w:r>
              <w:rPr>
                <w:rFonts w:hint="default" w:ascii="Times New Roman" w:hAnsi="Times New Roman" w:eastAsia="宋体" w:cs="Times New Roman"/>
                <w:snapToGrid/>
                <w:color w:val="auto"/>
                <w:spacing w:val="0"/>
                <w:w w:val="100"/>
                <w:kern w:val="0"/>
                <w:sz w:val="21"/>
                <w:szCs w:val="21"/>
                <w:highlight w:val="none"/>
                <w:lang w:val="en-US" w:eastAsia="zh-CN" w:bidi="ar"/>
              </w:rPr>
              <w:t>100</w:t>
            </w:r>
          </w:p>
          <w:p w14:paraId="7196A0CA">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6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分）</w:t>
            </w:r>
          </w:p>
        </w:tc>
        <w:tc>
          <w:tcPr>
            <w:tcW w:w="722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15CEBA7">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第一个信封（商务及技术文件）评分分值构成：</w:t>
            </w:r>
          </w:p>
          <w:p w14:paraId="270FE76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技术建议书：</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38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48AF9B3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主要人员：</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20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296CC309">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业绩：</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14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48E1A4C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履约信誉：</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5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39C0162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技术能力：</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4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03C2B7B4">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获奖：</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9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28ABDDC2">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第二个信封（报价文件）评分分值构成：</w:t>
            </w:r>
          </w:p>
          <w:p w14:paraId="040735B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评标价：</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10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tc>
      </w:tr>
      <w:tr w14:paraId="6249C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261" w:hRule="atLeast"/>
        </w:trPr>
        <w:tc>
          <w:tcPr>
            <w:tcW w:w="936"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7E545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Times New Roman" w:hAnsi="Times New Roman" w:cs="Times New Roman"/>
                <w:color w:val="auto"/>
                <w:spacing w:val="0"/>
                <w:w w:val="100"/>
                <w:kern w:val="0"/>
                <w:sz w:val="21"/>
                <w:szCs w:val="21"/>
                <w:highlight w:val="none"/>
              </w:rPr>
            </w:pPr>
            <w:r>
              <w:rPr>
                <w:rFonts w:hint="default" w:ascii="Times New Roman" w:hAnsi="Times New Roman" w:eastAsia="Arial" w:cs="Times New Roman"/>
                <w:snapToGrid w:val="0"/>
                <w:color w:val="auto"/>
                <w:spacing w:val="0"/>
                <w:w w:val="100"/>
                <w:kern w:val="0"/>
                <w:sz w:val="21"/>
                <w:szCs w:val="21"/>
                <w:highlight w:val="none"/>
                <w:lang w:val="en-US" w:eastAsia="zh-CN" w:bidi="ar"/>
              </w:rPr>
              <w:t>2.2.2</w:t>
            </w:r>
          </w:p>
        </w:tc>
        <w:tc>
          <w:tcPr>
            <w:tcW w:w="1073" w:type="dxa"/>
            <w:tcBorders>
              <w:top w:val="single" w:color="000000" w:sz="2" w:space="0"/>
              <w:left w:val="single" w:color="000000" w:sz="2" w:space="0"/>
              <w:bottom w:val="single" w:color="000000" w:sz="2" w:space="0"/>
              <w:right w:val="single" w:color="000000" w:sz="2" w:space="0"/>
            </w:tcBorders>
            <w:shd w:val="clear" w:color="auto" w:fill="auto"/>
            <w:vAlign w:val="top"/>
          </w:tcPr>
          <w:p w14:paraId="3B28CB3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7EB332E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5038F0D2">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22A903E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4D4C2F8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4A59163C">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54A26170">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149"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评标基准</w:t>
            </w:r>
          </w:p>
          <w:p w14:paraId="0D2C80CF">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15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价计算方</w:t>
            </w:r>
          </w:p>
          <w:p w14:paraId="440A7D8B">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65"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法</w:t>
            </w:r>
          </w:p>
        </w:tc>
        <w:tc>
          <w:tcPr>
            <w:tcW w:w="722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CEB1B5">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评标基准价的计算：</w:t>
            </w:r>
          </w:p>
          <w:p w14:paraId="0CA09BE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在开标现场，招标人将当场计算并宣布评标基准价。</w:t>
            </w:r>
          </w:p>
          <w:p w14:paraId="5EACE7D2">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1</w:t>
            </w:r>
            <w:r>
              <w:rPr>
                <w:rFonts w:hint="eastAsia" w:ascii="宋体" w:hAnsi="宋体" w:eastAsia="宋体" w:cs="宋体"/>
                <w:snapToGrid/>
                <w:color w:val="auto"/>
                <w:spacing w:val="0"/>
                <w:w w:val="100"/>
                <w:kern w:val="0"/>
                <w:sz w:val="21"/>
                <w:szCs w:val="21"/>
                <w:highlight w:val="none"/>
                <w:vertAlign w:val="baseline"/>
                <w:lang w:val="en-US" w:eastAsia="zh-CN" w:bidi="ar"/>
              </w:rPr>
              <w:t>）评标价的确定：</w:t>
            </w:r>
          </w:p>
          <w:p w14:paraId="2A8A6DF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评标价</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w:t>
            </w:r>
            <w:r>
              <w:rPr>
                <w:rFonts w:hint="eastAsia" w:ascii="宋体" w:hAnsi="宋体" w:eastAsia="宋体" w:cs="宋体"/>
                <w:snapToGrid/>
                <w:color w:val="auto"/>
                <w:spacing w:val="0"/>
                <w:w w:val="100"/>
                <w:kern w:val="0"/>
                <w:sz w:val="21"/>
                <w:szCs w:val="21"/>
                <w:highlight w:val="none"/>
                <w:vertAlign w:val="baseline"/>
                <w:lang w:val="en-US" w:eastAsia="zh-CN" w:bidi="ar"/>
              </w:rPr>
              <w:t>投标函文字报价</w:t>
            </w:r>
          </w:p>
          <w:p w14:paraId="2D52FF0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11"/>
                <w:szCs w:val="1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2</w:t>
            </w:r>
            <w:r>
              <w:rPr>
                <w:rFonts w:hint="eastAsia" w:ascii="宋体" w:hAnsi="宋体" w:eastAsia="宋体" w:cs="宋体"/>
                <w:snapToGrid/>
                <w:color w:val="auto"/>
                <w:spacing w:val="0"/>
                <w:w w:val="100"/>
                <w:kern w:val="0"/>
                <w:sz w:val="21"/>
                <w:szCs w:val="21"/>
                <w:highlight w:val="none"/>
                <w:vertAlign w:val="baseline"/>
                <w:lang w:val="en-US" w:eastAsia="zh-CN" w:bidi="ar"/>
              </w:rPr>
              <w:t>）评标价平均值的计算</w:t>
            </w:r>
            <w:r>
              <w:rPr>
                <w:rFonts w:hint="eastAsia" w:ascii="宋体" w:hAnsi="宋体" w:eastAsia="宋体" w:cs="宋体"/>
                <w:snapToGrid/>
                <w:color w:val="auto"/>
                <w:spacing w:val="0"/>
                <w:w w:val="100"/>
                <w:kern w:val="0"/>
                <w:sz w:val="11"/>
                <w:szCs w:val="11"/>
                <w:highlight w:val="none"/>
                <w:vertAlign w:val="baseline"/>
                <w:lang w:val="en-US" w:eastAsia="zh-CN" w:bidi="ar"/>
              </w:rPr>
              <w:t>：</w:t>
            </w:r>
          </w:p>
          <w:p w14:paraId="67D0EA04">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firstLine="13"/>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除按第二章“投标人须知”第</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5.2.4</w:t>
            </w:r>
            <w:r>
              <w:rPr>
                <w:rFonts w:hint="eastAsia" w:ascii="宋体" w:hAnsi="宋体" w:eastAsia="宋体" w:cs="宋体"/>
                <w:snapToGrid/>
                <w:color w:val="auto"/>
                <w:spacing w:val="0"/>
                <w:w w:val="100"/>
                <w:kern w:val="0"/>
                <w:sz w:val="21"/>
                <w:szCs w:val="21"/>
                <w:highlight w:val="none"/>
                <w:vertAlign w:val="baseline"/>
                <w:lang w:val="en-US" w:eastAsia="zh-CN" w:bidi="ar"/>
              </w:rPr>
              <w:t>项规定开标现场被宣布为不进入评标基准价计算的投标报价之外，所有投标人的评标价去掉一个最高值和一个最低值后的算术平均值即为评标价平均值（如果参与评标价平均值计算的有效投标人少于</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5</w:t>
            </w:r>
            <w:r>
              <w:rPr>
                <w:rFonts w:hint="eastAsia" w:ascii="宋体" w:hAnsi="宋体" w:eastAsia="宋体" w:cs="宋体"/>
                <w:snapToGrid/>
                <w:color w:val="auto"/>
                <w:spacing w:val="0"/>
                <w:w w:val="100"/>
                <w:kern w:val="0"/>
                <w:sz w:val="21"/>
                <w:szCs w:val="21"/>
                <w:highlight w:val="none"/>
                <w:vertAlign w:val="baseline"/>
                <w:lang w:val="en-US" w:eastAsia="zh-CN" w:bidi="ar"/>
              </w:rPr>
              <w:t>家时，则计算评标价平均值时不去掉最高值和最低值）。</w:t>
            </w:r>
          </w:p>
          <w:p w14:paraId="154C022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3</w:t>
            </w:r>
            <w:r>
              <w:rPr>
                <w:rFonts w:hint="eastAsia" w:ascii="宋体" w:hAnsi="宋体" w:eastAsia="宋体" w:cs="宋体"/>
                <w:snapToGrid/>
                <w:color w:val="auto"/>
                <w:spacing w:val="0"/>
                <w:w w:val="100"/>
                <w:kern w:val="0"/>
                <w:sz w:val="21"/>
                <w:szCs w:val="21"/>
                <w:highlight w:val="none"/>
                <w:vertAlign w:val="baseline"/>
                <w:lang w:val="en-US" w:eastAsia="zh-CN" w:bidi="ar"/>
              </w:rPr>
              <w:t>）评标基准价的确定</w:t>
            </w:r>
          </w:p>
          <w:p w14:paraId="29D04EFB">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b/>
                <w:bCs/>
                <w:color w:val="auto"/>
                <w:spacing w:val="0"/>
                <w:w w:val="100"/>
                <w:kern w:val="0"/>
                <w:sz w:val="21"/>
                <w:szCs w:val="21"/>
                <w:highlight w:val="none"/>
                <w:vertAlign w:val="baseline"/>
              </w:rPr>
            </w:pPr>
            <w:r>
              <w:rPr>
                <w:rFonts w:hint="eastAsia" w:ascii="宋体" w:hAnsi="宋体" w:eastAsia="宋体" w:cs="宋体"/>
                <w:b/>
                <w:bCs/>
                <w:snapToGrid/>
                <w:color w:val="auto"/>
                <w:spacing w:val="0"/>
                <w:w w:val="100"/>
                <w:kern w:val="0"/>
                <w:sz w:val="21"/>
                <w:szCs w:val="21"/>
                <w:highlight w:val="none"/>
                <w:vertAlign w:val="baseline"/>
                <w:lang w:val="en-US" w:eastAsia="zh-CN" w:bidi="ar"/>
              </w:rPr>
              <w:t>将评标价平均值直接作为评标基准价。</w:t>
            </w:r>
          </w:p>
          <w:p w14:paraId="6C3BBF1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在评标过程中，评标委员会应对招标人计算的评标基准价进行复核，存在计算错误的应予以修正并在评标报告中作出说明。除此之外，评标基准价在整个评标期间保持不变，不随任何因素发生变化。</w:t>
            </w:r>
          </w:p>
          <w:p w14:paraId="105F5EAF">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在计算评标基准价时按四舍五入规则保留小数点后2位小数。</w:t>
            </w:r>
          </w:p>
        </w:tc>
      </w:tr>
      <w:tr w14:paraId="1CC1E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1050" w:hRule="atLeast"/>
        </w:trPr>
        <w:tc>
          <w:tcPr>
            <w:tcW w:w="936" w:type="dxa"/>
            <w:tcBorders>
              <w:top w:val="single" w:color="000000" w:sz="2" w:space="0"/>
              <w:left w:val="single" w:color="000000" w:sz="2" w:space="0"/>
              <w:bottom w:val="single" w:color="000000" w:sz="2" w:space="0"/>
              <w:right w:val="single" w:color="000000" w:sz="2" w:space="0"/>
            </w:tcBorders>
            <w:shd w:val="clear" w:color="auto" w:fill="auto"/>
            <w:vAlign w:val="top"/>
          </w:tcPr>
          <w:p w14:paraId="5C58F2F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left"/>
              <w:textAlignment w:val="baseline"/>
              <w:rPr>
                <w:rFonts w:hint="default" w:ascii="Arial" w:hAnsi="Arial" w:cs="Arial"/>
                <w:color w:val="auto"/>
                <w:spacing w:val="0"/>
                <w:w w:val="100"/>
                <w:kern w:val="0"/>
                <w:sz w:val="21"/>
                <w:szCs w:val="21"/>
                <w:highlight w:val="none"/>
              </w:rPr>
            </w:pPr>
          </w:p>
          <w:p w14:paraId="48368A3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16" w:right="0"/>
              <w:jc w:val="left"/>
              <w:textAlignment w:val="baseline"/>
              <w:rPr>
                <w:rFonts w:hint="default" w:ascii="Times New Roman" w:hAnsi="Times New Roman" w:cs="Times New Roman"/>
                <w:color w:val="auto"/>
                <w:spacing w:val="0"/>
                <w:w w:val="100"/>
                <w:kern w:val="0"/>
                <w:sz w:val="21"/>
                <w:szCs w:val="21"/>
                <w:highlight w:val="none"/>
              </w:rPr>
            </w:pPr>
            <w:r>
              <w:rPr>
                <w:rFonts w:hint="default" w:ascii="Times New Roman" w:hAnsi="Times New Roman" w:eastAsia="Arial" w:cs="Times New Roman"/>
                <w:snapToGrid w:val="0"/>
                <w:color w:val="auto"/>
                <w:spacing w:val="0"/>
                <w:w w:val="100"/>
                <w:kern w:val="0"/>
                <w:sz w:val="21"/>
                <w:szCs w:val="21"/>
                <w:highlight w:val="none"/>
                <w:lang w:val="en-US" w:eastAsia="zh-CN" w:bidi="ar"/>
              </w:rPr>
              <w:t>2.2.3</w:t>
            </w:r>
          </w:p>
        </w:tc>
        <w:tc>
          <w:tcPr>
            <w:tcW w:w="107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CBAC5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147"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评标价的偏差率计算公式</w:t>
            </w:r>
          </w:p>
        </w:tc>
        <w:tc>
          <w:tcPr>
            <w:tcW w:w="722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CDAFD3">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偏差率</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=100%×</w:t>
            </w:r>
            <w:r>
              <w:rPr>
                <w:rFonts w:hint="eastAsia" w:ascii="宋体" w:hAnsi="宋体" w:eastAsia="宋体" w:cs="宋体"/>
                <w:snapToGrid/>
                <w:color w:val="auto"/>
                <w:spacing w:val="0"/>
                <w:w w:val="100"/>
                <w:kern w:val="0"/>
                <w:sz w:val="21"/>
                <w:szCs w:val="21"/>
                <w:highlight w:val="none"/>
                <w:vertAlign w:val="baseline"/>
                <w:lang w:val="en-US" w:eastAsia="zh-CN" w:bidi="ar"/>
              </w:rPr>
              <w:t>（投标人评标价</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w:t>
            </w:r>
            <w:r>
              <w:rPr>
                <w:rFonts w:hint="eastAsia" w:ascii="宋体" w:hAnsi="宋体" w:eastAsia="宋体" w:cs="宋体"/>
                <w:snapToGrid/>
                <w:color w:val="auto"/>
                <w:spacing w:val="0"/>
                <w:w w:val="100"/>
                <w:kern w:val="0"/>
                <w:sz w:val="21"/>
                <w:szCs w:val="21"/>
                <w:highlight w:val="none"/>
                <w:vertAlign w:val="baseline"/>
                <w:lang w:val="en-US" w:eastAsia="zh-CN" w:bidi="ar"/>
              </w:rPr>
              <w:t>评标基准价）</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w:t>
            </w:r>
            <w:r>
              <w:rPr>
                <w:rFonts w:hint="eastAsia" w:ascii="宋体" w:hAnsi="宋体" w:eastAsia="宋体" w:cs="宋体"/>
                <w:snapToGrid/>
                <w:color w:val="auto"/>
                <w:spacing w:val="0"/>
                <w:w w:val="100"/>
                <w:kern w:val="0"/>
                <w:sz w:val="21"/>
                <w:szCs w:val="21"/>
                <w:highlight w:val="none"/>
                <w:vertAlign w:val="baseline"/>
                <w:lang w:val="en-US" w:eastAsia="zh-CN" w:bidi="ar"/>
              </w:rPr>
              <w:t>评标基准价；</w:t>
            </w:r>
          </w:p>
          <w:p w14:paraId="2AFDC88B">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偏差率按四舍五入规则保留小数点后2位小数（即*.**%）。</w:t>
            </w:r>
          </w:p>
        </w:tc>
      </w:tr>
    </w:tbl>
    <w:p w14:paraId="02D18EC2">
      <w:pPr>
        <w:rPr>
          <w:rFonts w:hint="eastAsia" w:eastAsia="宋体"/>
          <w:color w:val="auto"/>
          <w:highlight w:val="none"/>
          <w:lang w:eastAsia="zh-CN"/>
        </w:rPr>
      </w:pPr>
    </w:p>
    <w:p w14:paraId="56B3DE95">
      <w:pPr>
        <w:rPr>
          <w:rFonts w:ascii="Arial"/>
          <w:color w:val="auto"/>
          <w:spacing w:val="0"/>
          <w:w w:val="100"/>
          <w:position w:val="0"/>
          <w:sz w:val="21"/>
          <w:highlight w:val="none"/>
        </w:rPr>
      </w:pPr>
    </w:p>
    <w:p w14:paraId="6760733A">
      <w:pPr>
        <w:rPr>
          <w:rFonts w:ascii="Arial" w:hAnsi="Arial" w:eastAsia="Arial" w:cs="Arial"/>
          <w:color w:val="auto"/>
          <w:spacing w:val="0"/>
          <w:w w:val="100"/>
          <w:position w:val="0"/>
          <w:sz w:val="21"/>
          <w:szCs w:val="21"/>
          <w:highlight w:val="none"/>
        </w:rPr>
        <w:sectPr>
          <w:headerReference r:id="rId22" w:type="default"/>
          <w:footerReference r:id="rId23" w:type="default"/>
          <w:pgSz w:w="11900" w:h="16843"/>
          <w:pgMar w:top="1378" w:right="1417" w:bottom="1208" w:left="1417" w:header="1366" w:footer="1003" w:gutter="0"/>
          <w:pgNumType w:fmt="decimal"/>
          <w:cols w:space="0" w:num="1"/>
          <w:rtlGutter w:val="0"/>
          <w:docGrid w:linePitch="0" w:charSpace="0"/>
        </w:sectPr>
      </w:pPr>
    </w:p>
    <w:tbl>
      <w:tblPr>
        <w:tblStyle w:val="18"/>
        <w:tblW w:w="93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2"/>
        <w:gridCol w:w="554"/>
        <w:gridCol w:w="557"/>
        <w:gridCol w:w="1013"/>
        <w:gridCol w:w="1556"/>
        <w:gridCol w:w="667"/>
        <w:gridCol w:w="4014"/>
      </w:tblGrid>
      <w:tr w14:paraId="74A2DB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5309" w:type="dxa"/>
            <w:gridSpan w:val="6"/>
            <w:vAlign w:val="top"/>
          </w:tcPr>
          <w:p w14:paraId="59953939">
            <w:pPr>
              <w:pStyle w:val="19"/>
              <w:keepNext w:val="0"/>
              <w:keepLines w:val="0"/>
              <w:widowControl/>
              <w:suppressLineNumbers w:val="0"/>
              <w:spacing w:before="84" w:beforeAutospacing="0" w:after="0" w:afterAutospacing="0" w:line="221" w:lineRule="auto"/>
              <w:ind w:left="1987" w:right="0"/>
              <w:rPr>
                <w:rFonts w:hint="default"/>
                <w:color w:val="auto"/>
                <w:spacing w:val="0"/>
                <w:w w:val="100"/>
                <w:position w:val="0"/>
                <w:highlight w:val="none"/>
              </w:rPr>
            </w:pPr>
            <w:r>
              <w:rPr>
                <w:rFonts w:hint="default"/>
                <w:b/>
                <w:bCs/>
                <w:color w:val="auto"/>
                <w:spacing w:val="0"/>
                <w:w w:val="100"/>
                <w:position w:val="0"/>
                <w:highlight w:val="none"/>
              </w:rPr>
              <w:t>评分因素与权重分值</w:t>
            </w:r>
          </w:p>
        </w:tc>
        <w:tc>
          <w:tcPr>
            <w:tcW w:w="4014" w:type="dxa"/>
            <w:vMerge w:val="restart"/>
            <w:tcBorders>
              <w:bottom w:val="nil"/>
            </w:tcBorders>
            <w:vAlign w:val="center"/>
          </w:tcPr>
          <w:p w14:paraId="38244DC3">
            <w:pPr>
              <w:pStyle w:val="19"/>
              <w:keepNext w:val="0"/>
              <w:keepLines w:val="0"/>
              <w:widowControl/>
              <w:suppressLineNumbers w:val="0"/>
              <w:spacing w:before="68" w:beforeAutospacing="0" w:after="0" w:afterAutospacing="0" w:line="221" w:lineRule="auto"/>
              <w:ind w:left="0" w:right="0"/>
              <w:jc w:val="center"/>
              <w:rPr>
                <w:rFonts w:hint="default"/>
                <w:color w:val="auto"/>
                <w:spacing w:val="0"/>
                <w:w w:val="100"/>
                <w:position w:val="0"/>
                <w:highlight w:val="none"/>
              </w:rPr>
            </w:pPr>
            <w:r>
              <w:rPr>
                <w:rFonts w:hint="default"/>
                <w:b/>
                <w:bCs/>
                <w:color w:val="auto"/>
                <w:spacing w:val="0"/>
                <w:w w:val="100"/>
                <w:position w:val="0"/>
                <w:highlight w:val="none"/>
              </w:rPr>
              <w:t>评分标准</w:t>
            </w:r>
          </w:p>
        </w:tc>
      </w:tr>
      <w:tr w14:paraId="6550A4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962" w:type="dxa"/>
            <w:vAlign w:val="top"/>
          </w:tcPr>
          <w:p w14:paraId="26AD9BFF">
            <w:pPr>
              <w:pStyle w:val="19"/>
              <w:keepNext w:val="0"/>
              <w:keepLines w:val="0"/>
              <w:widowControl/>
              <w:suppressLineNumbers w:val="0"/>
              <w:spacing w:before="216" w:beforeAutospacing="0" w:after="0" w:afterAutospacing="0" w:line="221" w:lineRule="auto"/>
              <w:ind w:left="170" w:right="0"/>
              <w:rPr>
                <w:rFonts w:hint="default"/>
                <w:color w:val="auto"/>
                <w:spacing w:val="0"/>
                <w:w w:val="100"/>
                <w:position w:val="0"/>
                <w:highlight w:val="none"/>
              </w:rPr>
            </w:pPr>
            <w:r>
              <w:rPr>
                <w:rFonts w:hint="default"/>
                <w:b/>
                <w:bCs/>
                <w:color w:val="auto"/>
                <w:spacing w:val="0"/>
                <w:w w:val="100"/>
                <w:position w:val="0"/>
                <w:highlight w:val="none"/>
              </w:rPr>
              <w:t>条款号</w:t>
            </w:r>
          </w:p>
        </w:tc>
        <w:tc>
          <w:tcPr>
            <w:tcW w:w="1111" w:type="dxa"/>
            <w:gridSpan w:val="2"/>
            <w:vAlign w:val="top"/>
          </w:tcPr>
          <w:p w14:paraId="3A1C47BE">
            <w:pPr>
              <w:pStyle w:val="19"/>
              <w:keepNext w:val="0"/>
              <w:keepLines w:val="0"/>
              <w:widowControl/>
              <w:suppressLineNumbers w:val="0"/>
              <w:spacing w:before="216" w:beforeAutospacing="0" w:after="0" w:afterAutospacing="0" w:line="221" w:lineRule="auto"/>
              <w:ind w:left="189" w:right="0"/>
              <w:rPr>
                <w:rFonts w:hint="default"/>
                <w:color w:val="auto"/>
                <w:spacing w:val="0"/>
                <w:w w:val="100"/>
                <w:position w:val="0"/>
                <w:highlight w:val="none"/>
              </w:rPr>
            </w:pPr>
            <w:r>
              <w:rPr>
                <w:rFonts w:hint="default"/>
                <w:b/>
                <w:bCs/>
                <w:color w:val="auto"/>
                <w:spacing w:val="0"/>
                <w:w w:val="100"/>
                <w:position w:val="0"/>
                <w:highlight w:val="none"/>
              </w:rPr>
              <w:t>评分因素</w:t>
            </w:r>
          </w:p>
        </w:tc>
        <w:tc>
          <w:tcPr>
            <w:tcW w:w="1013" w:type="dxa"/>
            <w:vAlign w:val="top"/>
          </w:tcPr>
          <w:p w14:paraId="5CC0F184">
            <w:pPr>
              <w:pStyle w:val="19"/>
              <w:keepNext w:val="0"/>
              <w:keepLines w:val="0"/>
              <w:widowControl/>
              <w:suppressLineNumbers w:val="0"/>
              <w:spacing w:before="79" w:beforeAutospacing="0" w:after="0" w:afterAutospacing="0" w:line="221" w:lineRule="auto"/>
              <w:ind w:left="77" w:right="0"/>
              <w:rPr>
                <w:rFonts w:hint="default"/>
                <w:color w:val="auto"/>
                <w:spacing w:val="0"/>
                <w:w w:val="100"/>
                <w:position w:val="0"/>
                <w:highlight w:val="none"/>
              </w:rPr>
            </w:pPr>
            <w:r>
              <w:rPr>
                <w:rFonts w:hint="default"/>
                <w:b/>
                <w:bCs/>
                <w:color w:val="auto"/>
                <w:spacing w:val="0"/>
                <w:w w:val="100"/>
                <w:position w:val="0"/>
                <w:highlight w:val="none"/>
              </w:rPr>
              <w:t>评分因素</w:t>
            </w:r>
          </w:p>
          <w:p w14:paraId="12356E80">
            <w:pPr>
              <w:pStyle w:val="19"/>
              <w:keepNext w:val="0"/>
              <w:keepLines w:val="0"/>
              <w:widowControl/>
              <w:suppressLineNumbers w:val="0"/>
              <w:spacing w:before="22" w:beforeAutospacing="0" w:after="0" w:afterAutospacing="0" w:line="221" w:lineRule="auto"/>
              <w:ind w:left="77" w:right="0"/>
              <w:rPr>
                <w:rFonts w:hint="default"/>
                <w:color w:val="auto"/>
                <w:spacing w:val="0"/>
                <w:w w:val="100"/>
                <w:position w:val="0"/>
                <w:highlight w:val="none"/>
              </w:rPr>
            </w:pPr>
            <w:r>
              <w:rPr>
                <w:rFonts w:hint="default"/>
                <w:b/>
                <w:bCs/>
                <w:color w:val="auto"/>
                <w:spacing w:val="0"/>
                <w:w w:val="100"/>
                <w:position w:val="0"/>
                <w:highlight w:val="none"/>
              </w:rPr>
              <w:t>权重分值</w:t>
            </w:r>
          </w:p>
        </w:tc>
        <w:tc>
          <w:tcPr>
            <w:tcW w:w="1556" w:type="dxa"/>
            <w:vAlign w:val="top"/>
          </w:tcPr>
          <w:p w14:paraId="606E79D7">
            <w:pPr>
              <w:pStyle w:val="19"/>
              <w:keepNext w:val="0"/>
              <w:keepLines w:val="0"/>
              <w:widowControl/>
              <w:suppressLineNumbers w:val="0"/>
              <w:spacing w:before="79" w:beforeAutospacing="0" w:after="0" w:afterAutospacing="0" w:line="243" w:lineRule="auto"/>
              <w:ind w:left="0" w:right="108"/>
              <w:jc w:val="center"/>
              <w:rPr>
                <w:rFonts w:hint="default"/>
                <w:color w:val="auto"/>
                <w:spacing w:val="0"/>
                <w:w w:val="100"/>
                <w:position w:val="0"/>
                <w:highlight w:val="none"/>
              </w:rPr>
            </w:pPr>
            <w:r>
              <w:rPr>
                <w:rFonts w:hint="default"/>
                <w:b/>
                <w:bCs/>
                <w:color w:val="auto"/>
                <w:spacing w:val="0"/>
                <w:w w:val="100"/>
                <w:position w:val="0"/>
                <w:highlight w:val="none"/>
              </w:rPr>
              <w:t>各评分因素细分项</w:t>
            </w:r>
          </w:p>
        </w:tc>
        <w:tc>
          <w:tcPr>
            <w:tcW w:w="667" w:type="dxa"/>
            <w:vAlign w:val="center"/>
          </w:tcPr>
          <w:p w14:paraId="31BDA475">
            <w:pPr>
              <w:pStyle w:val="19"/>
              <w:keepNext w:val="0"/>
              <w:keepLines w:val="0"/>
              <w:widowControl/>
              <w:suppressLineNumbers w:val="0"/>
              <w:spacing w:before="216" w:beforeAutospacing="0" w:after="0" w:afterAutospacing="0" w:line="221" w:lineRule="auto"/>
              <w:ind w:left="0" w:right="0"/>
              <w:jc w:val="center"/>
              <w:rPr>
                <w:rFonts w:hint="default"/>
                <w:color w:val="auto"/>
                <w:spacing w:val="0"/>
                <w:w w:val="100"/>
                <w:position w:val="0"/>
                <w:highlight w:val="none"/>
              </w:rPr>
            </w:pPr>
            <w:r>
              <w:rPr>
                <w:rFonts w:hint="default"/>
                <w:b/>
                <w:bCs/>
                <w:color w:val="auto"/>
                <w:spacing w:val="0"/>
                <w:w w:val="100"/>
                <w:position w:val="0"/>
                <w:highlight w:val="none"/>
              </w:rPr>
              <w:t>分值</w:t>
            </w:r>
          </w:p>
        </w:tc>
        <w:tc>
          <w:tcPr>
            <w:tcW w:w="4014" w:type="dxa"/>
            <w:vMerge w:val="continue"/>
            <w:tcBorders>
              <w:top w:val="nil"/>
            </w:tcBorders>
            <w:vAlign w:val="top"/>
          </w:tcPr>
          <w:p w14:paraId="6D7B762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A79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6" w:hRule="atLeast"/>
        </w:trPr>
        <w:tc>
          <w:tcPr>
            <w:tcW w:w="962" w:type="dxa"/>
            <w:vMerge w:val="restart"/>
            <w:tcBorders>
              <w:bottom w:val="nil"/>
            </w:tcBorders>
            <w:vAlign w:val="top"/>
          </w:tcPr>
          <w:p w14:paraId="660503A9">
            <w:pPr>
              <w:keepNext w:val="0"/>
              <w:keepLines w:val="0"/>
              <w:widowControl/>
              <w:suppressLineNumbers w:val="0"/>
              <w:spacing w:before="0" w:beforeAutospacing="0" w:after="0" w:afterAutospacing="0" w:line="254" w:lineRule="auto"/>
              <w:ind w:left="0" w:right="0"/>
              <w:rPr>
                <w:rFonts w:hint="default" w:ascii="Arial"/>
                <w:color w:val="auto"/>
                <w:spacing w:val="0"/>
                <w:w w:val="100"/>
                <w:position w:val="0"/>
                <w:sz w:val="21"/>
                <w:highlight w:val="none"/>
              </w:rPr>
            </w:pPr>
          </w:p>
          <w:p w14:paraId="3F627C86">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5FA099D2">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7B60ED84">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47A20DB4">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62CEC6C3">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42B589C4">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22334155">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5BB0C2C9">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06C834EA">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15F8D3DC">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098D2798">
            <w:pPr>
              <w:pStyle w:val="19"/>
              <w:keepNext w:val="0"/>
              <w:keepLines w:val="0"/>
              <w:widowControl/>
              <w:suppressLineNumbers w:val="0"/>
              <w:spacing w:before="69" w:beforeAutospacing="0" w:after="0" w:afterAutospacing="0" w:line="280" w:lineRule="exact"/>
              <w:ind w:left="0" w:right="0"/>
              <w:jc w:val="right"/>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rPr>
              <w:t>2.2.4</w:t>
            </w:r>
            <w:r>
              <w:rPr>
                <w:rFonts w:hint="default"/>
                <w:color w:val="auto"/>
                <w:spacing w:val="0"/>
                <w:w w:val="100"/>
                <w:position w:val="0"/>
                <w:highlight w:val="none"/>
              </w:rPr>
              <w:t>（</w:t>
            </w:r>
            <w:r>
              <w:rPr>
                <w:rFonts w:hint="default" w:ascii="Times New Roman" w:hAnsi="Times New Roman" w:eastAsia="Times New Roman" w:cs="Times New Roman"/>
                <w:color w:val="auto"/>
                <w:spacing w:val="0"/>
                <w:w w:val="100"/>
                <w:position w:val="0"/>
                <w:highlight w:val="none"/>
              </w:rPr>
              <w:t>1</w:t>
            </w:r>
            <w:r>
              <w:rPr>
                <w:rFonts w:hint="default"/>
                <w:color w:val="auto"/>
                <w:spacing w:val="0"/>
                <w:w w:val="100"/>
                <w:position w:val="0"/>
                <w:highlight w:val="none"/>
              </w:rPr>
              <w:t>）</w:t>
            </w:r>
          </w:p>
        </w:tc>
        <w:tc>
          <w:tcPr>
            <w:tcW w:w="1111" w:type="dxa"/>
            <w:gridSpan w:val="2"/>
            <w:vMerge w:val="restart"/>
            <w:tcBorders>
              <w:bottom w:val="nil"/>
            </w:tcBorders>
            <w:vAlign w:val="top"/>
          </w:tcPr>
          <w:p w14:paraId="243516CB">
            <w:pPr>
              <w:keepNext w:val="0"/>
              <w:keepLines w:val="0"/>
              <w:widowControl/>
              <w:suppressLineNumbers w:val="0"/>
              <w:spacing w:before="0" w:beforeAutospacing="0" w:after="0" w:afterAutospacing="0" w:line="254" w:lineRule="auto"/>
              <w:ind w:left="0" w:right="0"/>
              <w:rPr>
                <w:rFonts w:hint="default" w:ascii="Arial"/>
                <w:color w:val="auto"/>
                <w:spacing w:val="0"/>
                <w:w w:val="100"/>
                <w:position w:val="0"/>
                <w:sz w:val="21"/>
                <w:highlight w:val="none"/>
              </w:rPr>
            </w:pPr>
          </w:p>
          <w:p w14:paraId="4557696D">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0E4CD8E1">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278C627B">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5E0DAFD4">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0F31173D">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3BFF75F5">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062F5DD9">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5E3C3EDE">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5A84A9B0">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1A1C641D">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656B6FAD">
            <w:pPr>
              <w:pStyle w:val="19"/>
              <w:keepNext w:val="0"/>
              <w:keepLines w:val="0"/>
              <w:widowControl/>
              <w:suppressLineNumbers w:val="0"/>
              <w:spacing w:before="68" w:beforeAutospacing="0" w:after="0" w:afterAutospacing="0" w:line="220" w:lineRule="auto"/>
              <w:ind w:left="54" w:right="0"/>
              <w:rPr>
                <w:rFonts w:hint="default"/>
                <w:color w:val="auto"/>
                <w:spacing w:val="0"/>
                <w:w w:val="100"/>
                <w:position w:val="0"/>
                <w:highlight w:val="none"/>
              </w:rPr>
            </w:pPr>
            <w:r>
              <w:rPr>
                <w:rFonts w:hint="default"/>
                <w:color w:val="auto"/>
                <w:spacing w:val="0"/>
                <w:w w:val="100"/>
                <w:position w:val="0"/>
                <w:highlight w:val="none"/>
              </w:rPr>
              <w:t>技术建议书</w:t>
            </w:r>
          </w:p>
        </w:tc>
        <w:tc>
          <w:tcPr>
            <w:tcW w:w="1013" w:type="dxa"/>
            <w:vMerge w:val="restart"/>
            <w:tcBorders>
              <w:bottom w:val="nil"/>
            </w:tcBorders>
            <w:vAlign w:val="top"/>
          </w:tcPr>
          <w:p w14:paraId="02DBC4F7">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6B3210ED">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13C556E5">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4FC09BE5">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19A467AA">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48EED350">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67E2D2B0">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57FE4D1A">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02AD463F">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3E33C3AE">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6BF2323C">
            <w:pPr>
              <w:keepNext w:val="0"/>
              <w:keepLines w:val="0"/>
              <w:widowControl/>
              <w:suppressLineNumbers w:val="0"/>
              <w:spacing w:before="0" w:beforeAutospacing="0" w:after="0" w:afterAutospacing="0" w:line="255" w:lineRule="auto"/>
              <w:ind w:left="0" w:right="0"/>
              <w:rPr>
                <w:rFonts w:hint="default" w:ascii="Arial"/>
                <w:color w:val="auto"/>
                <w:spacing w:val="0"/>
                <w:w w:val="100"/>
                <w:position w:val="0"/>
                <w:sz w:val="21"/>
                <w:highlight w:val="none"/>
              </w:rPr>
            </w:pPr>
          </w:p>
          <w:p w14:paraId="0B89027B">
            <w:pPr>
              <w:pStyle w:val="19"/>
              <w:keepNext w:val="0"/>
              <w:keepLines w:val="0"/>
              <w:widowControl/>
              <w:suppressLineNumbers w:val="0"/>
              <w:spacing w:before="68" w:beforeAutospacing="0" w:after="0" w:afterAutospacing="0" w:line="235" w:lineRule="auto"/>
              <w:ind w:left="263" w:right="0"/>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u w:val="single" w:color="auto"/>
              </w:rPr>
              <w:t>3</w:t>
            </w:r>
            <w:r>
              <w:rPr>
                <w:rFonts w:hint="eastAsia" w:ascii="Times New Roman" w:hAnsi="Times New Roman" w:cs="Times New Roman"/>
                <w:color w:val="auto"/>
                <w:spacing w:val="0"/>
                <w:w w:val="100"/>
                <w:position w:val="0"/>
                <w:highlight w:val="none"/>
                <w:u w:val="single" w:color="auto"/>
                <w:lang w:val="en-US" w:eastAsia="zh-CN"/>
              </w:rPr>
              <w:t>8</w:t>
            </w:r>
            <w:r>
              <w:rPr>
                <w:rFonts w:hint="default"/>
                <w:color w:val="auto"/>
                <w:spacing w:val="0"/>
                <w:w w:val="100"/>
                <w:position w:val="0"/>
                <w:highlight w:val="none"/>
              </w:rPr>
              <w:t>分</w:t>
            </w:r>
          </w:p>
        </w:tc>
        <w:tc>
          <w:tcPr>
            <w:tcW w:w="1556" w:type="dxa"/>
            <w:vAlign w:val="center"/>
          </w:tcPr>
          <w:p w14:paraId="4C7FA12F">
            <w:pPr>
              <w:pStyle w:val="19"/>
              <w:keepNext w:val="0"/>
              <w:keepLines w:val="0"/>
              <w:widowControl/>
              <w:suppressLineNumbers w:val="0"/>
              <w:spacing w:before="69" w:beforeAutospacing="0" w:after="0" w:afterAutospacing="0" w:line="241" w:lineRule="auto"/>
              <w:ind w:left="54" w:right="47"/>
              <w:jc w:val="both"/>
              <w:rPr>
                <w:rFonts w:hint="default"/>
                <w:color w:val="auto"/>
                <w:spacing w:val="0"/>
                <w:w w:val="100"/>
                <w:position w:val="0"/>
                <w:highlight w:val="none"/>
              </w:rPr>
            </w:pPr>
            <w:r>
              <w:rPr>
                <w:rFonts w:hint="eastAsia"/>
                <w:color w:val="auto"/>
                <w:spacing w:val="0"/>
                <w:w w:val="100"/>
                <w:position w:val="0"/>
                <w:highlight w:val="none"/>
                <w:lang w:val="en-US" w:eastAsia="zh-CN"/>
              </w:rPr>
              <w:t>对招标项目的理解和总体设计思路</w:t>
            </w:r>
          </w:p>
        </w:tc>
        <w:tc>
          <w:tcPr>
            <w:tcW w:w="667" w:type="dxa"/>
            <w:vAlign w:val="center"/>
          </w:tcPr>
          <w:p w14:paraId="1B3A455F">
            <w:pPr>
              <w:pStyle w:val="19"/>
              <w:keepNext w:val="0"/>
              <w:keepLines w:val="0"/>
              <w:widowControl/>
              <w:suppressLineNumbers w:val="0"/>
              <w:spacing w:before="69" w:beforeAutospacing="0" w:after="0" w:afterAutospacing="0" w:line="235" w:lineRule="auto"/>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u w:val="single" w:color="auto"/>
              </w:rPr>
              <w:t>10</w:t>
            </w:r>
            <w:r>
              <w:rPr>
                <w:rFonts w:hint="default"/>
                <w:color w:val="auto"/>
                <w:spacing w:val="0"/>
                <w:w w:val="100"/>
                <w:position w:val="0"/>
                <w:highlight w:val="none"/>
              </w:rPr>
              <w:t>分</w:t>
            </w:r>
          </w:p>
        </w:tc>
        <w:tc>
          <w:tcPr>
            <w:tcW w:w="4014" w:type="dxa"/>
            <w:vAlign w:val="center"/>
          </w:tcPr>
          <w:p w14:paraId="5ED53BD8">
            <w:pPr>
              <w:pStyle w:val="19"/>
              <w:keepNext w:val="0"/>
              <w:keepLines w:val="0"/>
              <w:widowControl/>
              <w:suppressLineNumbers w:val="0"/>
              <w:spacing w:before="81" w:beforeAutospacing="0" w:after="0" w:afterAutospacing="0"/>
              <w:ind w:left="56" w:right="49"/>
              <w:jc w:val="both"/>
              <w:rPr>
                <w:rFonts w:hint="default"/>
                <w:color w:val="auto"/>
                <w:spacing w:val="0"/>
                <w:w w:val="100"/>
                <w:position w:val="0"/>
                <w:highlight w:val="none"/>
              </w:rPr>
            </w:pPr>
            <w:r>
              <w:rPr>
                <w:rFonts w:hint="eastAsia"/>
                <w:color w:val="auto"/>
                <w:spacing w:val="0"/>
                <w:w w:val="100"/>
                <w:position w:val="0"/>
                <w:highlight w:val="none"/>
              </w:rPr>
              <w:t>基本分</w:t>
            </w:r>
            <w:r>
              <w:rPr>
                <w:rFonts w:hint="eastAsia"/>
                <w:color w:val="auto"/>
                <w:spacing w:val="0"/>
                <w:w w:val="100"/>
                <w:position w:val="0"/>
                <w:highlight w:val="none"/>
                <w:lang w:val="en-US" w:eastAsia="zh-CN"/>
              </w:rPr>
              <w:t>6</w:t>
            </w:r>
            <w:r>
              <w:rPr>
                <w:rFonts w:hint="eastAsia"/>
                <w:color w:val="auto"/>
                <w:spacing w:val="0"/>
                <w:w w:val="100"/>
                <w:position w:val="0"/>
                <w:highlight w:val="none"/>
              </w:rPr>
              <w:t>分；对本项目的理解和技术建议以及设计新技术、新理念的采用合理、可靠、完善的加0～</w:t>
            </w:r>
            <w:r>
              <w:rPr>
                <w:rFonts w:hint="eastAsia"/>
                <w:color w:val="auto"/>
                <w:spacing w:val="0"/>
                <w:w w:val="100"/>
                <w:position w:val="0"/>
                <w:highlight w:val="none"/>
                <w:lang w:val="en-US" w:eastAsia="zh-CN"/>
              </w:rPr>
              <w:t>4</w:t>
            </w:r>
            <w:r>
              <w:rPr>
                <w:rFonts w:hint="eastAsia"/>
                <w:color w:val="auto"/>
                <w:spacing w:val="0"/>
                <w:w w:val="100"/>
                <w:position w:val="0"/>
                <w:highlight w:val="none"/>
              </w:rPr>
              <w:t>分；无相关内容不得分；本项满分</w:t>
            </w:r>
            <w:r>
              <w:rPr>
                <w:rFonts w:hint="eastAsia"/>
                <w:color w:val="auto"/>
                <w:spacing w:val="0"/>
                <w:w w:val="100"/>
                <w:position w:val="0"/>
                <w:highlight w:val="none"/>
                <w:lang w:val="en-US" w:eastAsia="zh-CN"/>
              </w:rPr>
              <w:t>10</w:t>
            </w:r>
            <w:r>
              <w:rPr>
                <w:rFonts w:hint="eastAsia"/>
                <w:color w:val="auto"/>
                <w:spacing w:val="0"/>
                <w:w w:val="100"/>
                <w:position w:val="0"/>
                <w:highlight w:val="none"/>
              </w:rPr>
              <w:t>分</w:t>
            </w:r>
            <w:r>
              <w:rPr>
                <w:rFonts w:hint="default"/>
                <w:color w:val="auto"/>
                <w:spacing w:val="0"/>
                <w:w w:val="100"/>
                <w:position w:val="0"/>
                <w:highlight w:val="none"/>
              </w:rPr>
              <w:t>。</w:t>
            </w:r>
          </w:p>
        </w:tc>
      </w:tr>
      <w:tr w14:paraId="00A92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7" w:hRule="atLeast"/>
        </w:trPr>
        <w:tc>
          <w:tcPr>
            <w:tcW w:w="962" w:type="dxa"/>
            <w:vMerge w:val="continue"/>
            <w:tcBorders>
              <w:top w:val="nil"/>
              <w:bottom w:val="nil"/>
            </w:tcBorders>
            <w:vAlign w:val="top"/>
          </w:tcPr>
          <w:p w14:paraId="26A0957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11" w:type="dxa"/>
            <w:gridSpan w:val="2"/>
            <w:vMerge w:val="continue"/>
            <w:tcBorders>
              <w:top w:val="nil"/>
              <w:bottom w:val="nil"/>
            </w:tcBorders>
            <w:vAlign w:val="top"/>
          </w:tcPr>
          <w:p w14:paraId="153014A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013" w:type="dxa"/>
            <w:vMerge w:val="continue"/>
            <w:tcBorders>
              <w:top w:val="nil"/>
              <w:bottom w:val="nil"/>
            </w:tcBorders>
            <w:vAlign w:val="top"/>
          </w:tcPr>
          <w:p w14:paraId="25C9A46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6" w:type="dxa"/>
            <w:vAlign w:val="center"/>
          </w:tcPr>
          <w:p w14:paraId="346A5F85">
            <w:pPr>
              <w:pStyle w:val="19"/>
              <w:keepNext w:val="0"/>
              <w:keepLines w:val="0"/>
              <w:widowControl/>
              <w:suppressLineNumbers w:val="0"/>
              <w:spacing w:before="69" w:beforeAutospacing="0" w:after="0" w:afterAutospacing="0" w:line="241" w:lineRule="auto"/>
              <w:ind w:left="54" w:right="47"/>
              <w:jc w:val="both"/>
              <w:rPr>
                <w:rFonts w:hint="default"/>
                <w:color w:val="auto"/>
                <w:spacing w:val="0"/>
                <w:w w:val="100"/>
                <w:position w:val="0"/>
                <w:highlight w:val="none"/>
              </w:rPr>
            </w:pPr>
            <w:r>
              <w:rPr>
                <w:rFonts w:hint="eastAsia"/>
                <w:color w:val="auto"/>
                <w:spacing w:val="0"/>
                <w:w w:val="100"/>
                <w:position w:val="0"/>
                <w:highlight w:val="none"/>
                <w:lang w:val="en-US" w:eastAsia="zh-CN"/>
              </w:rPr>
              <w:t>招标项目勘察设计的特点、关键技术问题的认识及其对策措施</w:t>
            </w:r>
          </w:p>
        </w:tc>
        <w:tc>
          <w:tcPr>
            <w:tcW w:w="667" w:type="dxa"/>
            <w:vAlign w:val="center"/>
          </w:tcPr>
          <w:p w14:paraId="2646777C">
            <w:pPr>
              <w:pStyle w:val="19"/>
              <w:keepNext w:val="0"/>
              <w:keepLines w:val="0"/>
              <w:widowControl/>
              <w:suppressLineNumbers w:val="0"/>
              <w:spacing w:before="69" w:beforeAutospacing="0" w:after="0" w:afterAutospacing="0" w:line="235" w:lineRule="auto"/>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u w:val="single" w:color="auto"/>
              </w:rPr>
              <w:t>10</w:t>
            </w:r>
            <w:r>
              <w:rPr>
                <w:rFonts w:hint="default"/>
                <w:color w:val="auto"/>
                <w:spacing w:val="0"/>
                <w:w w:val="100"/>
                <w:position w:val="0"/>
                <w:highlight w:val="none"/>
              </w:rPr>
              <w:t>分</w:t>
            </w:r>
          </w:p>
        </w:tc>
        <w:tc>
          <w:tcPr>
            <w:tcW w:w="4014" w:type="dxa"/>
            <w:vAlign w:val="center"/>
          </w:tcPr>
          <w:p w14:paraId="09B3553A">
            <w:pPr>
              <w:pStyle w:val="19"/>
              <w:keepNext w:val="0"/>
              <w:keepLines w:val="0"/>
              <w:widowControl/>
              <w:suppressLineNumbers w:val="0"/>
              <w:spacing w:before="68" w:beforeAutospacing="0" w:after="0" w:afterAutospacing="0"/>
              <w:ind w:left="57" w:right="49" w:hanging="1"/>
              <w:jc w:val="both"/>
              <w:rPr>
                <w:rFonts w:hint="default"/>
                <w:color w:val="auto"/>
                <w:spacing w:val="0"/>
                <w:w w:val="100"/>
                <w:position w:val="0"/>
                <w:highlight w:val="none"/>
              </w:rPr>
            </w:pPr>
            <w:r>
              <w:rPr>
                <w:rFonts w:hint="eastAsia"/>
                <w:color w:val="auto"/>
                <w:spacing w:val="0"/>
                <w:w w:val="100"/>
                <w:position w:val="0"/>
                <w:highlight w:val="none"/>
              </w:rPr>
              <w:t>基本分</w:t>
            </w:r>
            <w:r>
              <w:rPr>
                <w:rFonts w:hint="eastAsia"/>
                <w:color w:val="auto"/>
                <w:spacing w:val="0"/>
                <w:w w:val="100"/>
                <w:position w:val="0"/>
                <w:highlight w:val="none"/>
                <w:lang w:val="en-US" w:eastAsia="zh-CN"/>
              </w:rPr>
              <w:t>6</w:t>
            </w:r>
            <w:r>
              <w:rPr>
                <w:rFonts w:hint="eastAsia"/>
                <w:color w:val="auto"/>
                <w:spacing w:val="0"/>
                <w:w w:val="100"/>
                <w:position w:val="0"/>
                <w:highlight w:val="none"/>
              </w:rPr>
              <w:t>分；对本招标项目设计的特点、关键技术问题的认识及其对策措施方案得当、针对性强的加0～</w:t>
            </w:r>
            <w:r>
              <w:rPr>
                <w:rFonts w:hint="eastAsia"/>
                <w:color w:val="auto"/>
                <w:spacing w:val="0"/>
                <w:w w:val="100"/>
                <w:position w:val="0"/>
                <w:highlight w:val="none"/>
                <w:lang w:val="en-US" w:eastAsia="zh-CN"/>
              </w:rPr>
              <w:t>4</w:t>
            </w:r>
            <w:r>
              <w:rPr>
                <w:rFonts w:hint="eastAsia"/>
                <w:color w:val="auto"/>
                <w:spacing w:val="0"/>
                <w:w w:val="100"/>
                <w:position w:val="0"/>
                <w:highlight w:val="none"/>
              </w:rPr>
              <w:t>分；无相关内容不得分；本项满分</w:t>
            </w:r>
            <w:r>
              <w:rPr>
                <w:rFonts w:hint="eastAsia"/>
                <w:color w:val="auto"/>
                <w:spacing w:val="0"/>
                <w:w w:val="100"/>
                <w:position w:val="0"/>
                <w:highlight w:val="none"/>
                <w:lang w:val="en-US" w:eastAsia="zh-CN"/>
              </w:rPr>
              <w:t>10</w:t>
            </w:r>
            <w:r>
              <w:rPr>
                <w:rFonts w:hint="eastAsia"/>
                <w:color w:val="auto"/>
                <w:spacing w:val="0"/>
                <w:w w:val="100"/>
                <w:position w:val="0"/>
                <w:highlight w:val="none"/>
              </w:rPr>
              <w:t>分</w:t>
            </w:r>
            <w:r>
              <w:rPr>
                <w:rFonts w:hint="default"/>
                <w:color w:val="auto"/>
                <w:spacing w:val="0"/>
                <w:w w:val="100"/>
                <w:position w:val="0"/>
                <w:highlight w:val="none"/>
              </w:rPr>
              <w:t>。</w:t>
            </w:r>
          </w:p>
        </w:tc>
      </w:tr>
      <w:tr w14:paraId="7D77A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962" w:type="dxa"/>
            <w:vMerge w:val="continue"/>
            <w:tcBorders>
              <w:top w:val="nil"/>
              <w:bottom w:val="nil"/>
            </w:tcBorders>
            <w:vAlign w:val="top"/>
          </w:tcPr>
          <w:p w14:paraId="68FF5D5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11" w:type="dxa"/>
            <w:gridSpan w:val="2"/>
            <w:vMerge w:val="continue"/>
            <w:tcBorders>
              <w:top w:val="nil"/>
              <w:bottom w:val="nil"/>
            </w:tcBorders>
            <w:vAlign w:val="top"/>
          </w:tcPr>
          <w:p w14:paraId="0BC0F85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013" w:type="dxa"/>
            <w:vMerge w:val="continue"/>
            <w:tcBorders>
              <w:top w:val="nil"/>
              <w:bottom w:val="nil"/>
            </w:tcBorders>
            <w:vAlign w:val="top"/>
          </w:tcPr>
          <w:p w14:paraId="3CB80E5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6" w:type="dxa"/>
            <w:vAlign w:val="center"/>
          </w:tcPr>
          <w:p w14:paraId="27F0B39D">
            <w:pPr>
              <w:pStyle w:val="19"/>
              <w:keepNext w:val="0"/>
              <w:keepLines w:val="0"/>
              <w:widowControl/>
              <w:suppressLineNumbers w:val="0"/>
              <w:spacing w:before="69" w:beforeAutospacing="0" w:after="0" w:afterAutospacing="0" w:line="241" w:lineRule="auto"/>
              <w:ind w:left="54" w:right="47"/>
              <w:jc w:val="both"/>
              <w:rPr>
                <w:rFonts w:hint="default"/>
                <w:color w:val="auto"/>
                <w:spacing w:val="0"/>
                <w:w w:val="100"/>
                <w:position w:val="0"/>
                <w:highlight w:val="none"/>
              </w:rPr>
            </w:pPr>
            <w:r>
              <w:rPr>
                <w:rFonts w:hint="eastAsia"/>
                <w:color w:val="auto"/>
                <w:spacing w:val="0"/>
                <w:w w:val="100"/>
                <w:position w:val="0"/>
                <w:highlight w:val="none"/>
                <w:lang w:val="en-US" w:eastAsia="zh-CN"/>
              </w:rPr>
              <w:t>勘察设计工作量及计划安排</w:t>
            </w:r>
          </w:p>
        </w:tc>
        <w:tc>
          <w:tcPr>
            <w:tcW w:w="667" w:type="dxa"/>
            <w:vAlign w:val="center"/>
          </w:tcPr>
          <w:p w14:paraId="67ADE3CA">
            <w:pPr>
              <w:pStyle w:val="19"/>
              <w:keepNext w:val="0"/>
              <w:keepLines w:val="0"/>
              <w:widowControl/>
              <w:suppressLineNumbers w:val="0"/>
              <w:spacing w:before="68" w:beforeAutospacing="0" w:after="0" w:afterAutospacing="0" w:line="235" w:lineRule="auto"/>
              <w:ind w:left="0" w:right="0"/>
              <w:jc w:val="center"/>
              <w:rPr>
                <w:rFonts w:hint="default"/>
                <w:color w:val="auto"/>
                <w:spacing w:val="0"/>
                <w:w w:val="100"/>
                <w:position w:val="0"/>
                <w:highlight w:val="none"/>
              </w:rPr>
            </w:pPr>
            <w:r>
              <w:rPr>
                <w:rFonts w:hint="eastAsia" w:ascii="Times New Roman" w:hAnsi="Times New Roman" w:cs="Times New Roman"/>
                <w:color w:val="auto"/>
                <w:spacing w:val="0"/>
                <w:w w:val="100"/>
                <w:position w:val="0"/>
                <w:highlight w:val="none"/>
                <w:u w:val="single" w:color="auto"/>
                <w:lang w:val="en-US" w:eastAsia="zh-CN"/>
              </w:rPr>
              <w:t>6</w:t>
            </w:r>
            <w:r>
              <w:rPr>
                <w:rFonts w:hint="default"/>
                <w:color w:val="auto"/>
                <w:spacing w:val="0"/>
                <w:w w:val="100"/>
                <w:position w:val="0"/>
                <w:highlight w:val="none"/>
              </w:rPr>
              <w:t>分</w:t>
            </w:r>
          </w:p>
        </w:tc>
        <w:tc>
          <w:tcPr>
            <w:tcW w:w="4014" w:type="dxa"/>
            <w:vAlign w:val="center"/>
          </w:tcPr>
          <w:p w14:paraId="51C68685">
            <w:pPr>
              <w:pStyle w:val="19"/>
              <w:keepNext w:val="0"/>
              <w:keepLines w:val="0"/>
              <w:widowControl/>
              <w:suppressLineNumbers w:val="0"/>
              <w:spacing w:before="84" w:beforeAutospacing="0" w:after="0" w:afterAutospacing="0"/>
              <w:ind w:left="58" w:right="0" w:firstLine="1"/>
              <w:jc w:val="both"/>
              <w:rPr>
                <w:rFonts w:hint="default"/>
                <w:color w:val="auto"/>
                <w:spacing w:val="0"/>
                <w:w w:val="100"/>
                <w:position w:val="0"/>
                <w:highlight w:val="none"/>
              </w:rPr>
            </w:pPr>
            <w:r>
              <w:rPr>
                <w:rFonts w:hint="eastAsia"/>
                <w:color w:val="auto"/>
                <w:spacing w:val="0"/>
                <w:w w:val="100"/>
                <w:position w:val="0"/>
                <w:highlight w:val="none"/>
              </w:rPr>
              <w:t>基本分</w:t>
            </w:r>
            <w:r>
              <w:rPr>
                <w:rFonts w:hint="eastAsia"/>
                <w:color w:val="auto"/>
                <w:spacing w:val="0"/>
                <w:w w:val="100"/>
                <w:position w:val="0"/>
                <w:highlight w:val="none"/>
                <w:lang w:val="en-US" w:eastAsia="zh-CN"/>
              </w:rPr>
              <w:t>3.6</w:t>
            </w:r>
            <w:r>
              <w:rPr>
                <w:rFonts w:hint="eastAsia"/>
                <w:color w:val="auto"/>
                <w:spacing w:val="0"/>
                <w:w w:val="100"/>
                <w:position w:val="0"/>
                <w:highlight w:val="none"/>
              </w:rPr>
              <w:t>分；计划完善、安排合理，能够较好满足本工程可行性研究和勘察设计要求的加0～</w:t>
            </w:r>
            <w:r>
              <w:rPr>
                <w:rFonts w:hint="eastAsia"/>
                <w:color w:val="auto"/>
                <w:spacing w:val="0"/>
                <w:w w:val="100"/>
                <w:position w:val="0"/>
                <w:highlight w:val="none"/>
                <w:lang w:val="en-US" w:eastAsia="zh-CN"/>
              </w:rPr>
              <w:t>2.4</w:t>
            </w:r>
            <w:r>
              <w:rPr>
                <w:rFonts w:hint="eastAsia"/>
                <w:color w:val="auto"/>
                <w:spacing w:val="0"/>
                <w:w w:val="100"/>
                <w:position w:val="0"/>
                <w:highlight w:val="none"/>
              </w:rPr>
              <w:t>分；无相关内容不得分；本项满分</w:t>
            </w:r>
            <w:r>
              <w:rPr>
                <w:rFonts w:hint="eastAsia"/>
                <w:color w:val="auto"/>
                <w:spacing w:val="0"/>
                <w:w w:val="100"/>
                <w:position w:val="0"/>
                <w:highlight w:val="none"/>
                <w:lang w:val="en-US" w:eastAsia="zh-CN"/>
              </w:rPr>
              <w:t>6</w:t>
            </w:r>
            <w:r>
              <w:rPr>
                <w:rFonts w:hint="eastAsia"/>
                <w:color w:val="auto"/>
                <w:spacing w:val="0"/>
                <w:w w:val="100"/>
                <w:position w:val="0"/>
                <w:highlight w:val="none"/>
              </w:rPr>
              <w:t>分</w:t>
            </w:r>
            <w:r>
              <w:rPr>
                <w:rFonts w:hint="default"/>
                <w:color w:val="auto"/>
                <w:spacing w:val="0"/>
                <w:w w:val="100"/>
                <w:position w:val="0"/>
                <w:highlight w:val="none"/>
              </w:rPr>
              <w:t>。</w:t>
            </w:r>
          </w:p>
        </w:tc>
      </w:tr>
      <w:tr w14:paraId="27DE3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6" w:hRule="atLeast"/>
        </w:trPr>
        <w:tc>
          <w:tcPr>
            <w:tcW w:w="962" w:type="dxa"/>
            <w:vMerge w:val="continue"/>
            <w:tcBorders>
              <w:top w:val="nil"/>
              <w:bottom w:val="nil"/>
            </w:tcBorders>
            <w:vAlign w:val="top"/>
          </w:tcPr>
          <w:p w14:paraId="0B506DD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11" w:type="dxa"/>
            <w:gridSpan w:val="2"/>
            <w:vMerge w:val="continue"/>
            <w:tcBorders>
              <w:top w:val="nil"/>
              <w:bottom w:val="nil"/>
            </w:tcBorders>
            <w:vAlign w:val="top"/>
          </w:tcPr>
          <w:p w14:paraId="079A8E4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013" w:type="dxa"/>
            <w:vMerge w:val="continue"/>
            <w:tcBorders>
              <w:top w:val="nil"/>
              <w:bottom w:val="nil"/>
            </w:tcBorders>
            <w:vAlign w:val="top"/>
          </w:tcPr>
          <w:p w14:paraId="6B63AE6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6" w:type="dxa"/>
            <w:vAlign w:val="center"/>
          </w:tcPr>
          <w:p w14:paraId="74FA1121">
            <w:pPr>
              <w:pStyle w:val="19"/>
              <w:keepNext w:val="0"/>
              <w:keepLines w:val="0"/>
              <w:widowControl/>
              <w:suppressLineNumbers w:val="0"/>
              <w:spacing w:before="69" w:beforeAutospacing="0" w:after="0" w:afterAutospacing="0" w:line="241" w:lineRule="auto"/>
              <w:ind w:left="54" w:right="47"/>
              <w:jc w:val="both"/>
              <w:rPr>
                <w:rFonts w:hint="eastAsia"/>
                <w:color w:val="auto"/>
                <w:spacing w:val="0"/>
                <w:w w:val="100"/>
                <w:position w:val="0"/>
                <w:highlight w:val="none"/>
                <w:lang w:val="en-US" w:eastAsia="zh-CN"/>
              </w:rPr>
            </w:pPr>
            <w:r>
              <w:rPr>
                <w:rFonts w:hint="eastAsia"/>
                <w:color w:val="auto"/>
                <w:spacing w:val="0"/>
                <w:w w:val="100"/>
                <w:position w:val="0"/>
                <w:highlight w:val="none"/>
                <w:lang w:val="en-US" w:eastAsia="zh-CN"/>
              </w:rPr>
              <w:t>勘察设计的质量保证措施、进度保证措施、安全保证措施</w:t>
            </w:r>
          </w:p>
        </w:tc>
        <w:tc>
          <w:tcPr>
            <w:tcW w:w="667" w:type="dxa"/>
            <w:vAlign w:val="center"/>
          </w:tcPr>
          <w:p w14:paraId="5A14BA2C">
            <w:pPr>
              <w:pStyle w:val="19"/>
              <w:keepNext w:val="0"/>
              <w:keepLines w:val="0"/>
              <w:widowControl/>
              <w:suppressLineNumbers w:val="0"/>
              <w:spacing w:before="68" w:beforeAutospacing="0" w:after="0" w:afterAutospacing="0" w:line="235" w:lineRule="auto"/>
              <w:ind w:left="0" w:right="0"/>
              <w:jc w:val="center"/>
              <w:rPr>
                <w:rFonts w:hint="default"/>
                <w:color w:val="auto"/>
                <w:spacing w:val="0"/>
                <w:w w:val="100"/>
                <w:position w:val="0"/>
                <w:highlight w:val="none"/>
              </w:rPr>
            </w:pPr>
            <w:r>
              <w:rPr>
                <w:rFonts w:hint="eastAsia" w:ascii="Times New Roman" w:hAnsi="Times New Roman" w:cs="Times New Roman"/>
                <w:color w:val="auto"/>
                <w:spacing w:val="0"/>
                <w:w w:val="100"/>
                <w:position w:val="0"/>
                <w:highlight w:val="none"/>
                <w:u w:val="single" w:color="auto"/>
                <w:lang w:val="en-US" w:eastAsia="zh-CN"/>
              </w:rPr>
              <w:t>6</w:t>
            </w:r>
            <w:r>
              <w:rPr>
                <w:rFonts w:hint="default"/>
                <w:color w:val="auto"/>
                <w:spacing w:val="0"/>
                <w:w w:val="100"/>
                <w:position w:val="0"/>
                <w:highlight w:val="none"/>
              </w:rPr>
              <w:t>分</w:t>
            </w:r>
          </w:p>
        </w:tc>
        <w:tc>
          <w:tcPr>
            <w:tcW w:w="4014" w:type="dxa"/>
            <w:vAlign w:val="center"/>
          </w:tcPr>
          <w:p w14:paraId="389F3E45">
            <w:pPr>
              <w:pStyle w:val="19"/>
              <w:keepNext w:val="0"/>
              <w:keepLines w:val="0"/>
              <w:widowControl/>
              <w:suppressLineNumbers w:val="0"/>
              <w:spacing w:before="81" w:beforeAutospacing="0" w:after="0" w:afterAutospacing="0" w:line="241" w:lineRule="auto"/>
              <w:ind w:left="57" w:right="49" w:hanging="1"/>
              <w:jc w:val="both"/>
              <w:rPr>
                <w:rFonts w:hint="default"/>
                <w:color w:val="auto"/>
                <w:spacing w:val="0"/>
                <w:w w:val="100"/>
                <w:position w:val="0"/>
                <w:highlight w:val="none"/>
              </w:rPr>
            </w:pPr>
            <w:r>
              <w:rPr>
                <w:rFonts w:hint="eastAsia"/>
                <w:color w:val="auto"/>
                <w:spacing w:val="0"/>
                <w:w w:val="100"/>
                <w:position w:val="0"/>
                <w:highlight w:val="none"/>
              </w:rPr>
              <w:t>基本分</w:t>
            </w:r>
            <w:r>
              <w:rPr>
                <w:rFonts w:hint="eastAsia"/>
                <w:color w:val="auto"/>
                <w:spacing w:val="0"/>
                <w:w w:val="100"/>
                <w:position w:val="0"/>
                <w:highlight w:val="none"/>
                <w:lang w:val="en-US" w:eastAsia="zh-CN"/>
              </w:rPr>
              <w:t>3.6</w:t>
            </w:r>
            <w:r>
              <w:rPr>
                <w:rFonts w:hint="eastAsia"/>
                <w:color w:val="auto"/>
                <w:spacing w:val="0"/>
                <w:w w:val="100"/>
                <w:position w:val="0"/>
                <w:highlight w:val="none"/>
              </w:rPr>
              <w:t>分；</w:t>
            </w:r>
            <w:r>
              <w:rPr>
                <w:rFonts w:hint="eastAsia"/>
                <w:color w:val="auto"/>
                <w:spacing w:val="0"/>
                <w:w w:val="100"/>
                <w:position w:val="0"/>
                <w:highlight w:val="none"/>
                <w:lang w:val="en-US" w:eastAsia="zh-CN"/>
              </w:rPr>
              <w:t>可行性研究及勘察设计的质量保证措施、进度保证措施完善，能够较好满足本工程可行性研究和勘察设计要求的加0</w:t>
            </w:r>
            <w:r>
              <w:rPr>
                <w:rFonts w:hint="eastAsia"/>
                <w:color w:val="auto"/>
                <w:spacing w:val="0"/>
                <w:w w:val="100"/>
                <w:position w:val="0"/>
                <w:highlight w:val="none"/>
              </w:rPr>
              <w:t>～</w:t>
            </w:r>
            <w:r>
              <w:rPr>
                <w:rFonts w:hint="eastAsia"/>
                <w:color w:val="auto"/>
                <w:spacing w:val="0"/>
                <w:w w:val="100"/>
                <w:position w:val="0"/>
                <w:highlight w:val="none"/>
                <w:lang w:val="en-US" w:eastAsia="zh-CN"/>
              </w:rPr>
              <w:t>2.4</w:t>
            </w:r>
            <w:r>
              <w:rPr>
                <w:rFonts w:hint="eastAsia"/>
                <w:color w:val="auto"/>
                <w:spacing w:val="0"/>
                <w:w w:val="100"/>
                <w:position w:val="0"/>
                <w:highlight w:val="none"/>
              </w:rPr>
              <w:t>分；无相关内容不得分；本项满分</w:t>
            </w:r>
            <w:r>
              <w:rPr>
                <w:rFonts w:hint="eastAsia"/>
                <w:color w:val="auto"/>
                <w:spacing w:val="0"/>
                <w:w w:val="100"/>
                <w:position w:val="0"/>
                <w:highlight w:val="none"/>
                <w:lang w:val="en-US" w:eastAsia="zh-CN"/>
              </w:rPr>
              <w:t>6</w:t>
            </w:r>
            <w:r>
              <w:rPr>
                <w:rFonts w:hint="eastAsia"/>
                <w:color w:val="auto"/>
                <w:spacing w:val="0"/>
                <w:w w:val="100"/>
                <w:position w:val="0"/>
                <w:highlight w:val="none"/>
              </w:rPr>
              <w:t>分</w:t>
            </w:r>
            <w:r>
              <w:rPr>
                <w:rFonts w:hint="default"/>
                <w:color w:val="auto"/>
                <w:spacing w:val="0"/>
                <w:w w:val="100"/>
                <w:position w:val="0"/>
                <w:highlight w:val="none"/>
              </w:rPr>
              <w:t>。</w:t>
            </w:r>
          </w:p>
        </w:tc>
      </w:tr>
      <w:tr w14:paraId="09BF2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962" w:type="dxa"/>
            <w:vMerge w:val="continue"/>
            <w:tcBorders>
              <w:top w:val="nil"/>
              <w:bottom w:val="single" w:color="auto" w:sz="4" w:space="0"/>
            </w:tcBorders>
            <w:vAlign w:val="top"/>
          </w:tcPr>
          <w:p w14:paraId="7EC8A66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11" w:type="dxa"/>
            <w:gridSpan w:val="2"/>
            <w:vMerge w:val="continue"/>
            <w:tcBorders>
              <w:top w:val="nil"/>
              <w:bottom w:val="single" w:color="auto" w:sz="4" w:space="0"/>
            </w:tcBorders>
            <w:vAlign w:val="top"/>
          </w:tcPr>
          <w:p w14:paraId="68C05BC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013" w:type="dxa"/>
            <w:vMerge w:val="continue"/>
            <w:tcBorders>
              <w:top w:val="nil"/>
              <w:bottom w:val="single" w:color="auto" w:sz="4" w:space="0"/>
            </w:tcBorders>
            <w:vAlign w:val="top"/>
          </w:tcPr>
          <w:p w14:paraId="7B697C9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6" w:type="dxa"/>
            <w:tcBorders>
              <w:bottom w:val="single" w:color="auto" w:sz="4" w:space="0"/>
            </w:tcBorders>
            <w:vAlign w:val="center"/>
          </w:tcPr>
          <w:p w14:paraId="30573893">
            <w:pPr>
              <w:pStyle w:val="19"/>
              <w:keepNext w:val="0"/>
              <w:keepLines w:val="0"/>
              <w:widowControl/>
              <w:suppressLineNumbers w:val="0"/>
              <w:spacing w:before="69" w:beforeAutospacing="0" w:after="0" w:afterAutospacing="0" w:line="241" w:lineRule="auto"/>
              <w:ind w:left="54" w:right="47"/>
              <w:jc w:val="both"/>
              <w:rPr>
                <w:rFonts w:hint="eastAsia"/>
                <w:color w:val="auto"/>
                <w:spacing w:val="0"/>
                <w:w w:val="100"/>
                <w:position w:val="0"/>
                <w:highlight w:val="none"/>
                <w:lang w:val="en-US" w:eastAsia="zh-CN"/>
              </w:rPr>
            </w:pPr>
            <w:r>
              <w:rPr>
                <w:rFonts w:hint="eastAsia"/>
                <w:color w:val="auto"/>
                <w:spacing w:val="0"/>
                <w:w w:val="100"/>
                <w:position w:val="0"/>
                <w:highlight w:val="none"/>
                <w:lang w:val="en-US" w:eastAsia="zh-CN"/>
              </w:rPr>
              <w:t>后续服务的安排及保证措施</w:t>
            </w:r>
          </w:p>
        </w:tc>
        <w:tc>
          <w:tcPr>
            <w:tcW w:w="667" w:type="dxa"/>
            <w:tcBorders>
              <w:bottom w:val="single" w:color="auto" w:sz="4" w:space="0"/>
            </w:tcBorders>
            <w:vAlign w:val="center"/>
          </w:tcPr>
          <w:p w14:paraId="1EFCEC32">
            <w:pPr>
              <w:pStyle w:val="19"/>
              <w:keepNext w:val="0"/>
              <w:keepLines w:val="0"/>
              <w:widowControl/>
              <w:suppressLineNumbers w:val="0"/>
              <w:spacing w:before="218" w:beforeAutospacing="0" w:after="0" w:afterAutospacing="0" w:line="235" w:lineRule="auto"/>
              <w:ind w:left="0" w:right="0"/>
              <w:jc w:val="center"/>
              <w:rPr>
                <w:rFonts w:hint="default"/>
                <w:color w:val="auto"/>
                <w:spacing w:val="0"/>
                <w:w w:val="100"/>
                <w:position w:val="0"/>
                <w:highlight w:val="none"/>
              </w:rPr>
            </w:pPr>
            <w:r>
              <w:rPr>
                <w:rFonts w:hint="eastAsia" w:ascii="Times New Roman" w:hAnsi="Times New Roman" w:cs="Times New Roman"/>
                <w:color w:val="auto"/>
                <w:spacing w:val="0"/>
                <w:w w:val="100"/>
                <w:position w:val="0"/>
                <w:highlight w:val="none"/>
                <w:u w:val="single" w:color="auto"/>
                <w:lang w:val="en-US" w:eastAsia="zh-CN"/>
              </w:rPr>
              <w:t>6</w:t>
            </w:r>
            <w:r>
              <w:rPr>
                <w:rFonts w:hint="default"/>
                <w:color w:val="auto"/>
                <w:spacing w:val="0"/>
                <w:w w:val="100"/>
                <w:position w:val="0"/>
                <w:highlight w:val="none"/>
              </w:rPr>
              <w:t>分</w:t>
            </w:r>
          </w:p>
        </w:tc>
        <w:tc>
          <w:tcPr>
            <w:tcW w:w="4014" w:type="dxa"/>
            <w:tcBorders>
              <w:bottom w:val="single" w:color="auto" w:sz="4" w:space="0"/>
            </w:tcBorders>
            <w:vAlign w:val="center"/>
          </w:tcPr>
          <w:p w14:paraId="2264C82C">
            <w:pPr>
              <w:pStyle w:val="19"/>
              <w:keepNext w:val="0"/>
              <w:keepLines w:val="0"/>
              <w:widowControl/>
              <w:suppressLineNumbers w:val="0"/>
              <w:spacing w:before="80" w:beforeAutospacing="0" w:after="0" w:afterAutospacing="0" w:line="243" w:lineRule="auto"/>
              <w:ind w:left="57" w:right="49"/>
              <w:jc w:val="both"/>
              <w:rPr>
                <w:rFonts w:hint="default"/>
                <w:color w:val="auto"/>
                <w:spacing w:val="0"/>
                <w:w w:val="100"/>
                <w:position w:val="0"/>
                <w:highlight w:val="none"/>
              </w:rPr>
            </w:pPr>
            <w:r>
              <w:rPr>
                <w:rFonts w:hint="eastAsia"/>
                <w:color w:val="auto"/>
                <w:spacing w:val="0"/>
                <w:w w:val="100"/>
                <w:position w:val="0"/>
                <w:highlight w:val="none"/>
              </w:rPr>
              <w:t>基本分</w:t>
            </w:r>
            <w:r>
              <w:rPr>
                <w:rFonts w:hint="eastAsia"/>
                <w:color w:val="auto"/>
                <w:spacing w:val="0"/>
                <w:w w:val="100"/>
                <w:position w:val="0"/>
                <w:highlight w:val="none"/>
                <w:lang w:val="en-US" w:eastAsia="zh-CN"/>
              </w:rPr>
              <w:t>3.6</w:t>
            </w:r>
            <w:r>
              <w:rPr>
                <w:rFonts w:hint="eastAsia"/>
                <w:color w:val="auto"/>
                <w:spacing w:val="0"/>
                <w:w w:val="100"/>
                <w:position w:val="0"/>
                <w:highlight w:val="none"/>
              </w:rPr>
              <w:t>分；</w:t>
            </w:r>
            <w:r>
              <w:rPr>
                <w:rFonts w:hint="eastAsia"/>
                <w:color w:val="auto"/>
                <w:spacing w:val="0"/>
                <w:w w:val="100"/>
                <w:position w:val="0"/>
                <w:highlight w:val="none"/>
                <w:lang w:val="en-US" w:eastAsia="zh-CN"/>
              </w:rPr>
              <w:t>后续服务措施完善，能够很好满足本工程可行性研究和设计要求的加</w:t>
            </w:r>
            <w:r>
              <w:rPr>
                <w:rFonts w:hint="eastAsia"/>
                <w:color w:val="auto"/>
                <w:spacing w:val="0"/>
                <w:w w:val="100"/>
                <w:position w:val="0"/>
                <w:highlight w:val="none"/>
              </w:rPr>
              <w:t>0～</w:t>
            </w:r>
            <w:r>
              <w:rPr>
                <w:rFonts w:hint="eastAsia"/>
                <w:color w:val="auto"/>
                <w:spacing w:val="0"/>
                <w:w w:val="100"/>
                <w:position w:val="0"/>
                <w:highlight w:val="none"/>
                <w:lang w:val="en-US" w:eastAsia="zh-CN"/>
              </w:rPr>
              <w:t>2.4</w:t>
            </w:r>
            <w:r>
              <w:rPr>
                <w:rFonts w:hint="eastAsia"/>
                <w:color w:val="auto"/>
                <w:spacing w:val="0"/>
                <w:w w:val="100"/>
                <w:position w:val="0"/>
                <w:highlight w:val="none"/>
              </w:rPr>
              <w:t>分；无相关内容不得分；本项满分</w:t>
            </w:r>
            <w:r>
              <w:rPr>
                <w:rFonts w:hint="eastAsia"/>
                <w:color w:val="auto"/>
                <w:spacing w:val="0"/>
                <w:w w:val="100"/>
                <w:position w:val="0"/>
                <w:highlight w:val="none"/>
                <w:lang w:val="en-US" w:eastAsia="zh-CN"/>
              </w:rPr>
              <w:t>6</w:t>
            </w:r>
            <w:r>
              <w:rPr>
                <w:rFonts w:hint="eastAsia"/>
                <w:color w:val="auto"/>
                <w:spacing w:val="0"/>
                <w:w w:val="100"/>
                <w:position w:val="0"/>
                <w:highlight w:val="none"/>
              </w:rPr>
              <w:t>分</w:t>
            </w:r>
            <w:r>
              <w:rPr>
                <w:rFonts w:hint="default"/>
                <w:color w:val="auto"/>
                <w:spacing w:val="0"/>
                <w:w w:val="100"/>
                <w:position w:val="0"/>
                <w:highlight w:val="none"/>
              </w:rPr>
              <w:t>。</w:t>
            </w:r>
          </w:p>
        </w:tc>
      </w:tr>
      <w:tr w14:paraId="6D8656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62" w:type="dxa"/>
            <w:vMerge w:val="restart"/>
            <w:tcBorders>
              <w:top w:val="single" w:color="auto" w:sz="4" w:space="0"/>
              <w:left w:val="single" w:color="auto" w:sz="4" w:space="0"/>
              <w:bottom w:val="single" w:color="auto" w:sz="4" w:space="0"/>
              <w:right w:val="single" w:color="auto" w:sz="4" w:space="0"/>
            </w:tcBorders>
            <w:vAlign w:val="center"/>
          </w:tcPr>
          <w:p w14:paraId="169F8835">
            <w:pPr>
              <w:pStyle w:val="19"/>
              <w:keepNext w:val="0"/>
              <w:keepLines w:val="0"/>
              <w:widowControl/>
              <w:suppressLineNumbers w:val="0"/>
              <w:spacing w:before="68" w:beforeAutospacing="0" w:after="0" w:afterAutospacing="0" w:line="281" w:lineRule="exact"/>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rPr>
              <w:t>2.2.4</w:t>
            </w:r>
            <w:r>
              <w:rPr>
                <w:rFonts w:hint="default"/>
                <w:color w:val="auto"/>
                <w:spacing w:val="0"/>
                <w:w w:val="100"/>
                <w:position w:val="0"/>
                <w:highlight w:val="none"/>
              </w:rPr>
              <w:t>（</w:t>
            </w:r>
            <w:r>
              <w:rPr>
                <w:rFonts w:hint="default" w:ascii="Times New Roman" w:hAnsi="Times New Roman" w:eastAsia="Times New Roman" w:cs="Times New Roman"/>
                <w:color w:val="auto"/>
                <w:spacing w:val="0"/>
                <w:w w:val="100"/>
                <w:position w:val="0"/>
                <w:highlight w:val="none"/>
              </w:rPr>
              <w:t>2</w:t>
            </w:r>
            <w:r>
              <w:rPr>
                <w:rFonts w:hint="default"/>
                <w:color w:val="auto"/>
                <w:spacing w:val="0"/>
                <w:w w:val="100"/>
                <w:position w:val="0"/>
                <w:highlight w:val="none"/>
              </w:rPr>
              <w:t>）</w:t>
            </w:r>
          </w:p>
        </w:tc>
        <w:tc>
          <w:tcPr>
            <w:tcW w:w="1111" w:type="dxa"/>
            <w:gridSpan w:val="2"/>
            <w:vMerge w:val="restart"/>
            <w:tcBorders>
              <w:top w:val="single" w:color="auto" w:sz="4" w:space="0"/>
              <w:left w:val="single" w:color="auto" w:sz="4" w:space="0"/>
              <w:bottom w:val="single" w:color="auto" w:sz="4" w:space="0"/>
              <w:right w:val="single" w:color="auto" w:sz="4" w:space="0"/>
            </w:tcBorders>
            <w:vAlign w:val="center"/>
          </w:tcPr>
          <w:p w14:paraId="77DB1321">
            <w:pPr>
              <w:pStyle w:val="19"/>
              <w:keepNext w:val="0"/>
              <w:keepLines w:val="0"/>
              <w:widowControl/>
              <w:suppressLineNumbers w:val="0"/>
              <w:spacing w:before="68" w:beforeAutospacing="0" w:after="0" w:afterAutospacing="0" w:line="222" w:lineRule="auto"/>
              <w:ind w:left="0" w:right="0"/>
              <w:jc w:val="center"/>
              <w:rPr>
                <w:rFonts w:hint="default"/>
                <w:color w:val="auto"/>
                <w:spacing w:val="0"/>
                <w:w w:val="100"/>
                <w:position w:val="0"/>
                <w:highlight w:val="none"/>
              </w:rPr>
            </w:pPr>
            <w:r>
              <w:rPr>
                <w:rFonts w:hint="default"/>
                <w:color w:val="auto"/>
                <w:spacing w:val="0"/>
                <w:w w:val="100"/>
                <w:position w:val="0"/>
                <w:highlight w:val="none"/>
              </w:rPr>
              <w:t>主要人员</w:t>
            </w:r>
          </w:p>
        </w:tc>
        <w:tc>
          <w:tcPr>
            <w:tcW w:w="1013" w:type="dxa"/>
            <w:vMerge w:val="restart"/>
            <w:tcBorders>
              <w:top w:val="single" w:color="auto" w:sz="4" w:space="0"/>
              <w:left w:val="single" w:color="auto" w:sz="4" w:space="0"/>
              <w:bottom w:val="single" w:color="auto" w:sz="4" w:space="0"/>
              <w:right w:val="single" w:color="auto" w:sz="4" w:space="0"/>
            </w:tcBorders>
            <w:vAlign w:val="center"/>
          </w:tcPr>
          <w:p w14:paraId="2B41C208">
            <w:pPr>
              <w:pStyle w:val="19"/>
              <w:keepNext w:val="0"/>
              <w:keepLines w:val="0"/>
              <w:widowControl/>
              <w:suppressLineNumbers w:val="0"/>
              <w:spacing w:before="69" w:beforeAutospacing="0" w:after="0" w:afterAutospacing="0" w:line="235" w:lineRule="auto"/>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u w:val="single" w:color="auto"/>
              </w:rPr>
              <w:t>20</w:t>
            </w:r>
            <w:r>
              <w:rPr>
                <w:rFonts w:hint="default"/>
                <w:color w:val="auto"/>
                <w:spacing w:val="0"/>
                <w:w w:val="100"/>
                <w:position w:val="0"/>
                <w:highlight w:val="none"/>
              </w:rPr>
              <w:t>分</w:t>
            </w:r>
          </w:p>
        </w:tc>
        <w:tc>
          <w:tcPr>
            <w:tcW w:w="1556" w:type="dxa"/>
            <w:tcBorders>
              <w:top w:val="single" w:color="auto" w:sz="4" w:space="0"/>
              <w:left w:val="single" w:color="auto" w:sz="4" w:space="0"/>
              <w:bottom w:val="single" w:color="auto" w:sz="4" w:space="0"/>
              <w:right w:val="single" w:color="auto" w:sz="4" w:space="0"/>
            </w:tcBorders>
            <w:vAlign w:val="center"/>
          </w:tcPr>
          <w:p w14:paraId="00BD5357">
            <w:pPr>
              <w:pStyle w:val="19"/>
              <w:keepNext w:val="0"/>
              <w:keepLines w:val="0"/>
              <w:widowControl/>
              <w:suppressLineNumbers w:val="0"/>
              <w:spacing w:before="69" w:beforeAutospacing="0" w:after="0" w:afterAutospacing="0" w:line="337" w:lineRule="auto"/>
              <w:ind w:left="0" w:right="175"/>
              <w:jc w:val="center"/>
              <w:rPr>
                <w:rFonts w:hint="default"/>
                <w:color w:val="auto"/>
                <w:spacing w:val="0"/>
                <w:w w:val="100"/>
                <w:position w:val="0"/>
                <w:highlight w:val="none"/>
              </w:rPr>
            </w:pPr>
            <w:r>
              <w:rPr>
                <w:rFonts w:hint="default"/>
                <w:color w:val="auto"/>
                <w:spacing w:val="0"/>
                <w:w w:val="100"/>
                <w:position w:val="0"/>
                <w:highlight w:val="none"/>
              </w:rPr>
              <w:t>项目负责人任职资格与业绩</w:t>
            </w:r>
          </w:p>
        </w:tc>
        <w:tc>
          <w:tcPr>
            <w:tcW w:w="667" w:type="dxa"/>
            <w:tcBorders>
              <w:top w:val="single" w:color="auto" w:sz="4" w:space="0"/>
              <w:left w:val="single" w:color="auto" w:sz="4" w:space="0"/>
              <w:bottom w:val="single" w:color="auto" w:sz="4" w:space="0"/>
              <w:right w:val="single" w:color="auto" w:sz="4" w:space="0"/>
            </w:tcBorders>
            <w:vAlign w:val="center"/>
          </w:tcPr>
          <w:p w14:paraId="4AE40BA3">
            <w:pPr>
              <w:pStyle w:val="19"/>
              <w:keepNext w:val="0"/>
              <w:keepLines w:val="0"/>
              <w:widowControl/>
              <w:suppressLineNumbers w:val="0"/>
              <w:spacing w:before="69" w:beforeAutospacing="0" w:after="0" w:afterAutospacing="0" w:line="235" w:lineRule="auto"/>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u w:val="single" w:color="auto"/>
              </w:rPr>
              <w:t>1</w:t>
            </w:r>
            <w:r>
              <w:rPr>
                <w:rFonts w:hint="eastAsia" w:ascii="Times New Roman" w:hAnsi="Times New Roman" w:cs="Times New Roman"/>
                <w:color w:val="auto"/>
                <w:spacing w:val="0"/>
                <w:w w:val="100"/>
                <w:position w:val="0"/>
                <w:highlight w:val="none"/>
                <w:u w:val="single" w:color="auto"/>
                <w:lang w:val="en-US" w:eastAsia="zh-CN"/>
              </w:rPr>
              <w:t>5</w:t>
            </w:r>
            <w:r>
              <w:rPr>
                <w:rFonts w:hint="default"/>
                <w:color w:val="auto"/>
                <w:spacing w:val="0"/>
                <w:w w:val="100"/>
                <w:position w:val="0"/>
                <w:highlight w:val="none"/>
              </w:rPr>
              <w:t>分</w:t>
            </w:r>
          </w:p>
        </w:tc>
        <w:tc>
          <w:tcPr>
            <w:tcW w:w="4014" w:type="dxa"/>
            <w:tcBorders>
              <w:top w:val="single" w:color="auto" w:sz="4" w:space="0"/>
              <w:left w:val="single" w:color="auto" w:sz="4" w:space="0"/>
              <w:bottom w:val="single" w:color="auto" w:sz="4" w:space="0"/>
              <w:right w:val="single" w:color="auto" w:sz="4" w:space="0"/>
            </w:tcBorders>
            <w:vAlign w:val="center"/>
          </w:tcPr>
          <w:p w14:paraId="042A67B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①满足资格审查要求的得基本分</w:t>
            </w:r>
            <w:r>
              <w:rPr>
                <w:rFonts w:hint="eastAsia"/>
                <w:color w:val="auto"/>
                <w:spacing w:val="0"/>
                <w:w w:val="100"/>
                <w:position w:val="0"/>
                <w:highlight w:val="none"/>
                <w:lang w:val="en-US" w:eastAsia="zh-CN"/>
              </w:rPr>
              <w:t>9</w:t>
            </w:r>
            <w:r>
              <w:rPr>
                <w:rFonts w:hint="default"/>
                <w:color w:val="auto"/>
                <w:spacing w:val="0"/>
                <w:w w:val="100"/>
                <w:position w:val="0"/>
                <w:highlight w:val="none"/>
              </w:rPr>
              <w:t>分；</w:t>
            </w:r>
          </w:p>
          <w:p w14:paraId="6C90EC1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②</w:t>
            </w:r>
            <w:r>
              <w:rPr>
                <w:rFonts w:hint="default"/>
                <w:color w:val="auto"/>
                <w:spacing w:val="0"/>
                <w:w w:val="100"/>
                <w:position w:val="0"/>
                <w:highlight w:val="none"/>
                <w:lang w:val="en-US" w:eastAsia="zh-CN"/>
              </w:rPr>
              <w:t>具有正高级及以上工程师职称加</w:t>
            </w:r>
            <w:r>
              <w:rPr>
                <w:rFonts w:hint="eastAsia"/>
                <w:color w:val="auto"/>
                <w:spacing w:val="0"/>
                <w:w w:val="100"/>
                <w:position w:val="0"/>
                <w:highlight w:val="none"/>
                <w:lang w:val="en-US" w:eastAsia="zh-CN"/>
              </w:rPr>
              <w:t>2</w:t>
            </w:r>
            <w:r>
              <w:rPr>
                <w:rFonts w:hint="default"/>
                <w:color w:val="auto"/>
                <w:spacing w:val="0"/>
                <w:w w:val="100"/>
                <w:position w:val="0"/>
                <w:highlight w:val="none"/>
                <w:lang w:val="en-US" w:eastAsia="zh-CN"/>
              </w:rPr>
              <w:t>分</w:t>
            </w:r>
            <w:r>
              <w:rPr>
                <w:rFonts w:hint="default"/>
                <w:color w:val="auto"/>
                <w:spacing w:val="0"/>
                <w:w w:val="100"/>
                <w:position w:val="0"/>
                <w:highlight w:val="none"/>
              </w:rPr>
              <w:t>；</w:t>
            </w:r>
          </w:p>
          <w:p w14:paraId="2C945C6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③在满足资格审查要求的基础上，自</w:t>
            </w:r>
            <w:r>
              <w:rPr>
                <w:rFonts w:hint="eastAsia"/>
                <w:color w:val="auto"/>
                <w:spacing w:val="0"/>
                <w:w w:val="100"/>
                <w:position w:val="0"/>
                <w:highlight w:val="none"/>
                <w:lang w:val="en-US" w:eastAsia="zh-CN"/>
              </w:rPr>
              <w:t>2021年1月1日</w:t>
            </w:r>
            <w:r>
              <w:rPr>
                <w:rFonts w:hint="default"/>
                <w:color w:val="auto"/>
                <w:spacing w:val="0"/>
                <w:w w:val="100"/>
                <w:position w:val="0"/>
                <w:highlight w:val="none"/>
                <w:lang w:val="en-US" w:eastAsia="zh-CN"/>
              </w:rPr>
              <w:t>至投标截止时间</w:t>
            </w:r>
            <w:r>
              <w:rPr>
                <w:rFonts w:hint="default"/>
                <w:color w:val="auto"/>
                <w:spacing w:val="0"/>
                <w:w w:val="100"/>
                <w:position w:val="0"/>
                <w:highlight w:val="none"/>
              </w:rPr>
              <w:t>以来</w:t>
            </w:r>
            <w:r>
              <w:rPr>
                <w:rFonts w:hint="eastAsia"/>
                <w:color w:val="auto"/>
                <w:spacing w:val="0"/>
                <w:w w:val="100"/>
                <w:position w:val="0"/>
                <w:highlight w:val="none"/>
              </w:rPr>
              <w:t>每增加1个</w:t>
            </w:r>
            <w:r>
              <w:rPr>
                <w:rFonts w:hint="eastAsia"/>
                <w:color w:val="auto"/>
                <w:spacing w:val="0"/>
                <w:w w:val="100"/>
                <w:position w:val="0"/>
                <w:highlight w:val="none"/>
                <w:lang w:eastAsia="zh-CN"/>
              </w:rPr>
              <w:t>“</w:t>
            </w:r>
            <w:r>
              <w:rPr>
                <w:rFonts w:hint="eastAsia"/>
                <w:color w:val="auto"/>
                <w:spacing w:val="0"/>
                <w:w w:val="100"/>
                <w:position w:val="0"/>
                <w:highlight w:val="none"/>
                <w:lang w:val="en-US" w:eastAsia="zh-CN"/>
              </w:rPr>
              <w:t>类似项目</w:t>
            </w:r>
            <w:r>
              <w:rPr>
                <w:rFonts w:hint="eastAsia"/>
                <w:color w:val="auto"/>
                <w:spacing w:val="0"/>
                <w:w w:val="100"/>
                <w:position w:val="0"/>
                <w:highlight w:val="none"/>
                <w:lang w:eastAsia="zh-CN"/>
              </w:rPr>
              <w:t>”</w:t>
            </w:r>
            <w:r>
              <w:rPr>
                <w:rFonts w:hint="eastAsia"/>
                <w:color w:val="auto"/>
                <w:spacing w:val="0"/>
                <w:w w:val="100"/>
                <w:position w:val="0"/>
                <w:highlight w:val="none"/>
              </w:rPr>
              <w:t>业绩加</w:t>
            </w:r>
            <w:r>
              <w:rPr>
                <w:rFonts w:hint="eastAsia"/>
                <w:color w:val="auto"/>
                <w:spacing w:val="0"/>
                <w:w w:val="100"/>
                <w:position w:val="0"/>
                <w:highlight w:val="none"/>
                <w:lang w:val="en-US" w:eastAsia="zh-CN"/>
              </w:rPr>
              <w:t>2</w:t>
            </w:r>
            <w:r>
              <w:rPr>
                <w:rFonts w:hint="eastAsia"/>
                <w:color w:val="auto"/>
                <w:spacing w:val="0"/>
                <w:w w:val="100"/>
                <w:position w:val="0"/>
                <w:highlight w:val="none"/>
              </w:rPr>
              <w:t>分，最多加</w:t>
            </w:r>
            <w:r>
              <w:rPr>
                <w:rFonts w:hint="eastAsia"/>
                <w:color w:val="auto"/>
                <w:spacing w:val="0"/>
                <w:w w:val="100"/>
                <w:position w:val="0"/>
                <w:highlight w:val="none"/>
                <w:lang w:val="en-US" w:eastAsia="zh-CN"/>
              </w:rPr>
              <w:t>4</w:t>
            </w:r>
            <w:r>
              <w:rPr>
                <w:rFonts w:hint="eastAsia"/>
                <w:color w:val="auto"/>
                <w:spacing w:val="0"/>
                <w:w w:val="100"/>
                <w:position w:val="0"/>
                <w:highlight w:val="none"/>
              </w:rPr>
              <w:t>分</w:t>
            </w:r>
            <w:r>
              <w:rPr>
                <w:rFonts w:hint="default"/>
                <w:color w:val="auto"/>
                <w:spacing w:val="0"/>
                <w:w w:val="100"/>
                <w:position w:val="0"/>
                <w:highlight w:val="none"/>
              </w:rPr>
              <w:t>。</w:t>
            </w:r>
          </w:p>
          <w:p w14:paraId="7132E3E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b/>
                <w:bCs/>
                <w:color w:val="auto"/>
                <w:spacing w:val="0"/>
                <w:w w:val="100"/>
                <w:position w:val="0"/>
                <w:highlight w:val="none"/>
                <w:lang w:val="en-US" w:eastAsia="zh-CN"/>
              </w:rPr>
            </w:pPr>
            <w:r>
              <w:rPr>
                <w:rFonts w:hint="eastAsia"/>
                <w:b/>
                <w:bCs/>
                <w:color w:val="auto"/>
                <w:spacing w:val="0"/>
                <w:w w:val="100"/>
                <w:position w:val="0"/>
                <w:highlight w:val="none"/>
                <w:lang w:val="en-US" w:eastAsia="zh-CN"/>
              </w:rPr>
              <w:t>如为联合体投标，需联合体牵头人提供。</w:t>
            </w:r>
          </w:p>
        </w:tc>
      </w:tr>
      <w:tr w14:paraId="5D67FA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62" w:type="dxa"/>
            <w:vMerge w:val="continue"/>
            <w:tcBorders>
              <w:top w:val="single" w:color="auto" w:sz="4" w:space="0"/>
              <w:left w:val="single" w:color="auto" w:sz="4" w:space="0"/>
              <w:bottom w:val="single" w:color="auto" w:sz="4" w:space="0"/>
              <w:right w:val="single" w:color="auto" w:sz="4" w:space="0"/>
            </w:tcBorders>
            <w:vAlign w:val="top"/>
          </w:tcPr>
          <w:p w14:paraId="084AF88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11" w:type="dxa"/>
            <w:gridSpan w:val="2"/>
            <w:vMerge w:val="continue"/>
            <w:tcBorders>
              <w:top w:val="single" w:color="auto" w:sz="4" w:space="0"/>
              <w:left w:val="single" w:color="auto" w:sz="4" w:space="0"/>
              <w:bottom w:val="single" w:color="auto" w:sz="4" w:space="0"/>
              <w:right w:val="single" w:color="auto" w:sz="4" w:space="0"/>
            </w:tcBorders>
            <w:vAlign w:val="top"/>
          </w:tcPr>
          <w:p w14:paraId="362485B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013" w:type="dxa"/>
            <w:vMerge w:val="continue"/>
            <w:tcBorders>
              <w:top w:val="single" w:color="auto" w:sz="4" w:space="0"/>
              <w:left w:val="single" w:color="auto" w:sz="4" w:space="0"/>
              <w:bottom w:val="single" w:color="auto" w:sz="4" w:space="0"/>
              <w:right w:val="single" w:color="auto" w:sz="4" w:space="0"/>
            </w:tcBorders>
            <w:vAlign w:val="top"/>
          </w:tcPr>
          <w:p w14:paraId="297F39B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6" w:type="dxa"/>
            <w:tcBorders>
              <w:top w:val="single" w:color="auto" w:sz="4" w:space="0"/>
              <w:left w:val="single" w:color="auto" w:sz="4" w:space="0"/>
              <w:bottom w:val="single" w:color="auto" w:sz="4" w:space="0"/>
              <w:right w:val="single" w:color="auto" w:sz="4" w:space="0"/>
            </w:tcBorders>
            <w:vAlign w:val="center"/>
          </w:tcPr>
          <w:p w14:paraId="041B3442">
            <w:pPr>
              <w:pStyle w:val="19"/>
              <w:keepNext w:val="0"/>
              <w:keepLines w:val="0"/>
              <w:widowControl/>
              <w:suppressLineNumbers w:val="0"/>
              <w:spacing w:before="68" w:beforeAutospacing="0" w:after="0" w:afterAutospacing="0" w:line="335" w:lineRule="auto"/>
              <w:ind w:left="0" w:right="175"/>
              <w:jc w:val="both"/>
              <w:rPr>
                <w:rFonts w:hint="default"/>
                <w:color w:val="auto"/>
                <w:spacing w:val="0"/>
                <w:w w:val="100"/>
                <w:position w:val="0"/>
                <w:highlight w:val="none"/>
              </w:rPr>
            </w:pPr>
            <w:r>
              <w:rPr>
                <w:rFonts w:hint="default"/>
                <w:color w:val="auto"/>
                <w:spacing w:val="0"/>
                <w:w w:val="100"/>
                <w:position w:val="0"/>
                <w:highlight w:val="none"/>
              </w:rPr>
              <w:t>技术负责人任职资格与业绩</w:t>
            </w:r>
          </w:p>
        </w:tc>
        <w:tc>
          <w:tcPr>
            <w:tcW w:w="667" w:type="dxa"/>
            <w:tcBorders>
              <w:top w:val="single" w:color="auto" w:sz="4" w:space="0"/>
              <w:left w:val="single" w:color="auto" w:sz="4" w:space="0"/>
              <w:bottom w:val="single" w:color="auto" w:sz="4" w:space="0"/>
              <w:right w:val="single" w:color="auto" w:sz="4" w:space="0"/>
            </w:tcBorders>
            <w:vAlign w:val="center"/>
          </w:tcPr>
          <w:p w14:paraId="708C6763">
            <w:pPr>
              <w:pStyle w:val="19"/>
              <w:keepNext w:val="0"/>
              <w:keepLines w:val="0"/>
              <w:widowControl/>
              <w:suppressLineNumbers w:val="0"/>
              <w:spacing w:before="68" w:beforeAutospacing="0" w:after="0" w:afterAutospacing="0" w:line="235" w:lineRule="auto"/>
              <w:ind w:left="0" w:right="0"/>
              <w:jc w:val="center"/>
              <w:rPr>
                <w:rFonts w:hint="default"/>
                <w:color w:val="auto"/>
                <w:spacing w:val="0"/>
                <w:w w:val="100"/>
                <w:position w:val="0"/>
                <w:sz w:val="21"/>
                <w:szCs w:val="21"/>
                <w:highlight w:val="none"/>
              </w:rPr>
            </w:pPr>
            <w:r>
              <w:rPr>
                <w:rFonts w:hint="eastAsia" w:ascii="Times New Roman" w:hAnsi="Times New Roman" w:cs="Times New Roman"/>
                <w:color w:val="auto"/>
                <w:spacing w:val="0"/>
                <w:w w:val="100"/>
                <w:position w:val="0"/>
                <w:sz w:val="21"/>
                <w:szCs w:val="21"/>
                <w:highlight w:val="none"/>
                <w:u w:val="single" w:color="auto"/>
                <w:lang w:val="en-US" w:eastAsia="zh-CN"/>
              </w:rPr>
              <w:t>5</w:t>
            </w:r>
            <w:r>
              <w:rPr>
                <w:rFonts w:hint="default"/>
                <w:color w:val="auto"/>
                <w:spacing w:val="0"/>
                <w:w w:val="100"/>
                <w:position w:val="0"/>
                <w:sz w:val="21"/>
                <w:szCs w:val="21"/>
                <w:highlight w:val="none"/>
              </w:rPr>
              <w:t>分</w:t>
            </w:r>
          </w:p>
        </w:tc>
        <w:tc>
          <w:tcPr>
            <w:tcW w:w="4014" w:type="dxa"/>
            <w:tcBorders>
              <w:top w:val="single" w:color="auto" w:sz="4" w:space="0"/>
              <w:left w:val="single" w:color="auto" w:sz="4" w:space="0"/>
              <w:bottom w:val="single" w:color="auto" w:sz="4" w:space="0"/>
              <w:right w:val="single" w:color="auto" w:sz="4" w:space="0"/>
            </w:tcBorders>
            <w:vAlign w:val="center"/>
          </w:tcPr>
          <w:p w14:paraId="4C506CF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sz w:val="21"/>
                <w:szCs w:val="21"/>
                <w:highlight w:val="none"/>
              </w:rPr>
            </w:pPr>
            <w:r>
              <w:rPr>
                <w:rFonts w:hint="default"/>
                <w:color w:val="auto"/>
                <w:spacing w:val="0"/>
                <w:w w:val="100"/>
                <w:position w:val="0"/>
                <w:sz w:val="21"/>
                <w:szCs w:val="21"/>
                <w:highlight w:val="none"/>
              </w:rPr>
              <w:t>①满足资格审查要求的得基本分</w:t>
            </w:r>
            <w:r>
              <w:rPr>
                <w:rFonts w:hint="eastAsia"/>
                <w:color w:val="auto"/>
                <w:spacing w:val="0"/>
                <w:w w:val="100"/>
                <w:position w:val="0"/>
                <w:sz w:val="21"/>
                <w:szCs w:val="21"/>
                <w:highlight w:val="none"/>
                <w:lang w:val="en-US" w:eastAsia="zh-CN"/>
              </w:rPr>
              <w:t>3</w:t>
            </w:r>
            <w:r>
              <w:rPr>
                <w:rFonts w:hint="default"/>
                <w:color w:val="auto"/>
                <w:spacing w:val="0"/>
                <w:w w:val="100"/>
                <w:position w:val="0"/>
                <w:sz w:val="21"/>
                <w:szCs w:val="21"/>
                <w:highlight w:val="none"/>
              </w:rPr>
              <w:t>分；</w:t>
            </w:r>
          </w:p>
          <w:p w14:paraId="01786DE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sz w:val="21"/>
                <w:szCs w:val="21"/>
                <w:highlight w:val="none"/>
              </w:rPr>
            </w:pPr>
            <w:r>
              <w:rPr>
                <w:rFonts w:hint="default"/>
                <w:color w:val="auto"/>
                <w:spacing w:val="0"/>
                <w:w w:val="100"/>
                <w:position w:val="0"/>
                <w:sz w:val="21"/>
                <w:szCs w:val="21"/>
                <w:highlight w:val="none"/>
              </w:rPr>
              <w:t>②自</w:t>
            </w:r>
            <w:r>
              <w:rPr>
                <w:rFonts w:hint="eastAsia"/>
                <w:color w:val="auto"/>
                <w:spacing w:val="0"/>
                <w:w w:val="100"/>
                <w:position w:val="0"/>
                <w:highlight w:val="none"/>
                <w:lang w:val="en-US" w:eastAsia="zh-CN"/>
              </w:rPr>
              <w:t>2021年1月1日</w:t>
            </w:r>
            <w:r>
              <w:rPr>
                <w:rFonts w:hint="default"/>
                <w:color w:val="auto"/>
                <w:spacing w:val="0"/>
                <w:w w:val="100"/>
                <w:position w:val="0"/>
                <w:sz w:val="21"/>
                <w:szCs w:val="21"/>
                <w:highlight w:val="none"/>
                <w:lang w:val="en-US" w:eastAsia="zh-CN"/>
              </w:rPr>
              <w:t>至投标截止时间</w:t>
            </w:r>
            <w:r>
              <w:rPr>
                <w:rFonts w:hint="eastAsia"/>
                <w:color w:val="auto"/>
                <w:spacing w:val="0"/>
                <w:w w:val="100"/>
                <w:position w:val="0"/>
                <w:sz w:val="21"/>
                <w:szCs w:val="21"/>
                <w:highlight w:val="none"/>
              </w:rPr>
              <w:t>每增加1个</w:t>
            </w:r>
            <w:r>
              <w:rPr>
                <w:rFonts w:hint="eastAsia"/>
                <w:color w:val="auto"/>
                <w:spacing w:val="0"/>
                <w:w w:val="100"/>
                <w:position w:val="0"/>
                <w:highlight w:val="none"/>
                <w:lang w:eastAsia="zh-CN"/>
              </w:rPr>
              <w:t>“</w:t>
            </w:r>
            <w:r>
              <w:rPr>
                <w:rFonts w:hint="eastAsia"/>
                <w:color w:val="auto"/>
                <w:spacing w:val="0"/>
                <w:w w:val="100"/>
                <w:position w:val="0"/>
                <w:highlight w:val="none"/>
                <w:lang w:val="en-US" w:eastAsia="zh-CN"/>
              </w:rPr>
              <w:t>类似项目</w:t>
            </w:r>
            <w:r>
              <w:rPr>
                <w:rFonts w:hint="eastAsia"/>
                <w:color w:val="auto"/>
                <w:spacing w:val="0"/>
                <w:w w:val="100"/>
                <w:position w:val="0"/>
                <w:highlight w:val="none"/>
                <w:lang w:eastAsia="zh-CN"/>
              </w:rPr>
              <w:t>”</w:t>
            </w:r>
            <w:r>
              <w:rPr>
                <w:rFonts w:hint="eastAsia"/>
                <w:color w:val="auto"/>
                <w:spacing w:val="0"/>
                <w:w w:val="100"/>
                <w:position w:val="0"/>
                <w:sz w:val="21"/>
                <w:szCs w:val="21"/>
                <w:highlight w:val="none"/>
              </w:rPr>
              <w:t>业绩加</w:t>
            </w:r>
            <w:r>
              <w:rPr>
                <w:rFonts w:hint="eastAsia"/>
                <w:color w:val="auto"/>
                <w:spacing w:val="0"/>
                <w:w w:val="100"/>
                <w:position w:val="0"/>
                <w:sz w:val="21"/>
                <w:szCs w:val="21"/>
                <w:highlight w:val="none"/>
                <w:lang w:val="en-US" w:eastAsia="zh-CN"/>
              </w:rPr>
              <w:t>1</w:t>
            </w:r>
            <w:r>
              <w:rPr>
                <w:rFonts w:hint="eastAsia"/>
                <w:color w:val="auto"/>
                <w:spacing w:val="0"/>
                <w:w w:val="100"/>
                <w:position w:val="0"/>
                <w:sz w:val="21"/>
                <w:szCs w:val="21"/>
                <w:highlight w:val="none"/>
              </w:rPr>
              <w:t>分，最多加2分</w:t>
            </w:r>
            <w:r>
              <w:rPr>
                <w:rFonts w:hint="default"/>
                <w:color w:val="auto"/>
                <w:spacing w:val="0"/>
                <w:w w:val="100"/>
                <w:position w:val="0"/>
                <w:sz w:val="21"/>
                <w:szCs w:val="21"/>
                <w:highlight w:val="none"/>
              </w:rPr>
              <w:t>。</w:t>
            </w:r>
          </w:p>
          <w:p w14:paraId="701F8B8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sz w:val="21"/>
                <w:szCs w:val="21"/>
                <w:highlight w:val="none"/>
              </w:rPr>
            </w:pPr>
            <w:r>
              <w:rPr>
                <w:rFonts w:hint="eastAsia"/>
                <w:b/>
                <w:bCs/>
                <w:color w:val="auto"/>
                <w:spacing w:val="0"/>
                <w:w w:val="100"/>
                <w:position w:val="0"/>
                <w:highlight w:val="none"/>
                <w:lang w:val="en-US" w:eastAsia="zh-CN"/>
              </w:rPr>
              <w:t>如为联合体投标，需联合体牵头人提供。</w:t>
            </w:r>
          </w:p>
        </w:tc>
      </w:tr>
      <w:tr w14:paraId="10C14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8" w:hRule="atLeast"/>
        </w:trPr>
        <w:tc>
          <w:tcPr>
            <w:tcW w:w="962" w:type="dxa"/>
            <w:tcBorders>
              <w:top w:val="single" w:color="auto" w:sz="4" w:space="0"/>
            </w:tcBorders>
            <w:vAlign w:val="top"/>
          </w:tcPr>
          <w:p w14:paraId="6AA26035">
            <w:pPr>
              <w:keepNext w:val="0"/>
              <w:keepLines w:val="0"/>
              <w:widowControl/>
              <w:suppressLineNumbers w:val="0"/>
              <w:spacing w:before="0" w:beforeAutospacing="0" w:after="0" w:afterAutospacing="0" w:line="274" w:lineRule="auto"/>
              <w:ind w:left="0" w:right="0"/>
              <w:rPr>
                <w:rFonts w:hint="default" w:ascii="Arial"/>
                <w:color w:val="auto"/>
                <w:spacing w:val="0"/>
                <w:w w:val="100"/>
                <w:position w:val="0"/>
                <w:sz w:val="21"/>
                <w:highlight w:val="none"/>
              </w:rPr>
            </w:pPr>
          </w:p>
          <w:p w14:paraId="098225CA">
            <w:pPr>
              <w:keepNext w:val="0"/>
              <w:keepLines w:val="0"/>
              <w:widowControl/>
              <w:suppressLineNumbers w:val="0"/>
              <w:spacing w:before="0" w:beforeAutospacing="0" w:after="0" w:afterAutospacing="0" w:line="274" w:lineRule="auto"/>
              <w:ind w:left="0" w:right="0"/>
              <w:rPr>
                <w:rFonts w:hint="default" w:ascii="Arial"/>
                <w:color w:val="auto"/>
                <w:spacing w:val="0"/>
                <w:w w:val="100"/>
                <w:position w:val="0"/>
                <w:sz w:val="21"/>
                <w:highlight w:val="none"/>
              </w:rPr>
            </w:pPr>
          </w:p>
          <w:p w14:paraId="29AD6289">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6E1F6789">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6B391928">
            <w:pPr>
              <w:pStyle w:val="19"/>
              <w:keepNext w:val="0"/>
              <w:keepLines w:val="0"/>
              <w:widowControl/>
              <w:suppressLineNumbers w:val="0"/>
              <w:spacing w:before="68" w:beforeAutospacing="0" w:after="0" w:afterAutospacing="0" w:line="281" w:lineRule="exact"/>
              <w:ind w:left="0" w:right="0"/>
              <w:jc w:val="right"/>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rPr>
              <w:t>2.2.4</w:t>
            </w:r>
            <w:r>
              <w:rPr>
                <w:rFonts w:hint="default"/>
                <w:color w:val="auto"/>
                <w:spacing w:val="0"/>
                <w:w w:val="100"/>
                <w:position w:val="0"/>
                <w:highlight w:val="none"/>
              </w:rPr>
              <w:t>（</w:t>
            </w:r>
            <w:r>
              <w:rPr>
                <w:rFonts w:hint="default" w:ascii="Times New Roman" w:hAnsi="Times New Roman" w:eastAsia="Times New Roman" w:cs="Times New Roman"/>
                <w:color w:val="auto"/>
                <w:spacing w:val="0"/>
                <w:w w:val="100"/>
                <w:position w:val="0"/>
                <w:highlight w:val="none"/>
              </w:rPr>
              <w:t>3</w:t>
            </w:r>
            <w:r>
              <w:rPr>
                <w:rFonts w:hint="default"/>
                <w:color w:val="auto"/>
                <w:spacing w:val="0"/>
                <w:w w:val="100"/>
                <w:position w:val="0"/>
                <w:highlight w:val="none"/>
              </w:rPr>
              <w:t>）</w:t>
            </w:r>
          </w:p>
        </w:tc>
        <w:tc>
          <w:tcPr>
            <w:tcW w:w="1111" w:type="dxa"/>
            <w:gridSpan w:val="2"/>
            <w:tcBorders>
              <w:top w:val="single" w:color="auto" w:sz="4" w:space="0"/>
            </w:tcBorders>
            <w:vAlign w:val="top"/>
          </w:tcPr>
          <w:p w14:paraId="0CF095D7">
            <w:pPr>
              <w:keepNext w:val="0"/>
              <w:keepLines w:val="0"/>
              <w:widowControl/>
              <w:suppressLineNumbers w:val="0"/>
              <w:spacing w:before="0" w:beforeAutospacing="0" w:after="0" w:afterAutospacing="0" w:line="274" w:lineRule="auto"/>
              <w:ind w:left="0" w:right="0"/>
              <w:rPr>
                <w:rFonts w:hint="default" w:ascii="Arial"/>
                <w:color w:val="auto"/>
                <w:spacing w:val="0"/>
                <w:w w:val="100"/>
                <w:position w:val="0"/>
                <w:sz w:val="21"/>
                <w:highlight w:val="none"/>
              </w:rPr>
            </w:pPr>
          </w:p>
          <w:p w14:paraId="0BB2461C">
            <w:pPr>
              <w:keepNext w:val="0"/>
              <w:keepLines w:val="0"/>
              <w:widowControl/>
              <w:suppressLineNumbers w:val="0"/>
              <w:spacing w:before="0" w:beforeAutospacing="0" w:after="0" w:afterAutospacing="0" w:line="274" w:lineRule="auto"/>
              <w:ind w:left="0" w:right="0"/>
              <w:rPr>
                <w:rFonts w:hint="default" w:ascii="Arial"/>
                <w:color w:val="auto"/>
                <w:spacing w:val="0"/>
                <w:w w:val="100"/>
                <w:position w:val="0"/>
                <w:sz w:val="21"/>
                <w:highlight w:val="none"/>
              </w:rPr>
            </w:pPr>
          </w:p>
          <w:p w14:paraId="3E6A2340">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73EB47B8">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539A458F">
            <w:pPr>
              <w:pStyle w:val="19"/>
              <w:keepNext w:val="0"/>
              <w:keepLines w:val="0"/>
              <w:widowControl/>
              <w:suppressLineNumbers w:val="0"/>
              <w:spacing w:before="68" w:beforeAutospacing="0" w:after="0" w:afterAutospacing="0" w:line="219" w:lineRule="auto"/>
              <w:ind w:left="53" w:right="0"/>
              <w:jc w:val="center"/>
              <w:rPr>
                <w:rFonts w:hint="default"/>
                <w:color w:val="auto"/>
                <w:spacing w:val="0"/>
                <w:w w:val="100"/>
                <w:position w:val="0"/>
                <w:highlight w:val="none"/>
              </w:rPr>
            </w:pPr>
            <w:r>
              <w:rPr>
                <w:rFonts w:hint="default"/>
                <w:color w:val="auto"/>
                <w:spacing w:val="0"/>
                <w:w w:val="100"/>
                <w:position w:val="0"/>
                <w:highlight w:val="none"/>
              </w:rPr>
              <w:t>评标价</w:t>
            </w:r>
          </w:p>
        </w:tc>
        <w:tc>
          <w:tcPr>
            <w:tcW w:w="1013" w:type="dxa"/>
            <w:tcBorders>
              <w:top w:val="single" w:color="auto" w:sz="4" w:space="0"/>
            </w:tcBorders>
            <w:vAlign w:val="top"/>
          </w:tcPr>
          <w:p w14:paraId="72E93BBF">
            <w:pPr>
              <w:keepNext w:val="0"/>
              <w:keepLines w:val="0"/>
              <w:widowControl/>
              <w:suppressLineNumbers w:val="0"/>
              <w:spacing w:before="0" w:beforeAutospacing="0" w:after="0" w:afterAutospacing="0" w:line="274" w:lineRule="auto"/>
              <w:ind w:left="0" w:right="0"/>
              <w:rPr>
                <w:rFonts w:hint="default" w:ascii="Arial"/>
                <w:color w:val="auto"/>
                <w:spacing w:val="0"/>
                <w:w w:val="100"/>
                <w:position w:val="0"/>
                <w:sz w:val="21"/>
                <w:highlight w:val="none"/>
              </w:rPr>
            </w:pPr>
          </w:p>
          <w:p w14:paraId="0535AE4F">
            <w:pPr>
              <w:keepNext w:val="0"/>
              <w:keepLines w:val="0"/>
              <w:widowControl/>
              <w:suppressLineNumbers w:val="0"/>
              <w:spacing w:before="0" w:beforeAutospacing="0" w:after="0" w:afterAutospacing="0" w:line="274" w:lineRule="auto"/>
              <w:ind w:left="0" w:right="0"/>
              <w:rPr>
                <w:rFonts w:hint="default" w:ascii="Arial"/>
                <w:color w:val="auto"/>
                <w:spacing w:val="0"/>
                <w:w w:val="100"/>
                <w:position w:val="0"/>
                <w:sz w:val="21"/>
                <w:highlight w:val="none"/>
              </w:rPr>
            </w:pPr>
          </w:p>
          <w:p w14:paraId="59A60569">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40E6B604">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09297D54">
            <w:pPr>
              <w:pStyle w:val="19"/>
              <w:keepNext w:val="0"/>
              <w:keepLines w:val="0"/>
              <w:widowControl/>
              <w:suppressLineNumbers w:val="0"/>
              <w:spacing w:before="68" w:beforeAutospacing="0" w:after="0" w:afterAutospacing="0" w:line="221" w:lineRule="auto"/>
              <w:ind w:left="279" w:right="0"/>
              <w:rPr>
                <w:rFonts w:hint="default"/>
                <w:color w:val="auto"/>
                <w:spacing w:val="0"/>
                <w:w w:val="100"/>
                <w:position w:val="0"/>
                <w:highlight w:val="none"/>
              </w:rPr>
            </w:pPr>
            <w:r>
              <w:rPr>
                <w:rFonts w:hint="default"/>
                <w:color w:val="auto"/>
                <w:spacing w:val="0"/>
                <w:w w:val="100"/>
                <w:position w:val="0"/>
                <w:highlight w:val="none"/>
                <w:u w:val="single" w:color="auto"/>
              </w:rPr>
              <w:t>10</w:t>
            </w:r>
            <w:r>
              <w:rPr>
                <w:rFonts w:hint="default"/>
                <w:color w:val="auto"/>
                <w:spacing w:val="0"/>
                <w:w w:val="100"/>
                <w:position w:val="0"/>
                <w:highlight w:val="none"/>
              </w:rPr>
              <w:t>分</w:t>
            </w:r>
          </w:p>
        </w:tc>
        <w:tc>
          <w:tcPr>
            <w:tcW w:w="6237" w:type="dxa"/>
            <w:gridSpan w:val="3"/>
            <w:tcBorders>
              <w:top w:val="single" w:color="auto" w:sz="4" w:space="0"/>
            </w:tcBorders>
            <w:vAlign w:val="center"/>
          </w:tcPr>
          <w:p w14:paraId="77D8717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88" w:lineRule="auto"/>
              <w:ind w:left="57" w:right="45" w:firstLine="3"/>
              <w:jc w:val="both"/>
              <w:textAlignment w:val="baseline"/>
              <w:rPr>
                <w:rFonts w:hint="default"/>
                <w:color w:val="auto"/>
                <w:spacing w:val="0"/>
                <w:w w:val="100"/>
                <w:position w:val="0"/>
                <w:highlight w:val="none"/>
              </w:rPr>
            </w:pPr>
            <w:r>
              <w:rPr>
                <w:rFonts w:hint="default"/>
                <w:color w:val="auto"/>
                <w:spacing w:val="0"/>
                <w:w w:val="100"/>
                <w:position w:val="0"/>
                <w:highlight w:val="none"/>
              </w:rPr>
              <w:t>评标价得分计算：</w:t>
            </w:r>
          </w:p>
          <w:p w14:paraId="0C69A4B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88" w:lineRule="auto"/>
              <w:ind w:left="57" w:right="45" w:firstLine="3"/>
              <w:jc w:val="both"/>
              <w:textAlignment w:val="baseline"/>
              <w:rPr>
                <w:rFonts w:hint="default"/>
                <w:color w:val="auto"/>
                <w:spacing w:val="0"/>
                <w:w w:val="100"/>
                <w:position w:val="0"/>
                <w:highlight w:val="none"/>
              </w:rPr>
            </w:pPr>
            <w:r>
              <w:rPr>
                <w:rFonts w:hint="default"/>
                <w:color w:val="auto"/>
                <w:spacing w:val="0"/>
                <w:w w:val="100"/>
                <w:position w:val="0"/>
                <w:highlight w:val="none"/>
              </w:rPr>
              <w:t>（1）如果投标人的评标价＞评标基准价，则评标价得分＝F-偏差率×100×E1；</w:t>
            </w:r>
          </w:p>
          <w:p w14:paraId="70441ED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88" w:lineRule="auto"/>
              <w:ind w:left="57" w:right="45" w:firstLine="3"/>
              <w:jc w:val="both"/>
              <w:textAlignment w:val="baseline"/>
              <w:rPr>
                <w:rFonts w:hint="default"/>
                <w:color w:val="auto"/>
                <w:spacing w:val="0"/>
                <w:w w:val="100"/>
                <w:position w:val="0"/>
                <w:highlight w:val="none"/>
              </w:rPr>
            </w:pPr>
            <w:r>
              <w:rPr>
                <w:rFonts w:hint="default"/>
                <w:color w:val="auto"/>
                <w:spacing w:val="0"/>
                <w:w w:val="100"/>
                <w:position w:val="0"/>
                <w:highlight w:val="none"/>
              </w:rPr>
              <w:t>（2）如果投标人的评标价≤评标基准价，则评标价得分＝F</w:t>
            </w:r>
            <w:r>
              <w:rPr>
                <w:rFonts w:hint="eastAsia"/>
                <w:color w:val="auto"/>
                <w:spacing w:val="0"/>
                <w:w w:val="100"/>
                <w:position w:val="0"/>
                <w:highlight w:val="none"/>
                <w:lang w:val="en-US" w:eastAsia="zh-CN"/>
              </w:rPr>
              <w:t>+</w:t>
            </w:r>
            <w:r>
              <w:rPr>
                <w:rFonts w:hint="default"/>
                <w:color w:val="auto"/>
                <w:spacing w:val="0"/>
                <w:w w:val="100"/>
                <w:position w:val="0"/>
                <w:highlight w:val="none"/>
              </w:rPr>
              <w:t>偏差率×100×E2。</w:t>
            </w:r>
          </w:p>
          <w:p w14:paraId="03396B9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88" w:lineRule="auto"/>
              <w:ind w:left="57" w:right="45" w:firstLine="3"/>
              <w:jc w:val="both"/>
              <w:textAlignment w:val="baseline"/>
              <w:rPr>
                <w:rFonts w:hint="default"/>
                <w:color w:val="auto"/>
                <w:spacing w:val="0"/>
                <w:w w:val="100"/>
                <w:position w:val="0"/>
                <w:highlight w:val="none"/>
              </w:rPr>
            </w:pPr>
            <w:r>
              <w:rPr>
                <w:rFonts w:hint="default"/>
                <w:color w:val="auto"/>
                <w:spacing w:val="0"/>
                <w:w w:val="100"/>
                <w:position w:val="0"/>
                <w:highlight w:val="none"/>
              </w:rPr>
              <w:t>其中：F是评标价所占权重分值，E1=</w:t>
            </w:r>
            <w:r>
              <w:rPr>
                <w:rFonts w:hint="eastAsia"/>
                <w:color w:val="auto"/>
                <w:spacing w:val="0"/>
                <w:w w:val="100"/>
                <w:position w:val="0"/>
                <w:highlight w:val="none"/>
                <w:lang w:val="en-US" w:eastAsia="zh-CN"/>
              </w:rPr>
              <w:t>0.1</w:t>
            </w:r>
            <w:r>
              <w:rPr>
                <w:rFonts w:hint="default"/>
                <w:color w:val="auto"/>
                <w:spacing w:val="0"/>
                <w:w w:val="100"/>
                <w:position w:val="0"/>
                <w:highlight w:val="none"/>
              </w:rPr>
              <w:t>，E2=0.</w:t>
            </w:r>
            <w:r>
              <w:rPr>
                <w:rFonts w:hint="eastAsia"/>
                <w:color w:val="auto"/>
                <w:spacing w:val="0"/>
                <w:w w:val="100"/>
                <w:position w:val="0"/>
                <w:highlight w:val="none"/>
                <w:lang w:val="en-US" w:eastAsia="zh-CN"/>
              </w:rPr>
              <w:t>0</w:t>
            </w:r>
            <w:r>
              <w:rPr>
                <w:rFonts w:hint="default"/>
                <w:color w:val="auto"/>
                <w:spacing w:val="0"/>
                <w:w w:val="100"/>
                <w:position w:val="0"/>
                <w:highlight w:val="none"/>
                <w:lang w:val="en-US" w:eastAsia="zh-CN"/>
              </w:rPr>
              <w:t>5</w:t>
            </w:r>
            <w:r>
              <w:rPr>
                <w:rFonts w:hint="default"/>
                <w:color w:val="auto"/>
                <w:spacing w:val="0"/>
                <w:w w:val="100"/>
                <w:position w:val="0"/>
                <w:highlight w:val="none"/>
              </w:rPr>
              <w:t>。</w:t>
            </w:r>
          </w:p>
          <w:p w14:paraId="42C9A08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88" w:lineRule="auto"/>
              <w:ind w:left="57" w:right="45" w:firstLine="3"/>
              <w:jc w:val="both"/>
              <w:textAlignment w:val="baseline"/>
              <w:rPr>
                <w:rFonts w:hint="default"/>
                <w:color w:val="auto"/>
                <w:spacing w:val="0"/>
                <w:w w:val="100"/>
                <w:position w:val="0"/>
                <w:highlight w:val="none"/>
              </w:rPr>
            </w:pPr>
            <w:r>
              <w:rPr>
                <w:rFonts w:hint="default"/>
                <w:color w:val="auto"/>
                <w:spacing w:val="0"/>
                <w:w w:val="100"/>
                <w:position w:val="0"/>
                <w:highlight w:val="none"/>
              </w:rPr>
              <w:t>评标价得分按四舍五入规则保留小数点后2位小数，评标价得分最高为</w:t>
            </w:r>
            <w:r>
              <w:rPr>
                <w:rFonts w:hint="eastAsia"/>
                <w:color w:val="auto"/>
                <w:spacing w:val="0"/>
                <w:w w:val="100"/>
                <w:position w:val="0"/>
                <w:highlight w:val="none"/>
                <w:lang w:val="en-US" w:eastAsia="zh-CN"/>
              </w:rPr>
              <w:t>10</w:t>
            </w:r>
            <w:r>
              <w:rPr>
                <w:rFonts w:hint="default"/>
                <w:color w:val="auto"/>
                <w:spacing w:val="0"/>
                <w:w w:val="100"/>
                <w:position w:val="0"/>
                <w:highlight w:val="none"/>
              </w:rPr>
              <w:t>分，最低为0分。</w:t>
            </w:r>
          </w:p>
        </w:tc>
      </w:tr>
      <w:tr w14:paraId="33DBA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62" w:type="dxa"/>
            <w:vMerge w:val="restart"/>
            <w:tcBorders>
              <w:top w:val="single" w:color="auto" w:sz="4" w:space="0"/>
              <w:left w:val="single" w:color="auto" w:sz="4" w:space="0"/>
              <w:bottom w:val="single" w:color="auto" w:sz="4" w:space="0"/>
              <w:right w:val="single" w:color="auto" w:sz="4" w:space="0"/>
            </w:tcBorders>
            <w:vAlign w:val="top"/>
          </w:tcPr>
          <w:p w14:paraId="6443C3F1">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13C5036E">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46889E1E">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0EE075EA">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62D83A9E">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46D16305">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39F563AE">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5DA22F49">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7568C462">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03EA7C02">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21460BA2">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506F01C5">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05F13317">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16D2D5E5">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6EA1CFB5">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5898272C">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73D4CA41">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4B3BED12">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208764AC">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5E6EF935">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5F3832DC">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6631193E">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542ECF12">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2E54F8B5">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405896E7">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0FFF342E">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62072291">
            <w:pPr>
              <w:keepNext w:val="0"/>
              <w:keepLines w:val="0"/>
              <w:widowControl/>
              <w:suppressLineNumbers w:val="0"/>
              <w:spacing w:before="0" w:beforeAutospacing="0" w:after="0" w:afterAutospacing="0" w:line="242" w:lineRule="auto"/>
              <w:ind w:left="0" w:right="0"/>
              <w:rPr>
                <w:rFonts w:hint="default" w:ascii="Arial"/>
                <w:color w:val="auto"/>
                <w:spacing w:val="0"/>
                <w:w w:val="100"/>
                <w:position w:val="0"/>
                <w:sz w:val="21"/>
                <w:highlight w:val="none"/>
              </w:rPr>
            </w:pPr>
          </w:p>
          <w:p w14:paraId="2DF307B9">
            <w:pPr>
              <w:keepNext w:val="0"/>
              <w:keepLines w:val="0"/>
              <w:widowControl/>
              <w:suppressLineNumbers w:val="0"/>
              <w:spacing w:before="0" w:beforeAutospacing="0" w:after="0" w:afterAutospacing="0" w:line="243" w:lineRule="auto"/>
              <w:ind w:left="0" w:right="0"/>
              <w:rPr>
                <w:rFonts w:hint="default" w:ascii="Arial"/>
                <w:color w:val="auto"/>
                <w:spacing w:val="0"/>
                <w:w w:val="100"/>
                <w:position w:val="0"/>
                <w:sz w:val="21"/>
                <w:highlight w:val="none"/>
              </w:rPr>
            </w:pPr>
          </w:p>
          <w:p w14:paraId="6D569BCD">
            <w:pPr>
              <w:pStyle w:val="19"/>
              <w:keepNext w:val="0"/>
              <w:keepLines w:val="0"/>
              <w:widowControl/>
              <w:suppressLineNumbers w:val="0"/>
              <w:spacing w:before="69" w:beforeAutospacing="0" w:after="0" w:afterAutospacing="0" w:line="280" w:lineRule="exact"/>
              <w:ind w:left="0" w:right="0"/>
              <w:jc w:val="right"/>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rPr>
              <w:t>2.2.4</w:t>
            </w:r>
            <w:r>
              <w:rPr>
                <w:rFonts w:hint="default"/>
                <w:color w:val="auto"/>
                <w:spacing w:val="0"/>
                <w:w w:val="100"/>
                <w:position w:val="0"/>
                <w:highlight w:val="none"/>
              </w:rPr>
              <w:t>（</w:t>
            </w:r>
            <w:r>
              <w:rPr>
                <w:rFonts w:hint="default" w:ascii="Times New Roman" w:hAnsi="Times New Roman" w:eastAsia="Times New Roman" w:cs="Times New Roman"/>
                <w:color w:val="auto"/>
                <w:spacing w:val="0"/>
                <w:w w:val="100"/>
                <w:position w:val="0"/>
                <w:highlight w:val="none"/>
              </w:rPr>
              <w:t>4</w:t>
            </w:r>
            <w:r>
              <w:rPr>
                <w:rFonts w:hint="default"/>
                <w:color w:val="auto"/>
                <w:spacing w:val="0"/>
                <w:w w:val="100"/>
                <w:position w:val="0"/>
                <w:highlight w:val="none"/>
              </w:rPr>
              <w:t>）</w:t>
            </w:r>
          </w:p>
        </w:tc>
        <w:tc>
          <w:tcPr>
            <w:tcW w:w="554"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516AA2FD">
            <w:pPr>
              <w:pStyle w:val="19"/>
              <w:keepNext w:val="0"/>
              <w:keepLines w:val="0"/>
              <w:widowControl/>
              <w:suppressLineNumbers w:val="0"/>
              <w:spacing w:before="162" w:beforeAutospacing="0" w:after="0" w:afterAutospacing="0" w:line="209" w:lineRule="auto"/>
              <w:ind w:left="0" w:leftChars="0" w:right="0" w:firstLine="0" w:firstLineChars="0"/>
              <w:jc w:val="center"/>
              <w:rPr>
                <w:rFonts w:hint="default"/>
                <w:color w:val="auto"/>
                <w:spacing w:val="0"/>
                <w:w w:val="100"/>
                <w:position w:val="0"/>
                <w:highlight w:val="none"/>
              </w:rPr>
            </w:pPr>
            <w:r>
              <w:rPr>
                <w:rFonts w:hint="eastAsia"/>
                <w:color w:val="auto"/>
                <w:spacing w:val="0"/>
                <w:w w:val="100"/>
                <w:position w:val="0"/>
                <w:highlight w:val="none"/>
                <w:lang w:val="en-US" w:eastAsia="zh-CN"/>
              </w:rPr>
              <w:t>其</w:t>
            </w:r>
            <w:r>
              <w:rPr>
                <w:rFonts w:hint="default"/>
                <w:color w:val="auto"/>
                <w:spacing w:val="0"/>
                <w:w w:val="100"/>
                <w:position w:val="0"/>
                <w:highlight w:val="none"/>
              </w:rPr>
              <w:t>他因素</w:t>
            </w:r>
          </w:p>
        </w:tc>
        <w:tc>
          <w:tcPr>
            <w:tcW w:w="557" w:type="dxa"/>
            <w:tcBorders>
              <w:top w:val="single" w:color="auto" w:sz="4" w:space="0"/>
              <w:left w:val="single" w:color="auto" w:sz="4" w:space="0"/>
              <w:bottom w:val="single" w:color="auto" w:sz="4" w:space="0"/>
              <w:right w:val="single" w:color="auto" w:sz="4" w:space="0"/>
            </w:tcBorders>
            <w:vAlign w:val="center"/>
          </w:tcPr>
          <w:p w14:paraId="5BFA3374">
            <w:pPr>
              <w:pStyle w:val="19"/>
              <w:keepNext w:val="0"/>
              <w:keepLines w:val="0"/>
              <w:widowControl/>
              <w:suppressLineNumbers w:val="0"/>
              <w:spacing w:before="69" w:beforeAutospacing="0" w:after="0" w:afterAutospacing="0" w:line="221" w:lineRule="auto"/>
              <w:ind w:left="0" w:right="0"/>
              <w:jc w:val="center"/>
              <w:rPr>
                <w:rFonts w:hint="default"/>
                <w:color w:val="auto"/>
                <w:spacing w:val="0"/>
                <w:w w:val="100"/>
                <w:position w:val="0"/>
                <w:highlight w:val="none"/>
              </w:rPr>
            </w:pPr>
            <w:r>
              <w:rPr>
                <w:rFonts w:hint="default"/>
                <w:color w:val="auto"/>
                <w:spacing w:val="0"/>
                <w:w w:val="100"/>
                <w:position w:val="0"/>
                <w:highlight w:val="none"/>
                <w:lang w:val="en-US" w:eastAsia="zh-CN"/>
              </w:rPr>
              <w:t>投标人</w:t>
            </w:r>
            <w:r>
              <w:rPr>
                <w:rFonts w:hint="default"/>
                <w:color w:val="auto"/>
                <w:spacing w:val="0"/>
                <w:w w:val="100"/>
                <w:position w:val="0"/>
                <w:highlight w:val="none"/>
              </w:rPr>
              <w:t>类似业绩</w:t>
            </w:r>
          </w:p>
        </w:tc>
        <w:tc>
          <w:tcPr>
            <w:tcW w:w="1013" w:type="dxa"/>
            <w:tcBorders>
              <w:left w:val="single" w:color="auto" w:sz="4" w:space="0"/>
            </w:tcBorders>
            <w:vAlign w:val="center"/>
          </w:tcPr>
          <w:p w14:paraId="128B19B1">
            <w:pPr>
              <w:pStyle w:val="19"/>
              <w:keepNext w:val="0"/>
              <w:keepLines w:val="0"/>
              <w:widowControl/>
              <w:suppressLineNumbers w:val="0"/>
              <w:spacing w:before="69" w:beforeAutospacing="0" w:after="0" w:afterAutospacing="0" w:line="221" w:lineRule="auto"/>
              <w:ind w:left="127" w:right="0"/>
              <w:jc w:val="center"/>
              <w:rPr>
                <w:rFonts w:hint="default"/>
                <w:color w:val="auto"/>
                <w:spacing w:val="0"/>
                <w:w w:val="100"/>
                <w:position w:val="0"/>
                <w:highlight w:val="none"/>
              </w:rPr>
            </w:pPr>
            <w:r>
              <w:rPr>
                <w:rFonts w:hint="eastAsia"/>
                <w:color w:val="auto"/>
                <w:spacing w:val="0"/>
                <w:w w:val="100"/>
                <w:position w:val="0"/>
                <w:highlight w:val="none"/>
                <w:u w:val="single" w:color="auto"/>
                <w:lang w:val="en-US" w:eastAsia="zh-CN"/>
              </w:rPr>
              <w:t>14</w:t>
            </w:r>
            <w:r>
              <w:rPr>
                <w:rFonts w:hint="default"/>
                <w:color w:val="auto"/>
                <w:spacing w:val="0"/>
                <w:w w:val="100"/>
                <w:position w:val="0"/>
                <w:highlight w:val="none"/>
              </w:rPr>
              <w:t>分</w:t>
            </w:r>
          </w:p>
        </w:tc>
        <w:tc>
          <w:tcPr>
            <w:tcW w:w="6237" w:type="dxa"/>
            <w:gridSpan w:val="3"/>
            <w:tcBorders>
              <w:bottom w:val="single" w:color="auto" w:sz="4" w:space="0"/>
            </w:tcBorders>
            <w:vAlign w:val="center"/>
          </w:tcPr>
          <w:p w14:paraId="3ECF78F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eastAsia"/>
                <w:color w:val="auto"/>
                <w:spacing w:val="0"/>
                <w:w w:val="100"/>
                <w:position w:val="0"/>
                <w:highlight w:val="none"/>
                <w:lang w:val="en-US" w:eastAsia="zh-CN"/>
              </w:rPr>
              <w:t>1.</w:t>
            </w:r>
            <w:r>
              <w:rPr>
                <w:rFonts w:hint="default"/>
                <w:color w:val="auto"/>
                <w:spacing w:val="0"/>
                <w:w w:val="100"/>
                <w:position w:val="0"/>
                <w:highlight w:val="none"/>
              </w:rPr>
              <w:t>满足</w:t>
            </w:r>
            <w:r>
              <w:rPr>
                <w:rFonts w:hint="eastAsia"/>
                <w:color w:val="auto"/>
                <w:spacing w:val="0"/>
                <w:w w:val="100"/>
                <w:position w:val="0"/>
                <w:sz w:val="21"/>
                <w:szCs w:val="21"/>
                <w:highlight w:val="none"/>
              </w:rPr>
              <w:t>资格</w:t>
            </w:r>
            <w:r>
              <w:rPr>
                <w:rFonts w:hint="default"/>
                <w:color w:val="auto"/>
                <w:spacing w:val="0"/>
                <w:w w:val="100"/>
                <w:position w:val="0"/>
                <w:highlight w:val="none"/>
              </w:rPr>
              <w:t>审查要求的得基本分</w:t>
            </w:r>
            <w:r>
              <w:rPr>
                <w:rFonts w:hint="eastAsia"/>
                <w:color w:val="auto"/>
                <w:spacing w:val="0"/>
                <w:w w:val="100"/>
                <w:position w:val="0"/>
                <w:highlight w:val="none"/>
                <w:lang w:val="en-US" w:eastAsia="zh-CN"/>
              </w:rPr>
              <w:t>8.4</w:t>
            </w:r>
            <w:r>
              <w:rPr>
                <w:rFonts w:hint="default"/>
                <w:color w:val="auto"/>
                <w:spacing w:val="0"/>
                <w:w w:val="100"/>
                <w:position w:val="0"/>
                <w:highlight w:val="none"/>
              </w:rPr>
              <w:t>分；</w:t>
            </w:r>
          </w:p>
          <w:p w14:paraId="750B51F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eastAsia"/>
                <w:color w:val="auto"/>
                <w:spacing w:val="0"/>
                <w:w w:val="100"/>
                <w:position w:val="0"/>
                <w:highlight w:val="none"/>
                <w:lang w:val="en-US" w:eastAsia="zh-CN"/>
              </w:rPr>
              <w:t>2.</w:t>
            </w:r>
            <w:r>
              <w:rPr>
                <w:rFonts w:hint="default"/>
                <w:color w:val="auto"/>
                <w:spacing w:val="0"/>
                <w:w w:val="100"/>
                <w:position w:val="0"/>
                <w:highlight w:val="none"/>
              </w:rPr>
              <w:t>在满足资格审查要求的基础上，自</w:t>
            </w:r>
            <w:r>
              <w:rPr>
                <w:rFonts w:hint="eastAsia"/>
                <w:color w:val="auto"/>
                <w:spacing w:val="0"/>
                <w:w w:val="100"/>
                <w:position w:val="0"/>
                <w:highlight w:val="none"/>
                <w:lang w:val="en-US" w:eastAsia="zh-CN"/>
              </w:rPr>
              <w:t>2021年1月1日</w:t>
            </w:r>
            <w:r>
              <w:rPr>
                <w:rFonts w:hint="default"/>
                <w:color w:val="auto"/>
                <w:spacing w:val="0"/>
                <w:w w:val="100"/>
                <w:position w:val="0"/>
                <w:highlight w:val="none"/>
                <w:lang w:val="en-US" w:eastAsia="zh-CN"/>
              </w:rPr>
              <w:t>至投标截止时间</w:t>
            </w:r>
            <w:r>
              <w:rPr>
                <w:rFonts w:hint="eastAsia"/>
                <w:color w:val="auto"/>
                <w:spacing w:val="0"/>
                <w:w w:val="100"/>
                <w:position w:val="0"/>
                <w:highlight w:val="none"/>
              </w:rPr>
              <w:t>每增加1个</w:t>
            </w:r>
            <w:r>
              <w:rPr>
                <w:rFonts w:hint="eastAsia"/>
                <w:color w:val="auto"/>
                <w:spacing w:val="0"/>
                <w:w w:val="100"/>
                <w:position w:val="0"/>
                <w:highlight w:val="none"/>
                <w:lang w:eastAsia="zh-CN"/>
              </w:rPr>
              <w:t>“</w:t>
            </w:r>
            <w:r>
              <w:rPr>
                <w:rFonts w:hint="eastAsia"/>
                <w:color w:val="auto"/>
                <w:spacing w:val="0"/>
                <w:w w:val="100"/>
                <w:position w:val="0"/>
                <w:highlight w:val="none"/>
                <w:lang w:val="en-US" w:eastAsia="zh-CN"/>
              </w:rPr>
              <w:t>类似项目</w:t>
            </w:r>
            <w:r>
              <w:rPr>
                <w:rFonts w:hint="eastAsia"/>
                <w:color w:val="auto"/>
                <w:spacing w:val="0"/>
                <w:w w:val="100"/>
                <w:position w:val="0"/>
                <w:highlight w:val="none"/>
                <w:lang w:eastAsia="zh-CN"/>
              </w:rPr>
              <w:t>”</w:t>
            </w:r>
            <w:r>
              <w:rPr>
                <w:rFonts w:hint="eastAsia"/>
                <w:color w:val="auto"/>
                <w:spacing w:val="0"/>
                <w:w w:val="100"/>
                <w:position w:val="0"/>
                <w:highlight w:val="none"/>
              </w:rPr>
              <w:t>业绩加</w:t>
            </w:r>
            <w:r>
              <w:rPr>
                <w:rFonts w:hint="eastAsia"/>
                <w:color w:val="auto"/>
                <w:spacing w:val="0"/>
                <w:w w:val="100"/>
                <w:position w:val="0"/>
                <w:highlight w:val="none"/>
                <w:lang w:val="en-US" w:eastAsia="zh-CN"/>
              </w:rPr>
              <w:t>2.8</w:t>
            </w:r>
            <w:r>
              <w:rPr>
                <w:rFonts w:hint="eastAsia"/>
                <w:color w:val="auto"/>
                <w:spacing w:val="0"/>
                <w:w w:val="100"/>
                <w:position w:val="0"/>
                <w:highlight w:val="none"/>
              </w:rPr>
              <w:t>分</w:t>
            </w:r>
            <w:r>
              <w:rPr>
                <w:rFonts w:hint="default"/>
                <w:color w:val="auto"/>
                <w:spacing w:val="0"/>
                <w:w w:val="100"/>
                <w:position w:val="0"/>
                <w:highlight w:val="none"/>
              </w:rPr>
              <w:t>，最高加</w:t>
            </w:r>
            <w:r>
              <w:rPr>
                <w:rFonts w:hint="eastAsia"/>
                <w:color w:val="auto"/>
                <w:spacing w:val="0"/>
                <w:w w:val="100"/>
                <w:position w:val="0"/>
                <w:highlight w:val="none"/>
                <w:lang w:val="en-US" w:eastAsia="zh-CN"/>
              </w:rPr>
              <w:t>5.6</w:t>
            </w:r>
            <w:r>
              <w:rPr>
                <w:rFonts w:hint="default"/>
                <w:color w:val="auto"/>
                <w:spacing w:val="0"/>
                <w:w w:val="100"/>
                <w:position w:val="0"/>
                <w:highlight w:val="none"/>
              </w:rPr>
              <w:t>分。</w:t>
            </w:r>
          </w:p>
          <w:p w14:paraId="298FF66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eastAsia"/>
                <w:color w:val="auto"/>
                <w:spacing w:val="0"/>
                <w:w w:val="100"/>
                <w:position w:val="0"/>
                <w:highlight w:val="none"/>
                <w:lang w:val="en-US" w:eastAsia="zh-CN"/>
              </w:rPr>
            </w:pPr>
            <w:r>
              <w:rPr>
                <w:rFonts w:hint="eastAsia"/>
                <w:color w:val="auto"/>
                <w:spacing w:val="0"/>
                <w:w w:val="100"/>
                <w:position w:val="0"/>
                <w:highlight w:val="none"/>
                <w:lang w:val="en-US" w:eastAsia="zh-CN"/>
              </w:rPr>
              <w:t>注：同一业绩仅计一次得分。</w:t>
            </w:r>
          </w:p>
          <w:p w14:paraId="766BF5B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lang w:val="en-US" w:eastAsia="zh-CN"/>
              </w:rPr>
            </w:pPr>
            <w:r>
              <w:rPr>
                <w:rFonts w:hint="eastAsia"/>
                <w:b/>
                <w:bCs/>
                <w:color w:val="auto"/>
                <w:spacing w:val="0"/>
                <w:w w:val="100"/>
                <w:position w:val="0"/>
                <w:highlight w:val="none"/>
                <w:lang w:val="en-US" w:eastAsia="zh-CN"/>
              </w:rPr>
              <w:t>如为联合体投标，需联合体牵头人提供。</w:t>
            </w:r>
          </w:p>
        </w:tc>
      </w:tr>
      <w:tr w14:paraId="52AC0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7" w:hRule="atLeast"/>
        </w:trPr>
        <w:tc>
          <w:tcPr>
            <w:tcW w:w="962" w:type="dxa"/>
            <w:vMerge w:val="continue"/>
            <w:tcBorders>
              <w:left w:val="single" w:color="auto" w:sz="4" w:space="0"/>
              <w:right w:val="single" w:color="auto" w:sz="4" w:space="0"/>
            </w:tcBorders>
            <w:vAlign w:val="top"/>
          </w:tcPr>
          <w:p w14:paraId="704CF85D">
            <w:pPr>
              <w:pStyle w:val="19"/>
              <w:keepNext w:val="0"/>
              <w:keepLines w:val="0"/>
              <w:widowControl/>
              <w:suppressLineNumbers w:val="0"/>
              <w:spacing w:before="69" w:beforeAutospacing="0" w:after="0" w:afterAutospacing="0" w:line="280" w:lineRule="exact"/>
              <w:ind w:left="0" w:right="0"/>
              <w:jc w:val="right"/>
              <w:rPr>
                <w:rFonts w:hint="default" w:ascii="Times New Roman" w:hAnsi="Times New Roman" w:eastAsia="Times New Roman" w:cs="Times New Roman"/>
                <w:color w:val="auto"/>
                <w:spacing w:val="0"/>
                <w:w w:val="100"/>
                <w:position w:val="0"/>
                <w:highlight w:val="none"/>
              </w:rPr>
            </w:pPr>
          </w:p>
        </w:tc>
        <w:tc>
          <w:tcPr>
            <w:tcW w:w="554" w:type="dxa"/>
            <w:vMerge w:val="continue"/>
            <w:tcBorders>
              <w:left w:val="single" w:color="auto" w:sz="4" w:space="0"/>
              <w:right w:val="single" w:color="auto" w:sz="4" w:space="0"/>
            </w:tcBorders>
            <w:textDirection w:val="tbRlV"/>
            <w:vAlign w:val="top"/>
          </w:tcPr>
          <w:p w14:paraId="5201A5DB">
            <w:pPr>
              <w:pStyle w:val="19"/>
              <w:keepNext w:val="0"/>
              <w:keepLines w:val="0"/>
              <w:widowControl/>
              <w:suppressLineNumbers w:val="0"/>
              <w:spacing w:before="162" w:beforeAutospacing="0" w:after="0" w:afterAutospacing="0" w:line="209" w:lineRule="auto"/>
              <w:ind w:left="6479" w:right="0"/>
              <w:rPr>
                <w:rFonts w:hint="default"/>
                <w:color w:val="auto"/>
                <w:spacing w:val="0"/>
                <w:w w:val="100"/>
                <w:position w:val="0"/>
                <w:highlight w:val="none"/>
              </w:rPr>
            </w:pPr>
          </w:p>
        </w:tc>
        <w:tc>
          <w:tcPr>
            <w:tcW w:w="557" w:type="dxa"/>
            <w:tcBorders>
              <w:top w:val="single" w:color="auto" w:sz="4" w:space="0"/>
              <w:left w:val="single" w:color="auto" w:sz="4" w:space="0"/>
              <w:right w:val="single" w:color="auto" w:sz="4" w:space="0"/>
            </w:tcBorders>
            <w:vAlign w:val="center"/>
          </w:tcPr>
          <w:p w14:paraId="3F6B2F20">
            <w:pPr>
              <w:pStyle w:val="19"/>
              <w:keepNext w:val="0"/>
              <w:keepLines w:val="0"/>
              <w:widowControl/>
              <w:suppressLineNumbers w:val="0"/>
              <w:spacing w:before="69" w:beforeAutospacing="0" w:after="0" w:afterAutospacing="0" w:line="221" w:lineRule="auto"/>
              <w:ind w:left="0" w:right="0"/>
              <w:jc w:val="center"/>
              <w:rPr>
                <w:rFonts w:hint="default"/>
                <w:color w:val="auto"/>
                <w:spacing w:val="0"/>
                <w:w w:val="100"/>
                <w:position w:val="0"/>
                <w:highlight w:val="none"/>
              </w:rPr>
            </w:pPr>
            <w:r>
              <w:rPr>
                <w:rFonts w:hint="eastAsia"/>
                <w:color w:val="auto"/>
                <w:spacing w:val="0"/>
                <w:w w:val="100"/>
                <w:position w:val="0"/>
                <w:highlight w:val="none"/>
              </w:rPr>
              <w:t>履约信誉</w:t>
            </w:r>
          </w:p>
        </w:tc>
        <w:tc>
          <w:tcPr>
            <w:tcW w:w="1013" w:type="dxa"/>
            <w:tcBorders>
              <w:left w:val="single" w:color="auto" w:sz="4" w:space="0"/>
            </w:tcBorders>
            <w:vAlign w:val="center"/>
          </w:tcPr>
          <w:p w14:paraId="032528FF">
            <w:pPr>
              <w:pStyle w:val="19"/>
              <w:keepNext w:val="0"/>
              <w:keepLines w:val="0"/>
              <w:widowControl/>
              <w:suppressLineNumbers w:val="0"/>
              <w:spacing w:before="69" w:beforeAutospacing="0" w:after="0" w:afterAutospacing="0" w:line="221" w:lineRule="auto"/>
              <w:ind w:left="127" w:right="0"/>
              <w:jc w:val="center"/>
              <w:rPr>
                <w:rFonts w:hint="eastAsia"/>
                <w:color w:val="auto"/>
                <w:spacing w:val="0"/>
                <w:w w:val="100"/>
                <w:position w:val="0"/>
                <w:highlight w:val="none"/>
                <w:u w:val="single" w:color="auto"/>
                <w:lang w:val="en-US" w:eastAsia="zh-CN"/>
              </w:rPr>
            </w:pPr>
            <w:r>
              <w:rPr>
                <w:rFonts w:hint="eastAsia"/>
                <w:color w:val="auto"/>
                <w:spacing w:val="0"/>
                <w:w w:val="100"/>
                <w:position w:val="0"/>
                <w:highlight w:val="none"/>
                <w:u w:val="single" w:color="auto"/>
                <w:lang w:val="en-US" w:eastAsia="zh-CN"/>
              </w:rPr>
              <w:t>5</w:t>
            </w:r>
            <w:r>
              <w:rPr>
                <w:rFonts w:hint="eastAsia"/>
                <w:color w:val="auto"/>
                <w:spacing w:val="0"/>
                <w:w w:val="100"/>
                <w:position w:val="0"/>
                <w:highlight w:val="none"/>
                <w:u w:val="none" w:color="auto"/>
                <w:lang w:val="en-US" w:eastAsia="zh-CN"/>
              </w:rPr>
              <w:t>分</w:t>
            </w:r>
          </w:p>
        </w:tc>
        <w:tc>
          <w:tcPr>
            <w:tcW w:w="6237" w:type="dxa"/>
            <w:gridSpan w:val="3"/>
            <w:tcBorders>
              <w:bottom w:val="single" w:color="auto" w:sz="4" w:space="0"/>
            </w:tcBorders>
            <w:vAlign w:val="center"/>
          </w:tcPr>
          <w:p w14:paraId="126EA75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按以下原则确定的公路设计企业信用评价等级为AA级的得5分；为A级的得</w:t>
            </w:r>
            <w:r>
              <w:rPr>
                <w:rFonts w:hint="eastAsia"/>
                <w:color w:val="auto"/>
                <w:spacing w:val="0"/>
                <w:w w:val="100"/>
                <w:position w:val="0"/>
                <w:highlight w:val="none"/>
                <w:lang w:val="en-US" w:eastAsia="zh-CN"/>
              </w:rPr>
              <w:t>3</w:t>
            </w:r>
            <w:r>
              <w:rPr>
                <w:rFonts w:hint="default"/>
                <w:color w:val="auto"/>
                <w:spacing w:val="0"/>
                <w:w w:val="100"/>
                <w:position w:val="0"/>
                <w:highlight w:val="none"/>
              </w:rPr>
              <w:t>分；其他等级不得分：</w:t>
            </w:r>
          </w:p>
          <w:p w14:paraId="0770203F">
            <w:pPr>
              <w:pStyle w:val="19"/>
              <w:keepNext w:val="0"/>
              <w:keepLines w:val="0"/>
              <w:widowControl/>
              <w:suppressLineNumbers w:val="0"/>
              <w:spacing w:before="1" w:beforeAutospacing="0" w:after="0" w:afterAutospacing="0" w:line="224" w:lineRule="auto"/>
              <w:ind w:left="57" w:right="0"/>
              <w:rPr>
                <w:rFonts w:hint="default"/>
                <w:color w:val="auto"/>
                <w:spacing w:val="0"/>
                <w:w w:val="100"/>
                <w:position w:val="0"/>
                <w:highlight w:val="none"/>
              </w:rPr>
            </w:pPr>
            <w:r>
              <w:rPr>
                <w:rFonts w:hint="default"/>
                <w:color w:val="auto"/>
                <w:spacing w:val="0"/>
                <w:w w:val="100"/>
                <w:position w:val="0"/>
                <w:highlight w:val="none"/>
              </w:rPr>
              <w:t>注：</w:t>
            </w:r>
          </w:p>
          <w:p w14:paraId="1024EDE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①有安徽省交通运输厅</w:t>
            </w:r>
            <w:r>
              <w:rPr>
                <w:rFonts w:hint="eastAsia"/>
                <w:color w:val="auto"/>
                <w:spacing w:val="0"/>
                <w:w w:val="100"/>
                <w:position w:val="0"/>
                <w:highlight w:val="none"/>
                <w:lang w:eastAsia="zh-CN"/>
              </w:rPr>
              <w:t>202</w:t>
            </w:r>
            <w:r>
              <w:rPr>
                <w:rFonts w:hint="eastAsia"/>
                <w:color w:val="auto"/>
                <w:spacing w:val="0"/>
                <w:w w:val="100"/>
                <w:position w:val="0"/>
                <w:highlight w:val="none"/>
                <w:lang w:val="en-US" w:eastAsia="zh-CN"/>
              </w:rPr>
              <w:t>5</w:t>
            </w:r>
            <w:r>
              <w:rPr>
                <w:rFonts w:hint="eastAsia"/>
                <w:color w:val="auto"/>
                <w:spacing w:val="0"/>
                <w:w w:val="100"/>
                <w:position w:val="0"/>
                <w:highlight w:val="none"/>
                <w:lang w:eastAsia="zh-CN"/>
              </w:rPr>
              <w:t>年度</w:t>
            </w:r>
            <w:r>
              <w:rPr>
                <w:rFonts w:hint="default"/>
                <w:color w:val="auto"/>
                <w:spacing w:val="0"/>
                <w:w w:val="100"/>
                <w:position w:val="0"/>
                <w:highlight w:val="none"/>
              </w:rPr>
              <w:t>公路设计企业信用评价等级时，直接引用该等级；没有安徽省交通运输厅</w:t>
            </w:r>
            <w:r>
              <w:rPr>
                <w:rFonts w:hint="eastAsia"/>
                <w:color w:val="auto"/>
                <w:spacing w:val="0"/>
                <w:w w:val="100"/>
                <w:position w:val="0"/>
                <w:highlight w:val="none"/>
                <w:lang w:eastAsia="zh-CN"/>
              </w:rPr>
              <w:t>202</w:t>
            </w:r>
            <w:r>
              <w:rPr>
                <w:rFonts w:hint="eastAsia"/>
                <w:color w:val="auto"/>
                <w:spacing w:val="0"/>
                <w:w w:val="100"/>
                <w:position w:val="0"/>
                <w:highlight w:val="none"/>
                <w:lang w:val="en-US" w:eastAsia="zh-CN"/>
              </w:rPr>
              <w:t>5</w:t>
            </w:r>
            <w:r>
              <w:rPr>
                <w:rFonts w:hint="eastAsia"/>
                <w:color w:val="auto"/>
                <w:spacing w:val="0"/>
                <w:w w:val="100"/>
                <w:position w:val="0"/>
                <w:highlight w:val="none"/>
                <w:lang w:eastAsia="zh-CN"/>
              </w:rPr>
              <w:t>年度</w:t>
            </w:r>
            <w:r>
              <w:rPr>
                <w:rFonts w:hint="default"/>
                <w:color w:val="auto"/>
                <w:spacing w:val="0"/>
                <w:w w:val="100"/>
                <w:position w:val="0"/>
                <w:highlight w:val="none"/>
              </w:rPr>
              <w:t>公路设计企业信用评价等级时，引用安徽省交通运输厅</w:t>
            </w:r>
            <w:r>
              <w:rPr>
                <w:rFonts w:hint="eastAsia"/>
                <w:color w:val="auto"/>
                <w:spacing w:val="0"/>
                <w:w w:val="100"/>
                <w:position w:val="0"/>
                <w:highlight w:val="none"/>
                <w:lang w:eastAsia="zh-CN"/>
              </w:rPr>
              <w:t>202</w:t>
            </w:r>
            <w:r>
              <w:rPr>
                <w:rFonts w:hint="eastAsia"/>
                <w:color w:val="auto"/>
                <w:spacing w:val="0"/>
                <w:w w:val="100"/>
                <w:position w:val="0"/>
                <w:highlight w:val="none"/>
                <w:lang w:val="en-US" w:eastAsia="zh-CN"/>
              </w:rPr>
              <w:t>4</w:t>
            </w:r>
            <w:r>
              <w:rPr>
                <w:rFonts w:hint="eastAsia"/>
                <w:color w:val="auto"/>
                <w:spacing w:val="0"/>
                <w:w w:val="100"/>
                <w:position w:val="0"/>
                <w:highlight w:val="none"/>
                <w:lang w:eastAsia="zh-CN"/>
              </w:rPr>
              <w:t>年度</w:t>
            </w:r>
            <w:r>
              <w:rPr>
                <w:rFonts w:hint="default"/>
                <w:color w:val="auto"/>
                <w:spacing w:val="0"/>
                <w:w w:val="100"/>
                <w:position w:val="0"/>
                <w:highlight w:val="none"/>
              </w:rPr>
              <w:t>公路设计企业信用评价等级。</w:t>
            </w:r>
          </w:p>
          <w:p w14:paraId="0D548EA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②没有安徽省交通运输厅202</w:t>
            </w:r>
            <w:r>
              <w:rPr>
                <w:rFonts w:hint="eastAsia"/>
                <w:color w:val="auto"/>
                <w:spacing w:val="0"/>
                <w:w w:val="100"/>
                <w:position w:val="0"/>
                <w:highlight w:val="none"/>
                <w:lang w:val="en-US" w:eastAsia="zh-CN"/>
              </w:rPr>
              <w:t>5</w:t>
            </w:r>
            <w:r>
              <w:rPr>
                <w:rFonts w:hint="default"/>
                <w:color w:val="auto"/>
                <w:spacing w:val="0"/>
                <w:w w:val="100"/>
                <w:position w:val="0"/>
                <w:highlight w:val="none"/>
              </w:rPr>
              <w:t>、</w:t>
            </w:r>
            <w:r>
              <w:rPr>
                <w:rFonts w:hint="eastAsia"/>
                <w:color w:val="auto"/>
                <w:spacing w:val="0"/>
                <w:w w:val="100"/>
                <w:position w:val="0"/>
                <w:highlight w:val="none"/>
                <w:lang w:eastAsia="zh-CN"/>
              </w:rPr>
              <w:t>202</w:t>
            </w:r>
            <w:r>
              <w:rPr>
                <w:rFonts w:hint="eastAsia"/>
                <w:color w:val="auto"/>
                <w:spacing w:val="0"/>
                <w:w w:val="100"/>
                <w:position w:val="0"/>
                <w:highlight w:val="none"/>
                <w:lang w:val="en-US" w:eastAsia="zh-CN"/>
              </w:rPr>
              <w:t>4</w:t>
            </w:r>
            <w:r>
              <w:rPr>
                <w:rFonts w:hint="eastAsia"/>
                <w:color w:val="auto"/>
                <w:spacing w:val="0"/>
                <w:w w:val="100"/>
                <w:position w:val="0"/>
                <w:highlight w:val="none"/>
                <w:lang w:eastAsia="zh-CN"/>
              </w:rPr>
              <w:t>年度</w:t>
            </w:r>
            <w:r>
              <w:rPr>
                <w:rFonts w:hint="default"/>
                <w:color w:val="auto"/>
                <w:spacing w:val="0"/>
                <w:w w:val="100"/>
                <w:position w:val="0"/>
                <w:highlight w:val="none"/>
              </w:rPr>
              <w:t>公路设计企业信用评价等级时，引用交通运输部最新年度公路设计企业信用评价等级。</w:t>
            </w:r>
          </w:p>
          <w:p w14:paraId="4ADFA0A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③均无上述信用评价等级的，若无不良信用记录，按A级对待；若有不良信用记录，按B级及以下对待；</w:t>
            </w:r>
          </w:p>
          <w:p w14:paraId="6164D88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④如在交通运输部或安徽省交通运输厅最新年度等级评价公布日期之后，被交通运输部或安徽省交通运输厅通报降级的投标人的信用等级按通报等级执行。</w:t>
            </w:r>
          </w:p>
          <w:p w14:paraId="66421BC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⑤投标人在招标文件第六章投标文件格式中须提供设计单位信用评价等级截图，如未提供信用评价等级截图或提供的信用评价等级截图与投标人实际信用等级不符的，不予加分，评标时评标委员会保留现场核查权利。因未参与信用评价而无法提供信用评价等级截图的，需提供未参加信用评价的说明。</w:t>
            </w:r>
          </w:p>
          <w:p w14:paraId="6675683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eastAsia"/>
                <w:b/>
                <w:bCs/>
                <w:color w:val="auto"/>
                <w:spacing w:val="0"/>
                <w:w w:val="100"/>
                <w:position w:val="0"/>
                <w:highlight w:val="none"/>
                <w:lang w:val="en-US" w:eastAsia="zh-CN"/>
              </w:rPr>
              <w:t>如为联合体投标，以联合体中信用较低的单位确定信用评价等级。</w:t>
            </w:r>
          </w:p>
        </w:tc>
      </w:tr>
      <w:tr w14:paraId="7CA2D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62" w:type="dxa"/>
            <w:vMerge w:val="continue"/>
            <w:tcBorders>
              <w:left w:val="single" w:color="auto" w:sz="4" w:space="0"/>
              <w:right w:val="single" w:color="auto" w:sz="4" w:space="0"/>
            </w:tcBorders>
            <w:vAlign w:val="top"/>
          </w:tcPr>
          <w:p w14:paraId="6FAD296B">
            <w:pPr>
              <w:pStyle w:val="19"/>
              <w:keepNext w:val="0"/>
              <w:keepLines w:val="0"/>
              <w:widowControl/>
              <w:suppressLineNumbers w:val="0"/>
              <w:spacing w:before="69" w:beforeAutospacing="0" w:after="0" w:afterAutospacing="0" w:line="280" w:lineRule="exact"/>
              <w:ind w:left="0" w:right="0"/>
              <w:jc w:val="right"/>
              <w:rPr>
                <w:rFonts w:hint="default" w:ascii="Times New Roman" w:hAnsi="Times New Roman" w:eastAsia="Times New Roman" w:cs="Times New Roman"/>
                <w:color w:val="auto"/>
                <w:spacing w:val="0"/>
                <w:w w:val="100"/>
                <w:position w:val="0"/>
                <w:highlight w:val="none"/>
              </w:rPr>
            </w:pPr>
          </w:p>
        </w:tc>
        <w:tc>
          <w:tcPr>
            <w:tcW w:w="554" w:type="dxa"/>
            <w:vMerge w:val="continue"/>
            <w:tcBorders>
              <w:left w:val="single" w:color="auto" w:sz="4" w:space="0"/>
              <w:right w:val="single" w:color="auto" w:sz="4" w:space="0"/>
            </w:tcBorders>
            <w:textDirection w:val="tbRlV"/>
            <w:vAlign w:val="top"/>
          </w:tcPr>
          <w:p w14:paraId="2DCA8796">
            <w:pPr>
              <w:pStyle w:val="19"/>
              <w:keepNext w:val="0"/>
              <w:keepLines w:val="0"/>
              <w:widowControl/>
              <w:suppressLineNumbers w:val="0"/>
              <w:spacing w:before="162" w:beforeAutospacing="0" w:after="0" w:afterAutospacing="0" w:line="209" w:lineRule="auto"/>
              <w:ind w:left="6479" w:right="0"/>
              <w:rPr>
                <w:rFonts w:hint="default"/>
                <w:color w:val="auto"/>
                <w:spacing w:val="0"/>
                <w:w w:val="100"/>
                <w:position w:val="0"/>
                <w:highlight w:val="none"/>
              </w:rPr>
            </w:pPr>
          </w:p>
        </w:tc>
        <w:tc>
          <w:tcPr>
            <w:tcW w:w="557" w:type="dxa"/>
            <w:tcBorders>
              <w:top w:val="single" w:color="auto" w:sz="4" w:space="0"/>
              <w:left w:val="single" w:color="auto" w:sz="4" w:space="0"/>
              <w:right w:val="single" w:color="auto" w:sz="4" w:space="0"/>
            </w:tcBorders>
            <w:vAlign w:val="center"/>
          </w:tcPr>
          <w:p w14:paraId="57401454">
            <w:pPr>
              <w:pStyle w:val="19"/>
              <w:keepNext w:val="0"/>
              <w:keepLines w:val="0"/>
              <w:widowControl/>
              <w:suppressLineNumbers w:val="0"/>
              <w:spacing w:before="69" w:beforeAutospacing="0" w:after="0" w:afterAutospacing="0" w:line="221" w:lineRule="auto"/>
              <w:ind w:left="0" w:leftChars="0" w:right="0" w:rightChars="0"/>
              <w:jc w:val="center"/>
              <w:rPr>
                <w:rFonts w:hint="eastAsia"/>
                <w:color w:val="auto"/>
                <w:spacing w:val="0"/>
                <w:w w:val="100"/>
                <w:position w:val="0"/>
                <w:highlight w:val="none"/>
              </w:rPr>
            </w:pPr>
            <w:r>
              <w:rPr>
                <w:rFonts w:hint="eastAsia"/>
                <w:color w:val="auto"/>
                <w:spacing w:val="0"/>
                <w:w w:val="100"/>
                <w:position w:val="0"/>
                <w:highlight w:val="none"/>
              </w:rPr>
              <w:t>技术能力</w:t>
            </w:r>
          </w:p>
        </w:tc>
        <w:tc>
          <w:tcPr>
            <w:tcW w:w="1013" w:type="dxa"/>
            <w:tcBorders>
              <w:left w:val="single" w:color="auto" w:sz="4" w:space="0"/>
            </w:tcBorders>
            <w:vAlign w:val="center"/>
          </w:tcPr>
          <w:p w14:paraId="1CC3E388">
            <w:pPr>
              <w:pStyle w:val="19"/>
              <w:keepNext w:val="0"/>
              <w:keepLines w:val="0"/>
              <w:widowControl/>
              <w:suppressLineNumbers w:val="0"/>
              <w:spacing w:before="69" w:beforeAutospacing="0" w:after="0" w:afterAutospacing="0" w:line="221" w:lineRule="auto"/>
              <w:ind w:left="127" w:leftChars="0" w:right="0" w:rightChars="0"/>
              <w:jc w:val="center"/>
              <w:rPr>
                <w:rFonts w:hint="eastAsia"/>
                <w:color w:val="auto"/>
                <w:spacing w:val="0"/>
                <w:w w:val="100"/>
                <w:position w:val="0"/>
                <w:highlight w:val="none"/>
                <w:u w:val="single" w:color="auto"/>
                <w:lang w:val="en-US" w:eastAsia="zh-CN"/>
              </w:rPr>
            </w:pPr>
            <w:r>
              <w:rPr>
                <w:rFonts w:hint="eastAsia"/>
                <w:color w:val="auto"/>
                <w:spacing w:val="0"/>
                <w:w w:val="100"/>
                <w:position w:val="0"/>
                <w:highlight w:val="none"/>
                <w:u w:val="single" w:color="auto"/>
                <w:lang w:val="en-US" w:eastAsia="zh-CN"/>
              </w:rPr>
              <w:t>4</w:t>
            </w:r>
            <w:r>
              <w:rPr>
                <w:rFonts w:hint="eastAsia"/>
                <w:color w:val="auto"/>
                <w:spacing w:val="0"/>
                <w:w w:val="100"/>
                <w:position w:val="0"/>
                <w:highlight w:val="none"/>
                <w:u w:val="none" w:color="auto"/>
                <w:lang w:val="en-US" w:eastAsia="zh-CN"/>
              </w:rPr>
              <w:t>分</w:t>
            </w:r>
          </w:p>
        </w:tc>
        <w:tc>
          <w:tcPr>
            <w:tcW w:w="6237" w:type="dxa"/>
            <w:gridSpan w:val="3"/>
            <w:tcBorders>
              <w:bottom w:val="single" w:color="auto" w:sz="4" w:space="0"/>
            </w:tcBorders>
            <w:vAlign w:val="center"/>
          </w:tcPr>
          <w:p w14:paraId="256E43F4">
            <w:pPr>
              <w:pStyle w:val="19"/>
              <w:keepNext w:val="0"/>
              <w:keepLines w:val="0"/>
              <w:widowControl/>
              <w:suppressLineNumbers w:val="0"/>
              <w:spacing w:before="68" w:beforeAutospacing="0" w:after="0" w:afterAutospacing="0" w:line="221" w:lineRule="auto"/>
              <w:ind w:left="0" w:leftChars="0" w:right="0" w:rightChars="0"/>
              <w:jc w:val="both"/>
              <w:rPr>
                <w:rFonts w:hint="default"/>
                <w:color w:val="auto"/>
                <w:spacing w:val="0"/>
                <w:w w:val="100"/>
                <w:position w:val="0"/>
                <w:highlight w:val="none"/>
                <w:lang w:eastAsia="zh-CN"/>
              </w:rPr>
            </w:pPr>
            <w:r>
              <w:rPr>
                <w:rFonts w:hint="default"/>
                <w:color w:val="auto"/>
                <w:spacing w:val="0"/>
                <w:w w:val="100"/>
                <w:position w:val="0"/>
                <w:highlight w:val="none"/>
              </w:rPr>
              <w:t>投标人</w:t>
            </w:r>
            <w:r>
              <w:rPr>
                <w:rFonts w:hint="default"/>
                <w:color w:val="auto"/>
                <w:spacing w:val="0"/>
                <w:w w:val="100"/>
                <w:position w:val="0"/>
                <w:highlight w:val="none"/>
                <w:lang w:val="en-US" w:eastAsia="zh-CN"/>
              </w:rPr>
              <w:t>具有下列技术能力的，</w:t>
            </w:r>
            <w:r>
              <w:rPr>
                <w:rFonts w:hint="default"/>
                <w:color w:val="auto"/>
                <w:spacing w:val="0"/>
                <w:w w:val="100"/>
                <w:position w:val="0"/>
                <w:highlight w:val="none"/>
              </w:rPr>
              <w:t>每有一个得2分，最多得4分</w:t>
            </w:r>
            <w:r>
              <w:rPr>
                <w:rFonts w:hint="default"/>
                <w:color w:val="auto"/>
                <w:spacing w:val="0"/>
                <w:w w:val="100"/>
                <w:position w:val="0"/>
                <w:highlight w:val="none"/>
                <w:lang w:eastAsia="zh-CN"/>
              </w:rPr>
              <w:t>：</w:t>
            </w:r>
          </w:p>
          <w:p w14:paraId="59916AC6">
            <w:pPr>
              <w:pStyle w:val="19"/>
              <w:keepNext w:val="0"/>
              <w:keepLines w:val="0"/>
              <w:widowControl/>
              <w:suppressLineNumbers w:val="0"/>
              <w:spacing w:before="68" w:beforeAutospacing="0" w:after="0" w:afterAutospacing="0" w:line="221" w:lineRule="auto"/>
              <w:ind w:left="0" w:leftChars="0" w:right="0" w:rightChars="0"/>
              <w:jc w:val="both"/>
              <w:rPr>
                <w:rFonts w:hint="default"/>
                <w:color w:val="auto"/>
                <w:spacing w:val="0"/>
                <w:w w:val="100"/>
                <w:position w:val="0"/>
                <w:highlight w:val="none"/>
                <w:lang w:eastAsia="zh-CN"/>
              </w:rPr>
            </w:pPr>
            <w:r>
              <w:rPr>
                <w:rFonts w:hint="default"/>
                <w:color w:val="auto"/>
                <w:spacing w:val="0"/>
                <w:w w:val="100"/>
                <w:position w:val="0"/>
                <w:highlight w:val="none"/>
                <w:lang w:val="en-US" w:eastAsia="zh-CN"/>
              </w:rPr>
              <w:t>①</w:t>
            </w:r>
            <w:r>
              <w:rPr>
                <w:rFonts w:hint="default"/>
                <w:color w:val="auto"/>
                <w:spacing w:val="0"/>
                <w:w w:val="100"/>
                <w:position w:val="0"/>
                <w:highlight w:val="none"/>
              </w:rPr>
              <w:t>获得相关的</w:t>
            </w:r>
            <w:r>
              <w:rPr>
                <w:rFonts w:hint="default"/>
                <w:color w:val="auto"/>
                <w:spacing w:val="0"/>
                <w:w w:val="100"/>
                <w:position w:val="0"/>
                <w:highlight w:val="none"/>
                <w:lang w:val="en-US" w:eastAsia="zh-CN"/>
              </w:rPr>
              <w:t>专利</w:t>
            </w:r>
            <w:r>
              <w:rPr>
                <w:rFonts w:hint="default"/>
                <w:color w:val="auto"/>
                <w:spacing w:val="0"/>
                <w:w w:val="100"/>
                <w:position w:val="0"/>
                <w:highlight w:val="none"/>
              </w:rPr>
              <w:t>（发明专利或实用新型专利）</w:t>
            </w:r>
            <w:r>
              <w:rPr>
                <w:rFonts w:hint="default"/>
                <w:color w:val="auto"/>
                <w:spacing w:val="0"/>
                <w:w w:val="100"/>
                <w:position w:val="0"/>
                <w:highlight w:val="none"/>
                <w:lang w:val="en-US" w:eastAsia="zh-CN"/>
              </w:rPr>
              <w:t>的</w:t>
            </w:r>
            <w:r>
              <w:rPr>
                <w:rFonts w:hint="default"/>
                <w:color w:val="auto"/>
                <w:spacing w:val="0"/>
                <w:w w:val="100"/>
                <w:position w:val="0"/>
                <w:highlight w:val="none"/>
                <w:lang w:eastAsia="zh-CN"/>
              </w:rPr>
              <w:t>；</w:t>
            </w:r>
          </w:p>
          <w:p w14:paraId="2ABD5FEE">
            <w:pPr>
              <w:pStyle w:val="19"/>
              <w:keepNext w:val="0"/>
              <w:keepLines w:val="0"/>
              <w:widowControl/>
              <w:suppressLineNumbers w:val="0"/>
              <w:spacing w:before="68" w:beforeAutospacing="0" w:after="0" w:afterAutospacing="0" w:line="221" w:lineRule="auto"/>
              <w:ind w:left="0" w:leftChars="0" w:right="0" w:rightChars="0"/>
              <w:jc w:val="both"/>
              <w:rPr>
                <w:rFonts w:hint="default"/>
                <w:color w:val="auto"/>
                <w:spacing w:val="0"/>
                <w:w w:val="100"/>
                <w:position w:val="0"/>
                <w:highlight w:val="none"/>
                <w:lang w:eastAsia="zh-CN"/>
              </w:rPr>
            </w:pPr>
            <w:r>
              <w:rPr>
                <w:rFonts w:hint="default"/>
                <w:color w:val="auto"/>
                <w:spacing w:val="0"/>
                <w:w w:val="100"/>
                <w:position w:val="0"/>
                <w:highlight w:val="none"/>
                <w:lang w:val="en-US" w:eastAsia="zh-CN"/>
              </w:rPr>
              <w:t>②获得</w:t>
            </w:r>
            <w:r>
              <w:rPr>
                <w:rFonts w:hint="default"/>
                <w:color w:val="auto"/>
                <w:spacing w:val="0"/>
                <w:w w:val="100"/>
                <w:position w:val="0"/>
                <w:highlight w:val="none"/>
              </w:rPr>
              <w:t>国家或省级科学技术进步奖</w:t>
            </w:r>
            <w:r>
              <w:rPr>
                <w:rFonts w:hint="eastAsia"/>
                <w:color w:val="auto"/>
                <w:spacing w:val="0"/>
                <w:w w:val="100"/>
                <w:position w:val="0"/>
                <w:highlight w:val="none"/>
                <w:lang w:eastAsia="zh-CN"/>
              </w:rPr>
              <w:t>（</w:t>
            </w:r>
            <w:r>
              <w:rPr>
                <w:rFonts w:hint="eastAsia"/>
                <w:color w:val="auto"/>
                <w:spacing w:val="0"/>
                <w:w w:val="100"/>
                <w:position w:val="0"/>
                <w:highlight w:val="none"/>
                <w:lang w:val="en-US" w:eastAsia="zh-CN"/>
              </w:rPr>
              <w:t>或科学技术奖）</w:t>
            </w:r>
            <w:r>
              <w:rPr>
                <w:rFonts w:hint="default"/>
                <w:color w:val="auto"/>
                <w:spacing w:val="0"/>
                <w:w w:val="100"/>
                <w:position w:val="0"/>
                <w:highlight w:val="none"/>
                <w:lang w:val="en-US" w:eastAsia="zh-CN"/>
              </w:rPr>
              <w:t>的</w:t>
            </w:r>
            <w:r>
              <w:rPr>
                <w:rFonts w:hint="default"/>
                <w:color w:val="auto"/>
                <w:spacing w:val="0"/>
                <w:w w:val="100"/>
                <w:position w:val="0"/>
                <w:highlight w:val="none"/>
                <w:lang w:eastAsia="zh-CN"/>
              </w:rPr>
              <w:t>；</w:t>
            </w:r>
          </w:p>
          <w:p w14:paraId="0EE44BAD">
            <w:pPr>
              <w:pStyle w:val="19"/>
              <w:keepNext w:val="0"/>
              <w:keepLines w:val="0"/>
              <w:widowControl/>
              <w:suppressLineNumbers w:val="0"/>
              <w:spacing w:before="68" w:beforeAutospacing="0" w:after="0" w:afterAutospacing="0" w:line="221" w:lineRule="auto"/>
              <w:ind w:left="0" w:leftChars="0" w:right="0" w:rightChars="0"/>
              <w:jc w:val="both"/>
              <w:rPr>
                <w:rFonts w:hint="default"/>
                <w:color w:val="auto"/>
                <w:spacing w:val="0"/>
                <w:w w:val="100"/>
                <w:position w:val="0"/>
                <w:highlight w:val="none"/>
              </w:rPr>
            </w:pPr>
            <w:r>
              <w:rPr>
                <w:rFonts w:hint="default"/>
                <w:color w:val="auto"/>
                <w:spacing w:val="0"/>
                <w:w w:val="100"/>
                <w:position w:val="0"/>
                <w:highlight w:val="none"/>
                <w:lang w:val="en-US" w:eastAsia="zh-CN"/>
              </w:rPr>
              <w:t>③</w:t>
            </w:r>
            <w:r>
              <w:rPr>
                <w:rFonts w:hint="default"/>
                <w:color w:val="auto"/>
                <w:spacing w:val="0"/>
                <w:w w:val="100"/>
                <w:position w:val="0"/>
                <w:highlight w:val="none"/>
              </w:rPr>
              <w:t>投标人主编或参编过的国家、行业或地方标准</w:t>
            </w:r>
            <w:r>
              <w:rPr>
                <w:rFonts w:hint="default"/>
                <w:color w:val="auto"/>
                <w:spacing w:val="0"/>
                <w:w w:val="100"/>
                <w:position w:val="0"/>
                <w:highlight w:val="none"/>
                <w:lang w:val="en-US" w:eastAsia="zh-CN"/>
              </w:rPr>
              <w:t>的</w:t>
            </w:r>
            <w:r>
              <w:rPr>
                <w:rFonts w:hint="default"/>
                <w:color w:val="auto"/>
                <w:spacing w:val="0"/>
                <w:w w:val="100"/>
                <w:position w:val="0"/>
                <w:highlight w:val="none"/>
              </w:rPr>
              <w:t>。</w:t>
            </w:r>
          </w:p>
          <w:p w14:paraId="56AF7535">
            <w:pPr>
              <w:pStyle w:val="19"/>
              <w:keepNext w:val="0"/>
              <w:keepLines w:val="0"/>
              <w:widowControl/>
              <w:suppressLineNumbers w:val="0"/>
              <w:spacing w:before="68" w:beforeAutospacing="0" w:after="0" w:afterAutospacing="0" w:line="221" w:lineRule="auto"/>
              <w:ind w:left="0" w:leftChars="0" w:right="0" w:rightChars="0"/>
              <w:jc w:val="both"/>
              <w:rPr>
                <w:rFonts w:hint="default"/>
                <w:color w:val="auto"/>
                <w:spacing w:val="0"/>
                <w:w w:val="100"/>
                <w:position w:val="0"/>
                <w:highlight w:val="none"/>
                <w:lang w:val="en-US" w:eastAsia="zh-CN"/>
              </w:rPr>
            </w:pPr>
            <w:r>
              <w:rPr>
                <w:rFonts w:hint="default"/>
                <w:color w:val="auto"/>
                <w:spacing w:val="0"/>
                <w:w w:val="100"/>
                <w:position w:val="0"/>
                <w:highlight w:val="none"/>
                <w:lang w:val="en-US" w:eastAsia="zh-CN"/>
              </w:rPr>
              <w:t>注：投标文件须提供证书或相关证明材料。</w:t>
            </w:r>
          </w:p>
        </w:tc>
      </w:tr>
      <w:tr w14:paraId="238006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62" w:type="dxa"/>
            <w:vMerge w:val="continue"/>
            <w:tcBorders>
              <w:left w:val="single" w:color="auto" w:sz="4" w:space="0"/>
              <w:right w:val="single" w:color="auto" w:sz="4" w:space="0"/>
            </w:tcBorders>
            <w:vAlign w:val="top"/>
          </w:tcPr>
          <w:p w14:paraId="4B07A5A8">
            <w:pPr>
              <w:pStyle w:val="19"/>
              <w:keepNext w:val="0"/>
              <w:keepLines w:val="0"/>
              <w:widowControl/>
              <w:suppressLineNumbers w:val="0"/>
              <w:spacing w:before="69" w:beforeAutospacing="0" w:after="0" w:afterAutospacing="0" w:line="280" w:lineRule="exact"/>
              <w:ind w:left="0" w:right="0"/>
              <w:jc w:val="right"/>
              <w:rPr>
                <w:rFonts w:hint="default" w:ascii="Times New Roman" w:hAnsi="Times New Roman" w:eastAsia="Times New Roman" w:cs="Times New Roman"/>
                <w:color w:val="auto"/>
                <w:spacing w:val="0"/>
                <w:w w:val="100"/>
                <w:position w:val="0"/>
                <w:highlight w:val="none"/>
              </w:rPr>
            </w:pPr>
          </w:p>
        </w:tc>
        <w:tc>
          <w:tcPr>
            <w:tcW w:w="554" w:type="dxa"/>
            <w:vMerge w:val="continue"/>
            <w:tcBorders>
              <w:left w:val="single" w:color="auto" w:sz="4" w:space="0"/>
              <w:right w:val="single" w:color="auto" w:sz="4" w:space="0"/>
            </w:tcBorders>
            <w:textDirection w:val="tbRlV"/>
            <w:vAlign w:val="top"/>
          </w:tcPr>
          <w:p w14:paraId="24D9A857">
            <w:pPr>
              <w:pStyle w:val="19"/>
              <w:keepNext w:val="0"/>
              <w:keepLines w:val="0"/>
              <w:widowControl/>
              <w:suppressLineNumbers w:val="0"/>
              <w:spacing w:before="162" w:beforeAutospacing="0" w:after="0" w:afterAutospacing="0" w:line="209" w:lineRule="auto"/>
              <w:ind w:left="6479" w:right="0"/>
              <w:rPr>
                <w:rFonts w:hint="default"/>
                <w:color w:val="auto"/>
                <w:spacing w:val="0"/>
                <w:w w:val="100"/>
                <w:position w:val="0"/>
                <w:highlight w:val="none"/>
              </w:rPr>
            </w:pPr>
          </w:p>
        </w:tc>
        <w:tc>
          <w:tcPr>
            <w:tcW w:w="557" w:type="dxa"/>
            <w:tcBorders>
              <w:top w:val="single" w:color="auto" w:sz="4" w:space="0"/>
              <w:left w:val="single" w:color="auto" w:sz="4" w:space="0"/>
              <w:bottom w:val="single" w:color="auto" w:sz="4" w:space="0"/>
              <w:right w:val="single" w:color="auto" w:sz="4" w:space="0"/>
            </w:tcBorders>
            <w:vAlign w:val="center"/>
          </w:tcPr>
          <w:p w14:paraId="00CA12CB">
            <w:pPr>
              <w:pStyle w:val="19"/>
              <w:keepNext w:val="0"/>
              <w:keepLines w:val="0"/>
              <w:widowControl/>
              <w:suppressLineNumbers w:val="0"/>
              <w:spacing w:before="69" w:beforeAutospacing="0" w:after="0" w:afterAutospacing="0" w:line="221" w:lineRule="auto"/>
              <w:ind w:left="0" w:right="0"/>
              <w:jc w:val="center"/>
              <w:rPr>
                <w:rFonts w:hint="eastAsia" w:eastAsia="宋体"/>
                <w:color w:val="auto"/>
                <w:spacing w:val="0"/>
                <w:w w:val="100"/>
                <w:position w:val="0"/>
                <w:highlight w:val="none"/>
                <w:lang w:val="en-US" w:eastAsia="zh-CN"/>
              </w:rPr>
            </w:pPr>
            <w:r>
              <w:rPr>
                <w:rFonts w:hint="eastAsia"/>
                <w:color w:val="auto"/>
                <w:spacing w:val="0"/>
                <w:w w:val="100"/>
                <w:position w:val="0"/>
                <w:highlight w:val="none"/>
                <w:lang w:val="en-US" w:eastAsia="zh-CN"/>
              </w:rPr>
              <w:t>获奖</w:t>
            </w:r>
          </w:p>
        </w:tc>
        <w:tc>
          <w:tcPr>
            <w:tcW w:w="1013" w:type="dxa"/>
            <w:tcBorders>
              <w:left w:val="single" w:color="auto" w:sz="4" w:space="0"/>
            </w:tcBorders>
            <w:vAlign w:val="center"/>
          </w:tcPr>
          <w:p w14:paraId="4F4A45DD">
            <w:pPr>
              <w:pStyle w:val="19"/>
              <w:keepNext w:val="0"/>
              <w:keepLines w:val="0"/>
              <w:widowControl/>
              <w:suppressLineNumbers w:val="0"/>
              <w:spacing w:before="69" w:beforeAutospacing="0" w:after="0" w:afterAutospacing="0" w:line="221" w:lineRule="auto"/>
              <w:ind w:left="127" w:right="0"/>
              <w:jc w:val="center"/>
              <w:rPr>
                <w:rFonts w:hint="eastAsia"/>
                <w:color w:val="auto"/>
                <w:spacing w:val="0"/>
                <w:w w:val="100"/>
                <w:position w:val="0"/>
                <w:highlight w:val="none"/>
                <w:u w:val="single" w:color="auto"/>
                <w:lang w:val="en-US" w:eastAsia="zh-CN"/>
              </w:rPr>
            </w:pPr>
            <w:r>
              <w:rPr>
                <w:rFonts w:hint="eastAsia"/>
                <w:color w:val="auto"/>
                <w:spacing w:val="0"/>
                <w:w w:val="100"/>
                <w:position w:val="0"/>
                <w:highlight w:val="none"/>
                <w:u w:val="single" w:color="auto"/>
                <w:lang w:val="en-US" w:eastAsia="zh-CN"/>
              </w:rPr>
              <w:t>9</w:t>
            </w:r>
            <w:r>
              <w:rPr>
                <w:rFonts w:hint="eastAsia"/>
                <w:color w:val="auto"/>
                <w:spacing w:val="0"/>
                <w:w w:val="100"/>
                <w:position w:val="0"/>
                <w:highlight w:val="none"/>
                <w:u w:val="none" w:color="auto"/>
                <w:lang w:val="en-US" w:eastAsia="zh-CN"/>
              </w:rPr>
              <w:t>分</w:t>
            </w:r>
          </w:p>
        </w:tc>
        <w:tc>
          <w:tcPr>
            <w:tcW w:w="6237" w:type="dxa"/>
            <w:gridSpan w:val="3"/>
            <w:tcBorders>
              <w:bottom w:val="single" w:color="auto" w:sz="4" w:space="0"/>
            </w:tcBorders>
            <w:vAlign w:val="center"/>
          </w:tcPr>
          <w:p w14:paraId="515E441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（1）投标人承担</w:t>
            </w:r>
            <w:r>
              <w:rPr>
                <w:rFonts w:hint="default"/>
                <w:color w:val="auto"/>
                <w:spacing w:val="0"/>
                <w:w w:val="100"/>
                <w:position w:val="0"/>
                <w:highlight w:val="none"/>
                <w:lang w:val="en-US" w:eastAsia="zh-CN"/>
              </w:rPr>
              <w:t>的</w:t>
            </w:r>
            <w:r>
              <w:rPr>
                <w:rFonts w:hint="eastAsia"/>
                <w:color w:val="auto"/>
                <w:spacing w:val="0"/>
                <w:w w:val="100"/>
                <w:position w:val="0"/>
                <w:highlight w:val="none"/>
                <w:lang w:val="en-US" w:eastAsia="zh-CN"/>
              </w:rPr>
              <w:t>国内</w:t>
            </w:r>
            <w:r>
              <w:rPr>
                <w:rFonts w:hint="default"/>
                <w:color w:val="auto"/>
                <w:spacing w:val="0"/>
                <w:w w:val="100"/>
                <w:position w:val="0"/>
                <w:highlight w:val="none"/>
                <w:lang w:val="en-US" w:eastAsia="zh-CN"/>
              </w:rPr>
              <w:t>高速公路勘察设计项目</w:t>
            </w:r>
            <w:r>
              <w:rPr>
                <w:rFonts w:hint="eastAsia"/>
                <w:color w:val="auto"/>
                <w:spacing w:val="0"/>
                <w:w w:val="100"/>
                <w:position w:val="0"/>
                <w:highlight w:val="none"/>
                <w:lang w:val="en-US" w:eastAsia="zh-CN"/>
              </w:rPr>
              <w:t>在2019年1月1日</w:t>
            </w:r>
            <w:r>
              <w:rPr>
                <w:rFonts w:hint="default"/>
                <w:color w:val="auto"/>
                <w:spacing w:val="0"/>
                <w:w w:val="100"/>
                <w:position w:val="0"/>
                <w:sz w:val="21"/>
                <w:szCs w:val="21"/>
                <w:highlight w:val="none"/>
                <w:lang w:val="en-US" w:eastAsia="zh-CN"/>
              </w:rPr>
              <w:t>至投标截止时间</w:t>
            </w:r>
            <w:r>
              <w:rPr>
                <w:rFonts w:hint="default"/>
                <w:color w:val="auto"/>
                <w:spacing w:val="0"/>
                <w:w w:val="100"/>
                <w:position w:val="0"/>
                <w:highlight w:val="none"/>
              </w:rPr>
              <w:t>获得中国公路勘察设计协会</w:t>
            </w:r>
            <w:r>
              <w:rPr>
                <w:rFonts w:hint="eastAsia"/>
                <w:color w:val="auto"/>
                <w:spacing w:val="0"/>
                <w:w w:val="100"/>
                <w:position w:val="0"/>
                <w:highlight w:val="none"/>
                <w:lang w:val="en-US" w:eastAsia="zh-CN"/>
              </w:rPr>
              <w:t>颁发的公路交通</w:t>
            </w:r>
            <w:r>
              <w:rPr>
                <w:rFonts w:hint="default"/>
                <w:color w:val="auto"/>
                <w:spacing w:val="0"/>
                <w:w w:val="100"/>
                <w:position w:val="0"/>
                <w:highlight w:val="none"/>
              </w:rPr>
              <w:t>优秀勘察</w:t>
            </w:r>
            <w:r>
              <w:rPr>
                <w:rFonts w:hint="eastAsia"/>
                <w:color w:val="auto"/>
                <w:spacing w:val="0"/>
                <w:w w:val="100"/>
                <w:position w:val="0"/>
                <w:highlight w:val="none"/>
                <w:lang w:val="en-US" w:eastAsia="zh-CN"/>
              </w:rPr>
              <w:t>一等奖</w:t>
            </w:r>
            <w:r>
              <w:rPr>
                <w:rFonts w:hint="default"/>
                <w:color w:val="auto"/>
                <w:spacing w:val="0"/>
                <w:w w:val="100"/>
                <w:position w:val="0"/>
                <w:highlight w:val="none"/>
              </w:rPr>
              <w:t>或优秀设计奖</w:t>
            </w:r>
            <w:r>
              <w:rPr>
                <w:rFonts w:hint="eastAsia"/>
                <w:color w:val="auto"/>
                <w:spacing w:val="0"/>
                <w:w w:val="100"/>
                <w:position w:val="0"/>
                <w:highlight w:val="none"/>
                <w:lang w:val="en-US" w:eastAsia="zh-CN"/>
              </w:rPr>
              <w:t>一等奖</w:t>
            </w:r>
            <w:r>
              <w:rPr>
                <w:rFonts w:hint="default"/>
                <w:color w:val="auto"/>
                <w:spacing w:val="0"/>
                <w:w w:val="100"/>
                <w:position w:val="0"/>
                <w:highlight w:val="none"/>
              </w:rPr>
              <w:t>的，每个加</w:t>
            </w:r>
            <w:r>
              <w:rPr>
                <w:rFonts w:hint="eastAsia"/>
                <w:color w:val="auto"/>
                <w:spacing w:val="0"/>
                <w:w w:val="100"/>
                <w:position w:val="0"/>
                <w:highlight w:val="none"/>
                <w:lang w:val="en-US" w:eastAsia="zh-CN"/>
              </w:rPr>
              <w:t>1.5</w:t>
            </w:r>
            <w:r>
              <w:rPr>
                <w:rFonts w:hint="default"/>
                <w:color w:val="auto"/>
                <w:spacing w:val="0"/>
                <w:w w:val="100"/>
                <w:position w:val="0"/>
                <w:highlight w:val="none"/>
              </w:rPr>
              <w:t>分，最高加</w:t>
            </w:r>
            <w:r>
              <w:rPr>
                <w:rFonts w:hint="eastAsia"/>
                <w:color w:val="auto"/>
                <w:spacing w:val="0"/>
                <w:w w:val="100"/>
                <w:position w:val="0"/>
                <w:highlight w:val="none"/>
                <w:lang w:val="en-US" w:eastAsia="zh-CN"/>
              </w:rPr>
              <w:t>3</w:t>
            </w:r>
            <w:r>
              <w:rPr>
                <w:rFonts w:hint="default"/>
                <w:color w:val="auto"/>
                <w:spacing w:val="0"/>
                <w:w w:val="100"/>
                <w:position w:val="0"/>
                <w:highlight w:val="none"/>
              </w:rPr>
              <w:t>分；</w:t>
            </w:r>
          </w:p>
          <w:p w14:paraId="68DB575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（2）投标人</w:t>
            </w:r>
            <w:r>
              <w:rPr>
                <w:rFonts w:hint="eastAsia"/>
                <w:color w:val="auto"/>
                <w:spacing w:val="0"/>
                <w:w w:val="100"/>
                <w:position w:val="0"/>
                <w:highlight w:val="none"/>
                <w:lang w:val="en-US" w:eastAsia="zh-CN"/>
              </w:rPr>
              <w:t>参与设计</w:t>
            </w:r>
            <w:r>
              <w:rPr>
                <w:rFonts w:hint="default"/>
                <w:color w:val="auto"/>
                <w:spacing w:val="0"/>
                <w:w w:val="100"/>
                <w:position w:val="0"/>
                <w:highlight w:val="none"/>
              </w:rPr>
              <w:t>的</w:t>
            </w:r>
            <w:r>
              <w:rPr>
                <w:rFonts w:hint="eastAsia"/>
                <w:color w:val="auto"/>
                <w:spacing w:val="0"/>
                <w:w w:val="100"/>
                <w:position w:val="0"/>
                <w:highlight w:val="none"/>
                <w:lang w:val="en-US" w:eastAsia="zh-CN"/>
              </w:rPr>
              <w:t>里程数30km及以上（含工可、初设、施工图设计）的国内</w:t>
            </w:r>
            <w:r>
              <w:rPr>
                <w:rFonts w:hint="default"/>
                <w:color w:val="auto"/>
                <w:spacing w:val="0"/>
                <w:w w:val="100"/>
                <w:position w:val="0"/>
                <w:highlight w:val="none"/>
                <w:lang w:val="en-US" w:eastAsia="zh-CN"/>
              </w:rPr>
              <w:t>高速公路</w:t>
            </w:r>
            <w:r>
              <w:rPr>
                <w:rFonts w:hint="eastAsia"/>
                <w:color w:val="auto"/>
                <w:spacing w:val="0"/>
                <w:w w:val="100"/>
                <w:position w:val="0"/>
                <w:highlight w:val="none"/>
                <w:lang w:val="en-US" w:eastAsia="zh-CN"/>
              </w:rPr>
              <w:t>在2019年1月1日</w:t>
            </w:r>
            <w:r>
              <w:rPr>
                <w:rFonts w:hint="default"/>
                <w:color w:val="auto"/>
                <w:spacing w:val="0"/>
                <w:w w:val="100"/>
                <w:position w:val="0"/>
                <w:sz w:val="21"/>
                <w:szCs w:val="21"/>
                <w:highlight w:val="none"/>
                <w:lang w:val="en-US" w:eastAsia="zh-CN"/>
              </w:rPr>
              <w:t>至投标截止时间</w:t>
            </w:r>
            <w:r>
              <w:rPr>
                <w:rFonts w:hint="default"/>
                <w:color w:val="auto"/>
                <w:spacing w:val="0"/>
                <w:w w:val="100"/>
                <w:position w:val="0"/>
                <w:highlight w:val="none"/>
              </w:rPr>
              <w:t>获得</w:t>
            </w:r>
            <w:r>
              <w:rPr>
                <w:rFonts w:hint="eastAsia"/>
                <w:color w:val="auto"/>
                <w:spacing w:val="0"/>
                <w:w w:val="100"/>
                <w:position w:val="0"/>
                <w:highlight w:val="none"/>
              </w:rPr>
              <w:t>中国建设工程鲁班奖（建筑工程鲁班奖）或</w:t>
            </w:r>
            <w:r>
              <w:rPr>
                <w:rFonts w:hint="default"/>
                <w:color w:val="auto"/>
                <w:spacing w:val="0"/>
                <w:w w:val="100"/>
                <w:position w:val="0"/>
                <w:highlight w:val="none"/>
              </w:rPr>
              <w:t>中国土木工程詹天佑奖的，每个加</w:t>
            </w:r>
            <w:r>
              <w:rPr>
                <w:rFonts w:hint="eastAsia"/>
                <w:color w:val="auto"/>
                <w:spacing w:val="0"/>
                <w:w w:val="100"/>
                <w:position w:val="0"/>
                <w:highlight w:val="none"/>
                <w:lang w:val="en-US" w:eastAsia="zh-CN"/>
              </w:rPr>
              <w:t>2</w:t>
            </w:r>
            <w:r>
              <w:rPr>
                <w:rFonts w:hint="default"/>
                <w:color w:val="auto"/>
                <w:spacing w:val="0"/>
                <w:w w:val="100"/>
                <w:position w:val="0"/>
                <w:highlight w:val="none"/>
              </w:rPr>
              <w:t>分，最高加</w:t>
            </w:r>
            <w:r>
              <w:rPr>
                <w:rFonts w:hint="eastAsia"/>
                <w:color w:val="auto"/>
                <w:spacing w:val="0"/>
                <w:w w:val="100"/>
                <w:position w:val="0"/>
                <w:highlight w:val="none"/>
                <w:lang w:val="en-US" w:eastAsia="zh-CN"/>
              </w:rPr>
              <w:t>6</w:t>
            </w:r>
            <w:r>
              <w:rPr>
                <w:rFonts w:hint="default"/>
                <w:color w:val="auto"/>
                <w:spacing w:val="0"/>
                <w:w w:val="100"/>
                <w:position w:val="0"/>
                <w:highlight w:val="none"/>
              </w:rPr>
              <w:t>分。</w:t>
            </w:r>
          </w:p>
          <w:p w14:paraId="747BC4E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b/>
                <w:bCs/>
                <w:color w:val="auto"/>
                <w:spacing w:val="0"/>
                <w:w w:val="100"/>
                <w:position w:val="0"/>
                <w:sz w:val="21"/>
                <w:szCs w:val="21"/>
                <w:highlight w:val="none"/>
              </w:rPr>
            </w:pPr>
            <w:r>
              <w:rPr>
                <w:rFonts w:hint="default"/>
                <w:b/>
                <w:bCs/>
                <w:color w:val="auto"/>
                <w:spacing w:val="0"/>
                <w:w w:val="100"/>
                <w:position w:val="0"/>
                <w:sz w:val="21"/>
                <w:szCs w:val="21"/>
                <w:highlight w:val="none"/>
              </w:rPr>
              <w:t>注：</w:t>
            </w:r>
            <w:r>
              <w:rPr>
                <w:rFonts w:hint="eastAsia"/>
                <w:b/>
                <w:bCs/>
                <w:color w:val="auto"/>
                <w:spacing w:val="0"/>
                <w:w w:val="100"/>
                <w:position w:val="0"/>
                <w:sz w:val="21"/>
                <w:szCs w:val="21"/>
                <w:highlight w:val="none"/>
                <w:lang w:val="en-US" w:eastAsia="zh-CN"/>
              </w:rPr>
              <w:t xml:space="preserve">（1）同一项目同时获得不同类型奖项不累计得分； </w:t>
            </w:r>
          </w:p>
          <w:p w14:paraId="41650D16">
            <w:pPr>
              <w:pStyle w:val="19"/>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leftChars="0" w:right="45" w:rightChars="0"/>
              <w:jc w:val="both"/>
              <w:textAlignment w:val="baseline"/>
              <w:rPr>
                <w:rFonts w:hint="eastAsia"/>
                <w:b/>
                <w:bCs/>
                <w:color w:val="auto"/>
                <w:spacing w:val="0"/>
                <w:w w:val="100"/>
                <w:position w:val="0"/>
                <w:sz w:val="21"/>
                <w:szCs w:val="21"/>
                <w:highlight w:val="none"/>
                <w:lang w:val="en-US" w:eastAsia="zh-CN"/>
              </w:rPr>
            </w:pPr>
            <w:r>
              <w:rPr>
                <w:rFonts w:hint="eastAsia" w:ascii="宋体" w:hAnsi="宋体" w:eastAsia="宋体" w:cs="宋体"/>
                <w:b/>
                <w:bCs/>
                <w:snapToGrid w:val="0"/>
                <w:color w:val="auto"/>
                <w:spacing w:val="0"/>
                <w:w w:val="100"/>
                <w:kern w:val="0"/>
                <w:position w:val="0"/>
                <w:sz w:val="21"/>
                <w:szCs w:val="21"/>
                <w:highlight w:val="none"/>
                <w:lang w:val="en-US" w:eastAsia="zh-CN" w:bidi="ar-SA"/>
              </w:rPr>
              <w:t>（2）</w:t>
            </w:r>
            <w:r>
              <w:rPr>
                <w:rFonts w:hint="eastAsia"/>
                <w:b/>
                <w:bCs/>
                <w:color w:val="auto"/>
                <w:spacing w:val="0"/>
                <w:w w:val="100"/>
                <w:position w:val="0"/>
                <w:sz w:val="21"/>
                <w:szCs w:val="21"/>
                <w:highlight w:val="none"/>
                <w:lang w:val="en-US" w:eastAsia="zh-CN"/>
              </w:rPr>
              <w:t>投标文件中须附获奖证书或获奖文件扫描件或官方网站发布获奖文件截图，且获奖证书或获奖文件扫描件或官方网站发布获奖文件截图中需体现投标人名称，同时须提供获奖项目合同或在交通运输部“全国公路建设市场监督管理系统”或省级交通运输主管部门“公路建设市场信用信息管理系统”中的业绩截图，否则评标委员会不予计分；</w:t>
            </w:r>
          </w:p>
          <w:p w14:paraId="1F0CEBFA">
            <w:pPr>
              <w:pStyle w:val="19"/>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45" w:rightChars="0"/>
              <w:jc w:val="both"/>
              <w:textAlignment w:val="baseline"/>
              <w:rPr>
                <w:rFonts w:hint="eastAsia"/>
                <w:b/>
                <w:bCs/>
                <w:color w:val="auto"/>
                <w:spacing w:val="0"/>
                <w:w w:val="100"/>
                <w:position w:val="0"/>
                <w:sz w:val="21"/>
                <w:szCs w:val="21"/>
                <w:highlight w:val="none"/>
                <w:lang w:val="en-US" w:eastAsia="zh-CN"/>
              </w:rPr>
            </w:pPr>
            <w:r>
              <w:rPr>
                <w:rFonts w:hint="eastAsia"/>
                <w:b/>
                <w:bCs/>
                <w:color w:val="auto"/>
                <w:spacing w:val="0"/>
                <w:w w:val="100"/>
                <w:position w:val="0"/>
                <w:sz w:val="21"/>
                <w:szCs w:val="21"/>
                <w:highlight w:val="none"/>
                <w:lang w:val="en-US" w:eastAsia="zh-CN"/>
              </w:rPr>
              <w:t>若该项目的获奖证书或获奖文件扫描件或官方网站发布获奖文件截图中不体现投标人名称的，须另附获奖项目勘察设计中标通知书或合同协议书或项目单位出具的盖章证明材料。</w:t>
            </w:r>
          </w:p>
          <w:p w14:paraId="2F5A37D6">
            <w:pPr>
              <w:pStyle w:val="19"/>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leftChars="0" w:right="45" w:rightChars="0" w:firstLine="0" w:firstLineChars="0"/>
              <w:jc w:val="both"/>
              <w:textAlignment w:val="baseline"/>
              <w:rPr>
                <w:rFonts w:hint="default"/>
                <w:b/>
                <w:bCs/>
                <w:color w:val="auto"/>
                <w:spacing w:val="0"/>
                <w:w w:val="100"/>
                <w:position w:val="0"/>
                <w:sz w:val="21"/>
                <w:szCs w:val="21"/>
                <w:highlight w:val="none"/>
              </w:rPr>
            </w:pPr>
            <w:r>
              <w:rPr>
                <w:rFonts w:hint="default" w:ascii="宋体" w:hAnsi="宋体" w:eastAsia="宋体" w:cs="宋体"/>
                <w:b/>
                <w:bCs/>
                <w:snapToGrid w:val="0"/>
                <w:color w:val="auto"/>
                <w:spacing w:val="0"/>
                <w:w w:val="100"/>
                <w:kern w:val="0"/>
                <w:position w:val="0"/>
                <w:sz w:val="21"/>
                <w:szCs w:val="21"/>
                <w:highlight w:val="none"/>
                <w:lang w:val="en-US" w:eastAsia="en-US" w:bidi="ar-SA"/>
              </w:rPr>
              <w:t>（3）</w:t>
            </w:r>
            <w:r>
              <w:rPr>
                <w:rFonts w:hint="eastAsia"/>
                <w:b/>
                <w:bCs/>
                <w:color w:val="auto"/>
                <w:spacing w:val="0"/>
                <w:w w:val="100"/>
                <w:position w:val="0"/>
                <w:sz w:val="21"/>
                <w:szCs w:val="21"/>
                <w:highlight w:val="none"/>
                <w:lang w:val="en-US" w:eastAsia="zh-CN"/>
              </w:rPr>
              <w:t>认定时间以获奖证书或获奖文件上的盖章落款时间或官方网站文件发布时间为准，如没有落款时间或官方网站文件发布时间，评标委员会不予计分</w:t>
            </w:r>
            <w:r>
              <w:rPr>
                <w:rFonts w:hint="default"/>
                <w:b/>
                <w:bCs/>
                <w:color w:val="auto"/>
                <w:spacing w:val="0"/>
                <w:w w:val="100"/>
                <w:position w:val="0"/>
                <w:sz w:val="21"/>
                <w:szCs w:val="21"/>
                <w:highlight w:val="none"/>
              </w:rPr>
              <w:t>。</w:t>
            </w:r>
          </w:p>
          <w:p w14:paraId="7E472BAB">
            <w:pPr>
              <w:pStyle w:val="19"/>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leftChars="0" w:right="45" w:rightChars="0" w:firstLine="0" w:firstLineChars="0"/>
              <w:jc w:val="both"/>
              <w:textAlignment w:val="baseline"/>
              <w:rPr>
                <w:rFonts w:hint="default"/>
                <w:b/>
                <w:bCs/>
                <w:color w:val="auto"/>
                <w:spacing w:val="0"/>
                <w:w w:val="100"/>
                <w:position w:val="0"/>
                <w:sz w:val="21"/>
                <w:szCs w:val="21"/>
                <w:highlight w:val="none"/>
              </w:rPr>
            </w:pPr>
            <w:r>
              <w:rPr>
                <w:rFonts w:hint="default" w:ascii="宋体" w:hAnsi="宋体" w:eastAsia="宋体" w:cs="宋体"/>
                <w:b/>
                <w:bCs/>
                <w:snapToGrid w:val="0"/>
                <w:color w:val="auto"/>
                <w:spacing w:val="0"/>
                <w:w w:val="100"/>
                <w:kern w:val="0"/>
                <w:position w:val="0"/>
                <w:sz w:val="21"/>
                <w:szCs w:val="21"/>
                <w:highlight w:val="none"/>
                <w:lang w:val="en-US" w:eastAsia="en-US" w:bidi="ar-SA"/>
              </w:rPr>
              <w:t>（4）</w:t>
            </w:r>
            <w:r>
              <w:rPr>
                <w:rFonts w:hint="eastAsia"/>
                <w:b/>
                <w:bCs/>
                <w:color w:val="auto"/>
                <w:spacing w:val="0"/>
                <w:w w:val="100"/>
                <w:position w:val="0"/>
                <w:highlight w:val="none"/>
                <w:lang w:val="en-US" w:eastAsia="zh-CN"/>
              </w:rPr>
              <w:t>如为联合体投标，须为联合体牵头人获得奖项。</w:t>
            </w:r>
          </w:p>
        </w:tc>
      </w:tr>
      <w:tr w14:paraId="503B2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323" w:type="dxa"/>
            <w:gridSpan w:val="7"/>
            <w:vAlign w:val="top"/>
          </w:tcPr>
          <w:p w14:paraId="061B0112">
            <w:pPr>
              <w:pStyle w:val="19"/>
              <w:keepNext w:val="0"/>
              <w:keepLines w:val="0"/>
              <w:widowControl/>
              <w:suppressLineNumbers w:val="0"/>
              <w:spacing w:before="85" w:beforeAutospacing="0" w:after="0" w:afterAutospacing="0" w:line="221" w:lineRule="auto"/>
              <w:ind w:left="70" w:right="0"/>
              <w:rPr>
                <w:rFonts w:hint="default"/>
                <w:color w:val="auto"/>
                <w:spacing w:val="0"/>
                <w:w w:val="100"/>
                <w:position w:val="0"/>
                <w:highlight w:val="none"/>
              </w:rPr>
            </w:pPr>
            <w:r>
              <w:rPr>
                <w:rFonts w:hint="default"/>
                <w:color w:val="auto"/>
                <w:spacing w:val="0"/>
                <w:w w:val="100"/>
                <w:position w:val="0"/>
                <w:highlight w:val="none"/>
              </w:rPr>
              <w:t>需要补充的其他内容：</w:t>
            </w:r>
          </w:p>
          <w:p w14:paraId="4D926437">
            <w:pPr>
              <w:pStyle w:val="19"/>
              <w:keepNext w:val="0"/>
              <w:keepLines w:val="0"/>
              <w:widowControl/>
              <w:suppressLineNumbers w:val="0"/>
              <w:spacing w:before="20" w:beforeAutospacing="0" w:after="0" w:afterAutospacing="0" w:line="234" w:lineRule="auto"/>
              <w:ind w:left="74" w:right="0"/>
              <w:rPr>
                <w:rFonts w:hint="default"/>
                <w:color w:val="auto"/>
                <w:spacing w:val="0"/>
                <w:w w:val="100"/>
                <w:position w:val="0"/>
                <w:highlight w:val="none"/>
              </w:rPr>
            </w:pPr>
            <w:r>
              <w:rPr>
                <w:rFonts w:hint="default"/>
                <w:color w:val="auto"/>
                <w:spacing w:val="0"/>
                <w:w w:val="100"/>
                <w:position w:val="0"/>
                <w:highlight w:val="none"/>
                <w:lang w:val="en-US" w:eastAsia="zh-CN"/>
              </w:rPr>
              <w:t>1、本</w:t>
            </w:r>
            <w:r>
              <w:rPr>
                <w:rFonts w:hint="default"/>
                <w:color w:val="auto"/>
                <w:spacing w:val="0"/>
                <w:w w:val="100"/>
                <w:position w:val="0"/>
                <w:highlight w:val="none"/>
              </w:rPr>
              <w:t>办法没有列明的因素和标准不得作为评标的依据。</w:t>
            </w:r>
          </w:p>
          <w:p w14:paraId="6E6538FE">
            <w:pPr>
              <w:pStyle w:val="19"/>
              <w:keepNext w:val="0"/>
              <w:keepLines w:val="0"/>
              <w:widowControl/>
              <w:suppressLineNumbers w:val="0"/>
              <w:spacing w:before="20" w:beforeAutospacing="0" w:after="0" w:afterAutospacing="0" w:line="234" w:lineRule="auto"/>
              <w:ind w:left="74" w:right="0"/>
              <w:rPr>
                <w:rFonts w:hint="default"/>
                <w:b/>
                <w:bCs/>
                <w:color w:val="auto"/>
                <w:spacing w:val="0"/>
                <w:w w:val="100"/>
                <w:position w:val="0"/>
                <w:highlight w:val="none"/>
              </w:rPr>
            </w:pPr>
            <w:r>
              <w:rPr>
                <w:rFonts w:hint="default"/>
                <w:color w:val="auto"/>
                <w:spacing w:val="0"/>
                <w:w w:val="100"/>
                <w:position w:val="0"/>
                <w:highlight w:val="none"/>
              </w:rPr>
              <w:t>2、各评分因素（评标价、获奖和信用评价评分项除外）得分一般不低于其权重分值的60%，且各评分因素得分应以评标委员会各成员的打分平均值确定（如评分因素有细分项，各细分项分别计算平均值并汇总得分），</w:t>
            </w:r>
            <w:r>
              <w:rPr>
                <w:rFonts w:hint="default"/>
                <w:b/>
                <w:bCs/>
                <w:color w:val="auto"/>
                <w:spacing w:val="0"/>
                <w:w w:val="100"/>
                <w:position w:val="0"/>
                <w:highlight w:val="none"/>
              </w:rPr>
              <w:t>评标委员会成员总数为七人及以上时，该平均值以去掉一个最高分和一个最低分后计算。评标委员会成员对某一项评分因素的评分低于权重分值60%的，应在评标报告中作出说明。</w:t>
            </w:r>
          </w:p>
          <w:p w14:paraId="76C5846D">
            <w:pPr>
              <w:pStyle w:val="19"/>
              <w:keepNext w:val="0"/>
              <w:keepLines w:val="0"/>
              <w:widowControl/>
              <w:suppressLineNumbers w:val="0"/>
              <w:spacing w:before="20" w:beforeAutospacing="0" w:after="0" w:afterAutospacing="0" w:line="234" w:lineRule="auto"/>
              <w:ind w:left="74" w:right="0"/>
              <w:rPr>
                <w:rFonts w:hint="default"/>
                <w:b/>
                <w:bCs/>
                <w:color w:val="auto"/>
                <w:spacing w:val="0"/>
                <w:w w:val="100"/>
                <w:position w:val="0"/>
                <w:highlight w:val="none"/>
              </w:rPr>
            </w:pPr>
            <w:r>
              <w:rPr>
                <w:rFonts w:hint="default"/>
                <w:color w:val="auto"/>
                <w:spacing w:val="0"/>
                <w:w w:val="100"/>
                <w:position w:val="0"/>
                <w:highlight w:val="none"/>
              </w:rPr>
              <w:t>3、</w:t>
            </w:r>
            <w:r>
              <w:rPr>
                <w:rFonts w:hint="default"/>
                <w:b/>
                <w:bCs/>
                <w:color w:val="auto"/>
                <w:spacing w:val="0"/>
                <w:w w:val="100"/>
                <w:position w:val="0"/>
                <w:highlight w:val="none"/>
              </w:rPr>
              <w:t>如投标人的评标价低于最高投标限价的8</w:t>
            </w:r>
            <w:r>
              <w:rPr>
                <w:rFonts w:hint="eastAsia"/>
                <w:b/>
                <w:bCs/>
                <w:color w:val="auto"/>
                <w:spacing w:val="0"/>
                <w:w w:val="100"/>
                <w:position w:val="0"/>
                <w:highlight w:val="none"/>
                <w:lang w:val="en-US" w:eastAsia="zh-CN"/>
              </w:rPr>
              <w:t>0</w:t>
            </w:r>
            <w:r>
              <w:rPr>
                <w:rFonts w:hint="default"/>
                <w:b/>
                <w:bCs/>
                <w:color w:val="auto"/>
                <w:spacing w:val="0"/>
                <w:w w:val="100"/>
                <w:position w:val="0"/>
                <w:highlight w:val="none"/>
              </w:rPr>
              <w:t>%且评标价平均值的</w:t>
            </w:r>
            <w:r>
              <w:rPr>
                <w:rFonts w:hint="eastAsia"/>
                <w:b/>
                <w:bCs/>
                <w:color w:val="auto"/>
                <w:spacing w:val="0"/>
                <w:w w:val="100"/>
                <w:position w:val="0"/>
                <w:highlight w:val="none"/>
                <w:lang w:val="en-US" w:eastAsia="zh-CN"/>
              </w:rPr>
              <w:t>85</w:t>
            </w:r>
            <w:r>
              <w:rPr>
                <w:rFonts w:hint="default"/>
                <w:b/>
                <w:bCs/>
                <w:color w:val="auto"/>
                <w:spacing w:val="0"/>
                <w:w w:val="100"/>
                <w:position w:val="0"/>
                <w:highlight w:val="none"/>
              </w:rPr>
              <w:t>%时，应当启动澄清程序，评标委员会将要求该投标人作出书面说明并提供相应的证明材料。投标人不能合理说明或者不能提供相应证明材料的，或证明材料不被评标委员会认可的，评标委员会将认定该投标人以低于成本报价竞标，其投标将被否决。</w:t>
            </w:r>
          </w:p>
          <w:p w14:paraId="295C9A63">
            <w:pPr>
              <w:pStyle w:val="19"/>
              <w:keepNext w:val="0"/>
              <w:keepLines w:val="0"/>
              <w:widowControl/>
              <w:suppressLineNumbers w:val="0"/>
              <w:spacing w:before="20" w:beforeAutospacing="0" w:after="0" w:afterAutospacing="0" w:line="234" w:lineRule="auto"/>
              <w:ind w:left="74" w:right="0"/>
              <w:rPr>
                <w:rFonts w:hint="default"/>
                <w:color w:val="auto"/>
                <w:spacing w:val="0"/>
                <w:w w:val="100"/>
                <w:position w:val="0"/>
                <w:highlight w:val="none"/>
              </w:rPr>
            </w:pPr>
            <w:r>
              <w:rPr>
                <w:rFonts w:hint="default"/>
                <w:color w:val="auto"/>
                <w:spacing w:val="0"/>
                <w:w w:val="100"/>
                <w:position w:val="0"/>
                <w:highlight w:val="none"/>
              </w:rPr>
              <w:t>3、</w:t>
            </w:r>
            <w:r>
              <w:rPr>
                <w:rFonts w:hint="default"/>
                <w:b/>
                <w:bCs/>
                <w:color w:val="auto"/>
                <w:spacing w:val="0"/>
                <w:w w:val="100"/>
                <w:position w:val="0"/>
                <w:highlight w:val="none"/>
              </w:rPr>
              <w:t>如投标人存在恶意低价竞标行为，招标人将其不良行为上报省级交通运输主管部门，作为不良记录纳入相关信用信息管理系统。</w:t>
            </w:r>
          </w:p>
          <w:p w14:paraId="57C8D2DD">
            <w:pPr>
              <w:pStyle w:val="19"/>
              <w:keepNext w:val="0"/>
              <w:keepLines w:val="0"/>
              <w:widowControl/>
              <w:suppressLineNumbers w:val="0"/>
              <w:spacing w:before="20" w:beforeAutospacing="0" w:after="0" w:afterAutospacing="0" w:line="234" w:lineRule="auto"/>
              <w:ind w:left="74" w:right="0"/>
              <w:rPr>
                <w:rFonts w:hint="default"/>
                <w:color w:val="auto"/>
                <w:spacing w:val="0"/>
                <w:w w:val="100"/>
                <w:position w:val="0"/>
                <w:highlight w:val="none"/>
              </w:rPr>
            </w:pPr>
            <w:r>
              <w:rPr>
                <w:rFonts w:hint="eastAsia"/>
                <w:color w:val="auto"/>
                <w:spacing w:val="0"/>
                <w:w w:val="100"/>
                <w:position w:val="0"/>
                <w:highlight w:val="none"/>
                <w:lang w:val="en-US" w:eastAsia="zh-CN"/>
              </w:rPr>
              <w:t>4、业绩证明材料详见招标文件第二章“投标人须知”附录</w:t>
            </w:r>
            <w:r>
              <w:rPr>
                <w:rFonts w:hint="default"/>
                <w:color w:val="auto"/>
                <w:spacing w:val="0"/>
                <w:w w:val="100"/>
                <w:position w:val="0"/>
                <w:highlight w:val="none"/>
                <w:lang w:val="en-US" w:eastAsia="zh-CN"/>
              </w:rPr>
              <w:t>2</w:t>
            </w:r>
            <w:r>
              <w:rPr>
                <w:rFonts w:hint="eastAsia"/>
                <w:color w:val="auto"/>
                <w:spacing w:val="0"/>
                <w:w w:val="100"/>
                <w:position w:val="0"/>
                <w:highlight w:val="none"/>
                <w:lang w:val="en-US" w:eastAsia="zh-CN"/>
              </w:rPr>
              <w:t>、附录</w:t>
            </w:r>
            <w:r>
              <w:rPr>
                <w:rFonts w:hint="default"/>
                <w:color w:val="auto"/>
                <w:spacing w:val="0"/>
                <w:w w:val="100"/>
                <w:position w:val="0"/>
                <w:highlight w:val="none"/>
                <w:lang w:val="en-US" w:eastAsia="zh-CN"/>
              </w:rPr>
              <w:t>4</w:t>
            </w:r>
            <w:r>
              <w:rPr>
                <w:rFonts w:hint="eastAsia"/>
                <w:color w:val="auto"/>
                <w:spacing w:val="0"/>
                <w:w w:val="100"/>
                <w:position w:val="0"/>
                <w:highlight w:val="none"/>
                <w:lang w:val="en-US" w:eastAsia="zh-CN"/>
              </w:rPr>
              <w:t xml:space="preserve">的要求。 </w:t>
            </w:r>
          </w:p>
          <w:p w14:paraId="45CDE46B">
            <w:pPr>
              <w:pStyle w:val="19"/>
              <w:keepNext w:val="0"/>
              <w:keepLines w:val="0"/>
              <w:widowControl/>
              <w:suppressLineNumbers w:val="0"/>
              <w:spacing w:before="20" w:beforeAutospacing="0" w:after="0" w:afterAutospacing="0" w:line="234" w:lineRule="auto"/>
              <w:ind w:left="74" w:right="0"/>
              <w:rPr>
                <w:rFonts w:hint="default"/>
                <w:color w:val="auto"/>
                <w:spacing w:val="0"/>
                <w:w w:val="100"/>
                <w:position w:val="0"/>
                <w:highlight w:val="none"/>
              </w:rPr>
            </w:pPr>
            <w:r>
              <w:rPr>
                <w:rFonts w:hint="eastAsia"/>
                <w:color w:val="auto"/>
                <w:spacing w:val="0"/>
                <w:w w:val="100"/>
                <w:position w:val="0"/>
                <w:highlight w:val="none"/>
                <w:lang w:val="en-US" w:eastAsia="zh-CN"/>
              </w:rPr>
              <w:t>5、类似项目定义详见招标公告</w:t>
            </w:r>
            <w:r>
              <w:rPr>
                <w:rFonts w:hint="default"/>
                <w:color w:val="auto"/>
                <w:spacing w:val="0"/>
                <w:w w:val="100"/>
                <w:position w:val="0"/>
                <w:highlight w:val="none"/>
                <w:lang w:val="en-US" w:eastAsia="zh-CN"/>
              </w:rPr>
              <w:t>3.4</w:t>
            </w:r>
            <w:r>
              <w:rPr>
                <w:rFonts w:hint="eastAsia"/>
                <w:color w:val="auto"/>
                <w:spacing w:val="0"/>
                <w:w w:val="100"/>
                <w:position w:val="0"/>
                <w:highlight w:val="none"/>
                <w:lang w:val="en-US" w:eastAsia="zh-CN"/>
              </w:rPr>
              <w:t>款要求。</w:t>
            </w:r>
          </w:p>
        </w:tc>
      </w:tr>
    </w:tbl>
    <w:p w14:paraId="47C1174C">
      <w:pPr>
        <w:rPr>
          <w:rFonts w:ascii="Arial"/>
          <w:color w:val="auto"/>
          <w:spacing w:val="0"/>
          <w:w w:val="100"/>
          <w:position w:val="0"/>
          <w:sz w:val="21"/>
          <w:highlight w:val="none"/>
        </w:rPr>
      </w:pPr>
    </w:p>
    <w:p w14:paraId="571E830E">
      <w:pPr>
        <w:rPr>
          <w:rFonts w:ascii="Arial" w:hAnsi="Arial" w:eastAsia="Arial" w:cs="Arial"/>
          <w:color w:val="auto"/>
          <w:spacing w:val="0"/>
          <w:w w:val="100"/>
          <w:position w:val="0"/>
          <w:sz w:val="21"/>
          <w:szCs w:val="21"/>
          <w:highlight w:val="none"/>
        </w:rPr>
        <w:sectPr>
          <w:headerReference r:id="rId24" w:type="default"/>
          <w:footerReference r:id="rId25" w:type="default"/>
          <w:pgSz w:w="11900" w:h="16843"/>
          <w:pgMar w:top="1378" w:right="1417" w:bottom="1208" w:left="1417" w:header="1366" w:footer="1003" w:gutter="0"/>
          <w:pgNumType w:fmt="decimal"/>
          <w:cols w:space="0" w:num="1"/>
          <w:rtlGutter w:val="0"/>
          <w:docGrid w:linePitch="0" w:charSpace="0"/>
        </w:sectPr>
      </w:pPr>
    </w:p>
    <w:p w14:paraId="3CB3C69C">
      <w:pPr>
        <w:pStyle w:val="6"/>
        <w:spacing w:before="91" w:line="220" w:lineRule="auto"/>
        <w:ind w:left="63"/>
        <w:outlineLvl w:val="2"/>
        <w:rPr>
          <w:color w:val="auto"/>
          <w:spacing w:val="0"/>
          <w:w w:val="100"/>
          <w:position w:val="0"/>
          <w:sz w:val="28"/>
          <w:szCs w:val="28"/>
          <w:highlight w:val="none"/>
        </w:rPr>
      </w:pPr>
      <w:bookmarkStart w:id="15" w:name="bookmark20"/>
      <w:bookmarkEnd w:id="15"/>
      <w:r>
        <w:rPr>
          <w:b/>
          <w:bCs/>
          <w:color w:val="auto"/>
          <w:spacing w:val="0"/>
          <w:w w:val="100"/>
          <w:position w:val="0"/>
          <w:sz w:val="28"/>
          <w:szCs w:val="28"/>
          <w:highlight w:val="none"/>
        </w:rPr>
        <w:t>02</w:t>
      </w:r>
      <w:r>
        <w:rPr>
          <w:color w:val="auto"/>
          <w:spacing w:val="0"/>
          <w:w w:val="100"/>
          <w:position w:val="0"/>
          <w:sz w:val="28"/>
          <w:szCs w:val="28"/>
          <w:highlight w:val="none"/>
        </w:rPr>
        <w:t xml:space="preserve"> </w:t>
      </w:r>
      <w:r>
        <w:rPr>
          <w:b/>
          <w:bCs/>
          <w:color w:val="auto"/>
          <w:spacing w:val="0"/>
          <w:w w:val="100"/>
          <w:position w:val="0"/>
          <w:sz w:val="28"/>
          <w:szCs w:val="28"/>
          <w:highlight w:val="none"/>
        </w:rPr>
        <w:t>标段：</w:t>
      </w:r>
    </w:p>
    <w:p w14:paraId="6A0CF075">
      <w:pPr>
        <w:pStyle w:val="6"/>
        <w:spacing w:before="330" w:line="219" w:lineRule="auto"/>
        <w:ind w:left="65"/>
        <w:jc w:val="center"/>
        <w:outlineLvl w:val="2"/>
        <w:rPr>
          <w:color w:val="auto"/>
          <w:spacing w:val="0"/>
          <w:w w:val="100"/>
          <w:position w:val="0"/>
          <w:sz w:val="28"/>
          <w:szCs w:val="28"/>
          <w:highlight w:val="none"/>
        </w:rPr>
      </w:pPr>
      <w:r>
        <w:rPr>
          <w:b/>
          <w:bCs/>
          <w:color w:val="auto"/>
          <w:spacing w:val="0"/>
          <w:w w:val="100"/>
          <w:position w:val="0"/>
          <w:sz w:val="28"/>
          <w:szCs w:val="28"/>
          <w:highlight w:val="none"/>
        </w:rPr>
        <w:t>评标办法前附表</w:t>
      </w:r>
    </w:p>
    <w:p w14:paraId="6FB7B683">
      <w:pPr>
        <w:rPr>
          <w:color w:val="auto"/>
          <w:highlight w:val="none"/>
        </w:rPr>
      </w:pPr>
    </w:p>
    <w:tbl>
      <w:tblPr>
        <w:tblStyle w:val="18"/>
        <w:tblW w:w="939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935"/>
        <w:gridCol w:w="1272"/>
        <w:gridCol w:w="7185"/>
      </w:tblGrid>
      <w:tr w14:paraId="19752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84" w:hRule="atLeast"/>
          <w:tblHeader/>
          <w:jc w:val="center"/>
        </w:trPr>
        <w:tc>
          <w:tcPr>
            <w:tcW w:w="2207"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77977F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780"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b/>
                <w:bCs/>
                <w:snapToGrid/>
                <w:color w:val="auto"/>
                <w:spacing w:val="0"/>
                <w:w w:val="100"/>
                <w:kern w:val="0"/>
                <w:sz w:val="21"/>
                <w:szCs w:val="21"/>
                <w:highlight w:val="none"/>
                <w:lang w:val="en-US" w:eastAsia="zh-CN" w:bidi="ar"/>
              </w:rPr>
              <w:t>条款号</w:t>
            </w:r>
          </w:p>
        </w:tc>
        <w:tc>
          <w:tcPr>
            <w:tcW w:w="7185" w:type="dxa"/>
            <w:tcBorders>
              <w:top w:val="single" w:color="000000" w:sz="2" w:space="0"/>
              <w:left w:val="single" w:color="000000" w:sz="2" w:space="0"/>
              <w:bottom w:val="single" w:color="000000" w:sz="2" w:space="0"/>
              <w:right w:val="single" w:color="000000" w:sz="2" w:space="0"/>
            </w:tcBorders>
            <w:shd w:val="clear" w:color="auto" w:fill="auto"/>
            <w:vAlign w:val="top"/>
          </w:tcPr>
          <w:p w14:paraId="321A85C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2170"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b/>
                <w:bCs/>
                <w:snapToGrid/>
                <w:color w:val="auto"/>
                <w:spacing w:val="0"/>
                <w:w w:val="100"/>
                <w:kern w:val="0"/>
                <w:sz w:val="21"/>
                <w:szCs w:val="21"/>
                <w:highlight w:val="none"/>
                <w:lang w:val="en-US" w:eastAsia="zh-CN" w:bidi="ar"/>
              </w:rPr>
              <w:t>评审因素与评审标准</w:t>
            </w:r>
          </w:p>
        </w:tc>
      </w:tr>
      <w:tr w14:paraId="59E9E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jc w:val="center"/>
        </w:trPr>
        <w:tc>
          <w:tcPr>
            <w:tcW w:w="935" w:type="dxa"/>
            <w:tcBorders>
              <w:top w:val="single" w:color="000000" w:sz="2" w:space="0"/>
              <w:left w:val="single" w:color="000000" w:sz="2" w:space="0"/>
              <w:bottom w:val="single" w:color="auto" w:sz="4" w:space="0"/>
              <w:right w:val="single" w:color="000000" w:sz="2" w:space="0"/>
            </w:tcBorders>
            <w:shd w:val="clear" w:color="auto" w:fill="auto"/>
            <w:vAlign w:val="center"/>
          </w:tcPr>
          <w:p w14:paraId="7F182E73">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default" w:ascii="Times New Roman" w:hAnsi="Times New Roman" w:cs="Times New Roman"/>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1</w:t>
            </w:r>
          </w:p>
        </w:tc>
        <w:tc>
          <w:tcPr>
            <w:tcW w:w="1272" w:type="dxa"/>
            <w:tcBorders>
              <w:top w:val="single" w:color="000000" w:sz="2" w:space="0"/>
              <w:left w:val="single" w:color="000000" w:sz="2" w:space="0"/>
              <w:bottom w:val="single" w:color="auto" w:sz="4" w:space="0"/>
              <w:right w:val="single" w:color="000000" w:sz="2" w:space="0"/>
            </w:tcBorders>
            <w:shd w:val="clear" w:color="auto" w:fill="auto"/>
            <w:vAlign w:val="center"/>
          </w:tcPr>
          <w:p w14:paraId="37DE1D91">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评标方法</w:t>
            </w:r>
          </w:p>
        </w:tc>
        <w:tc>
          <w:tcPr>
            <w:tcW w:w="7185" w:type="dxa"/>
            <w:tcBorders>
              <w:top w:val="single" w:color="000000" w:sz="2" w:space="0"/>
              <w:left w:val="single" w:color="000000" w:sz="2" w:space="0"/>
              <w:bottom w:val="single" w:color="auto" w:sz="4" w:space="0"/>
              <w:right w:val="single" w:color="000000" w:sz="2" w:space="0"/>
            </w:tcBorders>
            <w:shd w:val="clear" w:color="auto" w:fill="auto"/>
            <w:vAlign w:val="top"/>
          </w:tcPr>
          <w:p w14:paraId="7A899DE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6" w:right="9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综合评分相等时，评标委员会依次按照以下优先顺序推荐中标候选人或确定中标人：</w:t>
            </w:r>
          </w:p>
          <w:p w14:paraId="50CE8F3A">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（1）评标价低的投标人优先；</w:t>
            </w:r>
          </w:p>
          <w:p w14:paraId="727E75B9">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4"/>
              <w:jc w:val="both"/>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（2）被</w:t>
            </w:r>
            <w:r>
              <w:rPr>
                <w:rFonts w:hint="eastAsia" w:ascii="宋体" w:hAnsi="宋体" w:eastAsia="宋体" w:cs="宋体"/>
                <w:snapToGrid/>
                <w:color w:val="auto"/>
                <w:spacing w:val="0"/>
                <w:w w:val="100"/>
                <w:kern w:val="0"/>
                <w:sz w:val="21"/>
                <w:szCs w:val="21"/>
                <w:highlight w:val="none"/>
                <w:u w:val="single"/>
                <w:lang w:val="en-US" w:eastAsia="zh-CN" w:bidi="ar"/>
              </w:rPr>
              <w:t>安徽省</w:t>
            </w:r>
            <w:r>
              <w:rPr>
                <w:rFonts w:hint="eastAsia" w:ascii="宋体" w:hAnsi="宋体" w:eastAsia="宋体" w:cs="宋体"/>
                <w:snapToGrid/>
                <w:color w:val="auto"/>
                <w:spacing w:val="0"/>
                <w:w w:val="100"/>
                <w:kern w:val="0"/>
                <w:sz w:val="21"/>
                <w:szCs w:val="21"/>
                <w:highlight w:val="none"/>
                <w:lang w:val="en-US" w:eastAsia="zh-CN" w:bidi="ar"/>
              </w:rPr>
              <w:t>交通运输主管部门评为较高信用等级的投标人优先；</w:t>
            </w:r>
          </w:p>
          <w:p w14:paraId="6B98DD55">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（3）商务和技术得分较高的投标人优先；</w:t>
            </w:r>
          </w:p>
          <w:p w14:paraId="6E609F95">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lang w:val="en-US" w:eastAsia="zh-CN" w:bidi="ar"/>
              </w:rPr>
              <w:t>（4）投标文件提供的业绩累计合同金额大的投标人优先。</w:t>
            </w:r>
          </w:p>
        </w:tc>
      </w:tr>
      <w:tr w14:paraId="32D05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935" w:type="dxa"/>
            <w:tcBorders>
              <w:top w:val="single" w:color="auto" w:sz="4" w:space="0"/>
              <w:left w:val="single" w:color="auto" w:sz="4" w:space="0"/>
              <w:bottom w:val="single" w:color="auto" w:sz="4" w:space="0"/>
              <w:right w:val="single" w:color="auto" w:sz="4" w:space="0"/>
            </w:tcBorders>
            <w:shd w:val="clear" w:color="auto" w:fill="auto"/>
            <w:vAlign w:val="center"/>
          </w:tcPr>
          <w:p w14:paraId="23A8F50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2.1.1</w:t>
            </w:r>
          </w:p>
          <w:p w14:paraId="2007F94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default" w:ascii="Times New Roman" w:hAnsi="Times New Roman" w:cs="Times New Roman"/>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2.1.3</w:t>
            </w:r>
          </w:p>
        </w:tc>
        <w:tc>
          <w:tcPr>
            <w:tcW w:w="1272" w:type="dxa"/>
            <w:tcBorders>
              <w:top w:val="single" w:color="auto" w:sz="4" w:space="0"/>
              <w:left w:val="nil"/>
              <w:bottom w:val="single" w:color="auto" w:sz="4" w:space="0"/>
              <w:right w:val="single" w:color="auto" w:sz="4" w:space="0"/>
            </w:tcBorders>
            <w:shd w:val="clear" w:color="auto" w:fill="auto"/>
            <w:vAlign w:val="center"/>
          </w:tcPr>
          <w:p w14:paraId="0A24AF8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形式评审</w:t>
            </w:r>
          </w:p>
          <w:p w14:paraId="0B9F4ADD">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与响应性</w:t>
            </w:r>
          </w:p>
          <w:p w14:paraId="7DD9536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val="0"/>
                <w:color w:val="auto"/>
                <w:spacing w:val="0"/>
                <w:w w:val="100"/>
                <w:kern w:val="0"/>
                <w:sz w:val="21"/>
                <w:szCs w:val="21"/>
                <w:highlight w:val="none"/>
                <w:lang w:val="en-US" w:eastAsia="zh-CN" w:bidi="ar"/>
              </w:rPr>
              <w:t>评审标准</w:t>
            </w:r>
          </w:p>
        </w:tc>
        <w:tc>
          <w:tcPr>
            <w:tcW w:w="7185" w:type="dxa"/>
            <w:tcBorders>
              <w:top w:val="single" w:color="auto" w:sz="4" w:space="0"/>
              <w:left w:val="nil"/>
              <w:bottom w:val="single" w:color="auto" w:sz="4" w:space="0"/>
              <w:right w:val="single" w:color="auto" w:sz="4" w:space="0"/>
            </w:tcBorders>
            <w:shd w:val="clear" w:color="auto" w:fill="auto"/>
            <w:vAlign w:val="top"/>
          </w:tcPr>
          <w:p w14:paraId="78DEBBBF">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b/>
                <w:bCs/>
                <w:snapToGrid/>
                <w:color w:val="auto"/>
                <w:spacing w:val="0"/>
                <w:w w:val="100"/>
                <w:kern w:val="0"/>
                <w:sz w:val="21"/>
                <w:szCs w:val="21"/>
                <w:highlight w:val="none"/>
                <w:lang w:val="en-US" w:eastAsia="zh-CN" w:bidi="ar"/>
              </w:rPr>
              <w:t>第一个信封（商务及技术文件）评审标准：</w:t>
            </w:r>
          </w:p>
          <w:p w14:paraId="4BC192B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（1）投标文件按照招标文件规定的格式、内容填写，字迹清晰可辨；</w:t>
            </w:r>
          </w:p>
          <w:p w14:paraId="090DD1DA">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a.投标函按招标文件规定填报了项目名称、标段号、服务期限、工程质量要求及安全目标；</w:t>
            </w:r>
          </w:p>
          <w:p w14:paraId="57C568F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b.投标文件组成齐全完整，内容均按规定填写。</w:t>
            </w:r>
          </w:p>
          <w:p w14:paraId="3427060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（2）投标文件上法定代表人或其委托代理人的签字、投标人的单位章盖章齐全，符合招标文件规定。</w:t>
            </w:r>
          </w:p>
          <w:p w14:paraId="4C77B573">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（3）投标人按照招标文件的规定提供了投标保证金：</w:t>
            </w:r>
          </w:p>
          <w:p w14:paraId="11ABA7D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a.投标保证金金额符合招标文件规定的金额，且投标保证金有效期不少于投标有效期；</w:t>
            </w:r>
          </w:p>
          <w:p w14:paraId="0F4FC347">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 xml:space="preserve">b.若投标保证金采用现金或支票形式提交，投标人应在递交投标文件截止时间之前，将投标保证金由投标人的基本账户转入招标人指定账户； </w:t>
            </w:r>
          </w:p>
          <w:p w14:paraId="3DCA9EB7">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c.若投标保证金采用银行保函形式提交，银行保函的格式、开具保函的银行均满足招标文件要求，且在递交投标文件截止时间之前向招标人提交了银行保函原件；</w:t>
            </w:r>
          </w:p>
          <w:p w14:paraId="616EA4B0">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（4）投标人法定代表人授权委托代理人签署投标文件的，须提交授权委托书，</w:t>
            </w:r>
            <w:r>
              <w:rPr>
                <w:rFonts w:hint="eastAsia" w:ascii="宋体" w:hAnsi="宋体" w:eastAsia="宋体" w:cs="宋体"/>
                <w:b/>
                <w:bCs/>
                <w:snapToGrid/>
                <w:color w:val="auto"/>
                <w:spacing w:val="0"/>
                <w:w w:val="100"/>
                <w:kern w:val="0"/>
                <w:sz w:val="21"/>
                <w:szCs w:val="21"/>
                <w:highlight w:val="none"/>
                <w:vertAlign w:val="baseline"/>
                <w:lang w:val="en-US" w:eastAsia="zh-CN" w:bidi="ar"/>
              </w:rPr>
              <w:t>且授权人和被授权人均在授权委托书上签名，未使用印章、签名章或其他电子制版签名代替。</w:t>
            </w:r>
          </w:p>
          <w:p w14:paraId="7F7110C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b/>
                <w:bCs/>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（5）投标人法定代表人亲自签署投标文件的，提供了法定代表人身份证明，</w:t>
            </w:r>
            <w:r>
              <w:rPr>
                <w:rFonts w:hint="eastAsia" w:ascii="宋体" w:hAnsi="宋体" w:eastAsia="宋体" w:cs="宋体"/>
                <w:b/>
                <w:bCs/>
                <w:snapToGrid/>
                <w:color w:val="auto"/>
                <w:spacing w:val="0"/>
                <w:w w:val="100"/>
                <w:kern w:val="0"/>
                <w:sz w:val="21"/>
                <w:szCs w:val="21"/>
                <w:highlight w:val="none"/>
                <w:vertAlign w:val="baseline"/>
                <w:lang w:val="en-US" w:eastAsia="zh-CN" w:bidi="ar"/>
              </w:rPr>
              <w:t>且法定代表人在法定代表人身份证明上签名，未使用印章、签名章或其他电子制版签名代替。</w:t>
            </w:r>
          </w:p>
          <w:p w14:paraId="753E0C30">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（6）投标人以联合体形式投标时，联合体满足招标文件的要求：</w:t>
            </w:r>
          </w:p>
          <w:p w14:paraId="1E7A0801">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a.未进行资格预审的，投标人按照招标文件提供的格式签订了联合体协议书，明确各方承担连带责任，并明确了联合体牵头人；</w:t>
            </w:r>
          </w:p>
          <w:p w14:paraId="6E1E6384">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b.已进行资格预审的，投标人提供了资格预审申请文件中所附的联合体协议书复印件，且通过资格预审后的联合体无成员增减或更换的情况。</w:t>
            </w:r>
          </w:p>
          <w:p w14:paraId="51D1BF8D">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（7）投标人如有分包计划，符合招标文件第二章“投标人须知”第1.11 款规定，且按招标文件第六章“投标文件格式”的要求填写了“拟分包项目情况表”。</w:t>
            </w:r>
          </w:p>
          <w:p w14:paraId="4F7A003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（8）同一投标人未提交两个以上不同的投标文件，但招标文件要求提交备选投标的除外。</w:t>
            </w:r>
          </w:p>
          <w:p w14:paraId="308EC210">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宋体" w:hAnsi="宋体" w:eastAsia="宋体" w:cs="宋体"/>
                <w:snapToGrid/>
                <w:color w:val="auto"/>
                <w:spacing w:val="0"/>
                <w:w w:val="100"/>
                <w:kern w:val="0"/>
                <w:sz w:val="21"/>
                <w:szCs w:val="21"/>
                <w:highlight w:val="none"/>
                <w:vertAlign w:val="baseline"/>
                <w:lang w:val="en-US" w:eastAsia="zh-CN" w:bidi="ar"/>
              </w:rPr>
              <w:t>9</w:t>
            </w:r>
            <w:r>
              <w:rPr>
                <w:rFonts w:hint="eastAsia" w:ascii="宋体" w:hAnsi="宋体" w:eastAsia="宋体" w:cs="宋体"/>
                <w:snapToGrid/>
                <w:color w:val="auto"/>
                <w:spacing w:val="0"/>
                <w:w w:val="100"/>
                <w:kern w:val="0"/>
                <w:sz w:val="21"/>
                <w:szCs w:val="21"/>
                <w:highlight w:val="none"/>
                <w:vertAlign w:val="baseline"/>
                <w:lang w:val="en-US" w:eastAsia="zh-CN" w:bidi="ar"/>
              </w:rPr>
              <w:t>）投标文件中未出现有关投标报价的内容。</w:t>
            </w:r>
          </w:p>
          <w:p w14:paraId="70263099">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snapToGrid/>
                <w:color w:val="auto"/>
                <w:spacing w:val="0"/>
                <w:w w:val="100"/>
                <w:kern w:val="0"/>
                <w:sz w:val="21"/>
                <w:szCs w:val="21"/>
                <w:highlight w:val="no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宋体" w:hAnsi="宋体" w:eastAsia="宋体" w:cs="宋体"/>
                <w:snapToGrid/>
                <w:color w:val="auto"/>
                <w:spacing w:val="0"/>
                <w:w w:val="100"/>
                <w:kern w:val="0"/>
                <w:sz w:val="21"/>
                <w:szCs w:val="21"/>
                <w:highlight w:val="none"/>
                <w:vertAlign w:val="baseline"/>
                <w:lang w:val="en-US" w:eastAsia="zh-CN" w:bidi="ar"/>
              </w:rPr>
              <w:t>10</w:t>
            </w:r>
            <w:r>
              <w:rPr>
                <w:rFonts w:hint="eastAsia" w:ascii="宋体" w:hAnsi="宋体" w:eastAsia="宋体" w:cs="宋体"/>
                <w:snapToGrid/>
                <w:color w:val="auto"/>
                <w:spacing w:val="0"/>
                <w:w w:val="100"/>
                <w:kern w:val="0"/>
                <w:sz w:val="21"/>
                <w:szCs w:val="21"/>
                <w:highlight w:val="none"/>
                <w:vertAlign w:val="baseline"/>
                <w:lang w:val="en-US" w:eastAsia="zh-CN" w:bidi="ar"/>
              </w:rPr>
              <w:t>）投标文件载明的招标项目完成期限未超过招标文件规定</w:t>
            </w:r>
            <w:r>
              <w:rPr>
                <w:rFonts w:hint="eastAsia" w:ascii="宋体" w:hAnsi="宋体" w:eastAsia="宋体" w:cs="宋体"/>
                <w:snapToGrid/>
                <w:color w:val="auto"/>
                <w:spacing w:val="0"/>
                <w:w w:val="100"/>
                <w:kern w:val="0"/>
                <w:sz w:val="21"/>
                <w:szCs w:val="21"/>
                <w:highlight w:val="none"/>
                <w:lang w:val="en-US" w:eastAsia="zh-CN" w:bidi="ar"/>
              </w:rPr>
              <w:t>的时限。</w:t>
            </w:r>
          </w:p>
          <w:p w14:paraId="571F80A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8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Times New Roman" w:hAnsi="Times New Roman" w:eastAsia="宋体" w:cs="Times New Roman"/>
                <w:snapToGrid/>
                <w:color w:val="auto"/>
                <w:spacing w:val="0"/>
                <w:w w:val="100"/>
                <w:kern w:val="0"/>
                <w:sz w:val="21"/>
                <w:szCs w:val="21"/>
                <w:highlight w:val="none"/>
                <w:lang w:val="en-US" w:eastAsia="zh-CN" w:bidi="ar"/>
              </w:rPr>
              <w:t>11</w:t>
            </w:r>
            <w:r>
              <w:rPr>
                <w:rFonts w:hint="eastAsia" w:ascii="宋体" w:hAnsi="宋体" w:eastAsia="宋体" w:cs="宋体"/>
                <w:snapToGrid/>
                <w:color w:val="auto"/>
                <w:spacing w:val="0"/>
                <w:w w:val="100"/>
                <w:kern w:val="0"/>
                <w:sz w:val="21"/>
                <w:szCs w:val="21"/>
                <w:highlight w:val="none"/>
                <w:lang w:val="en-US" w:eastAsia="zh-CN" w:bidi="ar"/>
              </w:rPr>
              <w:t>）投标文件对招标文件的实质性要求和条件作出响应。</w:t>
            </w:r>
          </w:p>
          <w:p w14:paraId="7D672201">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8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Times New Roman" w:hAnsi="Times New Roman" w:eastAsia="宋体" w:cs="Times New Roman"/>
                <w:snapToGrid/>
                <w:color w:val="auto"/>
                <w:spacing w:val="0"/>
                <w:w w:val="100"/>
                <w:kern w:val="0"/>
                <w:sz w:val="21"/>
                <w:szCs w:val="21"/>
                <w:highlight w:val="none"/>
                <w:lang w:val="en-US" w:eastAsia="zh-CN" w:bidi="ar"/>
              </w:rPr>
              <w:t>12</w:t>
            </w:r>
            <w:r>
              <w:rPr>
                <w:rFonts w:hint="eastAsia" w:ascii="宋体" w:hAnsi="宋体" w:eastAsia="宋体" w:cs="宋体"/>
                <w:snapToGrid/>
                <w:color w:val="auto"/>
                <w:spacing w:val="0"/>
                <w:w w:val="100"/>
                <w:kern w:val="0"/>
                <w:sz w:val="21"/>
                <w:szCs w:val="21"/>
                <w:highlight w:val="none"/>
                <w:lang w:val="en-US" w:eastAsia="zh-CN" w:bidi="ar"/>
              </w:rPr>
              <w:t>）权利义务符合招标文件规定</w:t>
            </w:r>
            <w:r>
              <w:rPr>
                <w:rFonts w:hint="eastAsia" w:ascii="宋体" w:hAnsi="宋体" w:eastAsia="宋体" w:cs="宋体"/>
                <w:b/>
                <w:bCs/>
                <w:snapToGrid/>
                <w:color w:val="auto"/>
                <w:spacing w:val="0"/>
                <w:w w:val="100"/>
                <w:kern w:val="0"/>
                <w:sz w:val="21"/>
                <w:szCs w:val="21"/>
                <w:highlight w:val="none"/>
                <w:lang w:val="en-US" w:eastAsia="zh-CN" w:bidi="ar"/>
              </w:rPr>
              <w:t>：</w:t>
            </w:r>
          </w:p>
          <w:p w14:paraId="67499023">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3" w:right="50" w:firstLine="42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a.</w:t>
            </w:r>
            <w:r>
              <w:rPr>
                <w:rFonts w:hint="eastAsia" w:ascii="宋体" w:hAnsi="宋体" w:eastAsia="宋体" w:cs="宋体"/>
                <w:snapToGrid/>
                <w:color w:val="auto"/>
                <w:spacing w:val="0"/>
                <w:w w:val="100"/>
                <w:kern w:val="0"/>
                <w:sz w:val="21"/>
                <w:szCs w:val="21"/>
                <w:highlight w:val="none"/>
                <w:lang w:val="en-US" w:eastAsia="zh-CN" w:bidi="ar"/>
              </w:rPr>
              <w:t>投标人应接受招标文件规定的风险划分原则，未提出新的风险划分办法；</w:t>
            </w:r>
          </w:p>
          <w:p w14:paraId="18396FF0">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66" w:right="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b.</w:t>
            </w:r>
            <w:r>
              <w:rPr>
                <w:rFonts w:hint="eastAsia" w:ascii="宋体" w:hAnsi="宋体" w:eastAsia="宋体" w:cs="宋体"/>
                <w:snapToGrid/>
                <w:color w:val="auto"/>
                <w:spacing w:val="0"/>
                <w:w w:val="100"/>
                <w:kern w:val="0"/>
                <w:sz w:val="21"/>
                <w:szCs w:val="21"/>
                <w:highlight w:val="none"/>
                <w:lang w:val="en-US" w:eastAsia="zh-CN" w:bidi="ar"/>
              </w:rPr>
              <w:t>投标人未增加发包人的责任范围，或减少投标人义务；</w:t>
            </w:r>
          </w:p>
          <w:p w14:paraId="735A620B">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3" w:right="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c.</w:t>
            </w:r>
            <w:r>
              <w:rPr>
                <w:rFonts w:hint="eastAsia" w:ascii="宋体" w:hAnsi="宋体" w:eastAsia="宋体" w:cs="宋体"/>
                <w:snapToGrid/>
                <w:color w:val="auto"/>
                <w:spacing w:val="0"/>
                <w:w w:val="100"/>
                <w:kern w:val="0"/>
                <w:sz w:val="21"/>
                <w:szCs w:val="21"/>
                <w:highlight w:val="none"/>
                <w:lang w:val="en-US" w:eastAsia="zh-CN" w:bidi="ar"/>
              </w:rPr>
              <w:t>投标人未提出不同的支付办法；</w:t>
            </w:r>
          </w:p>
          <w:p w14:paraId="0150D0F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3" w:right="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d.</w:t>
            </w:r>
            <w:r>
              <w:rPr>
                <w:rFonts w:hint="eastAsia" w:ascii="宋体" w:hAnsi="宋体" w:eastAsia="宋体" w:cs="宋体"/>
                <w:snapToGrid/>
                <w:color w:val="auto"/>
                <w:spacing w:val="0"/>
                <w:w w:val="100"/>
                <w:kern w:val="0"/>
                <w:sz w:val="21"/>
                <w:szCs w:val="21"/>
                <w:highlight w:val="none"/>
                <w:lang w:val="en-US" w:eastAsia="zh-CN" w:bidi="ar"/>
              </w:rPr>
              <w:t>投标人对合同纠纷、事故处理办法未提出异议；</w:t>
            </w:r>
          </w:p>
          <w:p w14:paraId="1976B150">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4" w:right="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e.</w:t>
            </w:r>
            <w:r>
              <w:rPr>
                <w:rFonts w:hint="eastAsia" w:ascii="宋体" w:hAnsi="宋体" w:eastAsia="宋体" w:cs="宋体"/>
                <w:snapToGrid/>
                <w:color w:val="auto"/>
                <w:spacing w:val="0"/>
                <w:w w:val="100"/>
                <w:kern w:val="0"/>
                <w:sz w:val="21"/>
                <w:szCs w:val="21"/>
                <w:highlight w:val="none"/>
                <w:lang w:val="en-US" w:eastAsia="zh-CN" w:bidi="ar"/>
              </w:rPr>
              <w:t>投标人在投标活动中无欺诈行为；</w:t>
            </w:r>
          </w:p>
          <w:p w14:paraId="3B9F3267">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4" w:right="0"/>
              <w:jc w:val="left"/>
              <w:textAlignment w:val="baseline"/>
              <w:rPr>
                <w:rFonts w:hint="eastAsia" w:ascii="宋体" w:hAnsi="宋体" w:eastAsia="宋体" w:cs="宋体"/>
                <w:color w:val="auto"/>
                <w:spacing w:val="0"/>
                <w:w w:val="100"/>
                <w:kern w:val="0"/>
                <w:sz w:val="21"/>
                <w:szCs w:val="21"/>
                <w:highlight w:val="none"/>
              </w:rPr>
            </w:pPr>
            <w:r>
              <w:rPr>
                <w:rFonts w:hint="default" w:ascii="Times New Roman" w:hAnsi="Times New Roman" w:eastAsia="宋体" w:cs="Times New Roman"/>
                <w:snapToGrid/>
                <w:color w:val="auto"/>
                <w:spacing w:val="0"/>
                <w:w w:val="100"/>
                <w:kern w:val="0"/>
                <w:sz w:val="21"/>
                <w:szCs w:val="21"/>
                <w:highlight w:val="none"/>
                <w:lang w:val="en-US" w:eastAsia="zh-CN" w:bidi="ar"/>
              </w:rPr>
              <w:t>f.</w:t>
            </w:r>
            <w:r>
              <w:rPr>
                <w:rFonts w:hint="eastAsia" w:ascii="宋体" w:hAnsi="宋体" w:eastAsia="宋体" w:cs="宋体"/>
                <w:snapToGrid/>
                <w:color w:val="auto"/>
                <w:spacing w:val="0"/>
                <w:w w:val="100"/>
                <w:kern w:val="0"/>
                <w:sz w:val="21"/>
                <w:szCs w:val="21"/>
                <w:highlight w:val="none"/>
                <w:lang w:val="en-US" w:eastAsia="zh-CN" w:bidi="ar"/>
              </w:rPr>
              <w:t>投标人未对合同条款有重要保留。</w:t>
            </w:r>
          </w:p>
          <w:p w14:paraId="75678655">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8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Times New Roman" w:hAnsi="Times New Roman" w:eastAsia="宋体" w:cs="Times New Roman"/>
                <w:snapToGrid/>
                <w:color w:val="auto"/>
                <w:spacing w:val="0"/>
                <w:w w:val="100"/>
                <w:kern w:val="0"/>
                <w:sz w:val="21"/>
                <w:szCs w:val="21"/>
                <w:highlight w:val="none"/>
                <w:lang w:val="en-US" w:eastAsia="zh-CN" w:bidi="ar"/>
              </w:rPr>
              <w:t>13</w:t>
            </w:r>
            <w:r>
              <w:rPr>
                <w:rFonts w:hint="eastAsia" w:ascii="宋体" w:hAnsi="宋体" w:eastAsia="宋体" w:cs="宋体"/>
                <w:snapToGrid/>
                <w:color w:val="auto"/>
                <w:spacing w:val="0"/>
                <w:w w:val="100"/>
                <w:kern w:val="0"/>
                <w:sz w:val="21"/>
                <w:szCs w:val="21"/>
                <w:highlight w:val="none"/>
                <w:lang w:val="en-US" w:eastAsia="zh-CN" w:bidi="ar"/>
              </w:rPr>
              <w:t>）投标人对其信誉情况的承诺与事实相符。</w:t>
            </w:r>
          </w:p>
          <w:p w14:paraId="1141D4DF">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5" w:right="98" w:firstLine="425"/>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Times New Roman" w:hAnsi="Times New Roman" w:eastAsia="宋体" w:cs="Times New Roman"/>
                <w:snapToGrid/>
                <w:color w:val="auto"/>
                <w:spacing w:val="0"/>
                <w:w w:val="100"/>
                <w:kern w:val="0"/>
                <w:sz w:val="21"/>
                <w:szCs w:val="21"/>
                <w:highlight w:val="none"/>
                <w:lang w:val="en-US" w:eastAsia="zh-CN" w:bidi="ar"/>
              </w:rPr>
              <w:t>14</w:t>
            </w:r>
            <w:r>
              <w:rPr>
                <w:rFonts w:hint="eastAsia" w:ascii="宋体" w:hAnsi="宋体" w:eastAsia="宋体" w:cs="宋体"/>
                <w:snapToGrid/>
                <w:color w:val="auto"/>
                <w:spacing w:val="0"/>
                <w:w w:val="100"/>
                <w:kern w:val="0"/>
                <w:sz w:val="21"/>
                <w:szCs w:val="21"/>
                <w:highlight w:val="none"/>
                <w:lang w:val="en-US" w:eastAsia="zh-CN" w:bidi="ar"/>
              </w:rPr>
              <w:t>）投标人网上下载招标文件的标段、投标保证金提交的标段和投标文件所投标段一致。</w:t>
            </w:r>
          </w:p>
          <w:p w14:paraId="46377421">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15</w:t>
            </w:r>
            <w:r>
              <w:rPr>
                <w:rFonts w:hint="eastAsia" w:ascii="宋体" w:hAnsi="宋体" w:eastAsia="宋体" w:cs="宋体"/>
                <w:snapToGrid/>
                <w:color w:val="auto"/>
                <w:spacing w:val="0"/>
                <w:w w:val="100"/>
                <w:kern w:val="0"/>
                <w:sz w:val="21"/>
                <w:szCs w:val="21"/>
                <w:highlight w:val="none"/>
                <w:vertAlign w:val="baseline"/>
                <w:lang w:val="en-US" w:eastAsia="zh-CN" w:bidi="ar"/>
              </w:rPr>
              <w:t>）投标文件未附有招标人不能接受的条件。</w:t>
            </w:r>
          </w:p>
          <w:p w14:paraId="3ABEC891">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7"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b/>
                <w:bCs/>
                <w:snapToGrid/>
                <w:color w:val="auto"/>
                <w:spacing w:val="0"/>
                <w:w w:val="100"/>
                <w:kern w:val="0"/>
                <w:sz w:val="21"/>
                <w:szCs w:val="21"/>
                <w:highlight w:val="none"/>
                <w:lang w:val="en-US" w:eastAsia="zh-CN" w:bidi="ar"/>
              </w:rPr>
              <w:t>第二个信封（报价文件）评审标准：</w:t>
            </w:r>
          </w:p>
          <w:p w14:paraId="3F929711">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6" w:right="59" w:firstLine="424"/>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（1）投标文件按照招标文件规定的格式、内容填写，字迹清晰可辨，内容齐全完整；</w:t>
            </w:r>
          </w:p>
          <w:p w14:paraId="3B39ED32">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4" w:right="57" w:firstLine="42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a.投标函按招标文件规定填报了项目名称、标段号、投标价（包括大写金额和小写金额）；</w:t>
            </w:r>
          </w:p>
          <w:p w14:paraId="31F3AD10">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7" w:right="90" w:firstLine="414"/>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b.已标价报价清单说明文字与招标文件规定一致，未进行实质 性修改和删减；</w:t>
            </w:r>
          </w:p>
          <w:p w14:paraId="0DC147AA">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78"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c.投标文件组成齐全完整，内容均按规定填写。</w:t>
            </w:r>
          </w:p>
          <w:p w14:paraId="06C39872">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right="66" w:firstLine="418"/>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（2）投标文件上法定代表人电子签名章、投标人的单位电子印章盖章齐全，符合招标文件规定。</w:t>
            </w:r>
          </w:p>
          <w:p w14:paraId="4E55CAE7">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8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（3）投标报价未超过招标文件设定的最高投标限价。</w:t>
            </w:r>
          </w:p>
          <w:p w14:paraId="4418E3D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81" w:right="0"/>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（4）投标报价的大写金额能够确定具体数值。</w:t>
            </w:r>
          </w:p>
          <w:p w14:paraId="20A51AF4">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5" w:right="47" w:firstLine="425"/>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（5）同一投标人未提交两个以上不同的投标报价，但招标文件要求提交备选投标的除外。</w:t>
            </w:r>
          </w:p>
          <w:p w14:paraId="2FBFC9E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53" w:right="61" w:firstLine="427"/>
              <w:jc w:val="left"/>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（6）按招标文件要求上传了加密电子投标文件，并按要求成功解密。</w:t>
            </w:r>
          </w:p>
          <w:p w14:paraId="6982158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 w:leftChars="0" w:right="0" w:rightChars="0" w:firstLine="420" w:firstLineChars="200"/>
              <w:jc w:val="left"/>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（7）其他实质性要求：符合招标文件的其他实质性要求和条件。</w:t>
            </w:r>
          </w:p>
        </w:tc>
      </w:tr>
      <w:tr w14:paraId="05DEC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640" w:hRule="atLeast"/>
          <w:jc w:val="center"/>
        </w:trPr>
        <w:tc>
          <w:tcPr>
            <w:tcW w:w="93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F42F0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rightChars="0"/>
              <w:jc w:val="center"/>
              <w:textAlignment w:val="baseline"/>
              <w:rPr>
                <w:rFonts w:hint="default" w:ascii="Times New Roman" w:hAnsi="Times New Roman" w:cs="Times New Roman"/>
                <w:color w:val="auto"/>
                <w:spacing w:val="0"/>
                <w:w w:val="100"/>
                <w:kern w:val="0"/>
                <w:sz w:val="21"/>
                <w:szCs w:val="21"/>
                <w:highlight w:val="none"/>
              </w:rPr>
            </w:pPr>
            <w:r>
              <w:rPr>
                <w:rFonts w:hint="default" w:ascii="Times New Roman" w:hAnsi="Times New Roman" w:eastAsia="Arial" w:cs="Times New Roman"/>
                <w:snapToGrid w:val="0"/>
                <w:color w:val="auto"/>
                <w:spacing w:val="0"/>
                <w:w w:val="100"/>
                <w:kern w:val="0"/>
                <w:sz w:val="21"/>
                <w:szCs w:val="21"/>
                <w:highlight w:val="none"/>
                <w:lang w:val="en-US" w:eastAsia="zh-CN" w:bidi="ar"/>
              </w:rPr>
              <w:t>2.1.2</w:t>
            </w:r>
          </w:p>
        </w:tc>
        <w:tc>
          <w:tcPr>
            <w:tcW w:w="12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E5F551">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143" w:rightChars="0"/>
              <w:jc w:val="center"/>
              <w:textAlignment w:val="baseline"/>
              <w:rPr>
                <w:rFonts w:hint="eastAsia" w:ascii="宋体" w:hAnsi="宋体" w:eastAsia="宋体" w:cs="宋体"/>
                <w:color w:val="auto"/>
                <w:spacing w:val="0"/>
                <w:w w:val="100"/>
                <w:kern w:val="0"/>
                <w:sz w:val="21"/>
                <w:szCs w:val="21"/>
                <w:highlight w:val="none"/>
              </w:rPr>
            </w:pPr>
            <w:r>
              <w:rPr>
                <w:rFonts w:hint="eastAsia" w:ascii="宋体" w:hAnsi="宋体" w:eastAsia="宋体" w:cs="宋体"/>
                <w:snapToGrid/>
                <w:color w:val="auto"/>
                <w:spacing w:val="0"/>
                <w:w w:val="100"/>
                <w:kern w:val="0"/>
                <w:sz w:val="21"/>
                <w:szCs w:val="21"/>
                <w:highlight w:val="none"/>
                <w:lang w:val="en-US" w:eastAsia="zh-CN" w:bidi="ar"/>
              </w:rPr>
              <w:t>资格评审标准</w:t>
            </w:r>
          </w:p>
        </w:tc>
        <w:tc>
          <w:tcPr>
            <w:tcW w:w="7185" w:type="dxa"/>
            <w:tcBorders>
              <w:top w:val="single" w:color="000000" w:sz="2" w:space="0"/>
              <w:left w:val="single" w:color="000000" w:sz="2" w:space="0"/>
              <w:bottom w:val="single" w:color="000000" w:sz="2" w:space="0"/>
              <w:right w:val="single" w:color="000000" w:sz="2" w:space="0"/>
            </w:tcBorders>
            <w:shd w:val="clear" w:color="auto" w:fill="auto"/>
            <w:vAlign w:val="top"/>
          </w:tcPr>
          <w:p w14:paraId="0B04962B">
            <w:pPr>
              <w:pStyle w:val="10"/>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firstLine="420" w:firstLineChars="200"/>
              <w:jc w:val="both"/>
              <w:textAlignment w:val="baseline"/>
              <w:rPr>
                <w:rFonts w:hint="eastAsia" w:ascii="宋体" w:hAnsi="宋体" w:eastAsia="宋体" w:cs="宋体"/>
                <w:snapToGrid/>
                <w:color w:val="auto"/>
                <w:spacing w:val="0"/>
                <w:w w:val="100"/>
                <w:kern w:val="0"/>
                <w:sz w:val="21"/>
                <w:szCs w:val="21"/>
                <w:highlight w:val="no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宋体" w:hAnsi="宋体" w:eastAsia="宋体" w:cs="宋体"/>
                <w:snapToGrid/>
                <w:color w:val="auto"/>
                <w:spacing w:val="0"/>
                <w:w w:val="100"/>
                <w:kern w:val="0"/>
                <w:sz w:val="21"/>
                <w:szCs w:val="21"/>
                <w:highlight w:val="none"/>
                <w:lang w:val="en-US" w:eastAsia="zh-CN" w:bidi="ar"/>
              </w:rPr>
              <w:t>1</w:t>
            </w:r>
            <w:r>
              <w:rPr>
                <w:rFonts w:hint="eastAsia" w:ascii="宋体" w:hAnsi="宋体" w:eastAsia="宋体" w:cs="宋体"/>
                <w:snapToGrid/>
                <w:color w:val="auto"/>
                <w:spacing w:val="0"/>
                <w:w w:val="100"/>
                <w:kern w:val="0"/>
                <w:sz w:val="21"/>
                <w:szCs w:val="21"/>
                <w:highlight w:val="none"/>
                <w:lang w:val="en-US" w:eastAsia="zh-CN" w:bidi="ar"/>
              </w:rPr>
              <w:t>）投标人具备有效的营业执照、组织机构代码证、勘察资质证书、设计资质证书和基本账户开户许可证或基本存款账户编号。</w:t>
            </w:r>
          </w:p>
          <w:p w14:paraId="374C3295">
            <w:pPr>
              <w:pStyle w:val="10"/>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firstLine="420" w:firstLineChars="200"/>
              <w:jc w:val="both"/>
              <w:textAlignment w:val="baseline"/>
              <w:rPr>
                <w:rFonts w:hint="eastAsia" w:ascii="宋体" w:hAnsi="宋体" w:eastAsia="宋体" w:cs="宋体"/>
                <w:snapToGrid/>
                <w:color w:val="auto"/>
                <w:spacing w:val="0"/>
                <w:w w:val="100"/>
                <w:kern w:val="0"/>
                <w:sz w:val="21"/>
                <w:szCs w:val="21"/>
                <w:highlight w:val="none"/>
                <w:lang w:val="en-US" w:eastAsia="zh-CN" w:bidi="ar"/>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宋体" w:hAnsi="宋体" w:eastAsia="宋体" w:cs="宋体"/>
                <w:snapToGrid/>
                <w:color w:val="auto"/>
                <w:spacing w:val="0"/>
                <w:w w:val="100"/>
                <w:kern w:val="0"/>
                <w:sz w:val="21"/>
                <w:szCs w:val="21"/>
                <w:highlight w:val="none"/>
                <w:lang w:val="en-US" w:eastAsia="zh-CN" w:bidi="ar"/>
              </w:rPr>
              <w:t>2</w:t>
            </w:r>
            <w:r>
              <w:rPr>
                <w:rFonts w:hint="eastAsia" w:ascii="宋体" w:hAnsi="宋体" w:eastAsia="宋体" w:cs="宋体"/>
                <w:snapToGrid/>
                <w:color w:val="auto"/>
                <w:spacing w:val="0"/>
                <w:w w:val="100"/>
                <w:kern w:val="0"/>
                <w:sz w:val="21"/>
                <w:szCs w:val="21"/>
                <w:highlight w:val="none"/>
                <w:lang w:val="en-US" w:eastAsia="zh-CN" w:bidi="ar"/>
              </w:rPr>
              <w:t>）投标人的资质等级符合招标文件规定。</w:t>
            </w:r>
          </w:p>
          <w:p w14:paraId="3D094FEA">
            <w:pPr>
              <w:pStyle w:val="10"/>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firstLine="420" w:firstLineChars="200"/>
              <w:jc w:val="both"/>
              <w:textAlignment w:val="baseline"/>
              <w:rPr>
                <w:rFonts w:hint="eastAsia" w:ascii="宋体" w:hAnsi="宋体" w:eastAsia="宋体" w:cs="宋体"/>
                <w:snapToGrid/>
                <w:color w:val="auto"/>
                <w:spacing w:val="0"/>
                <w:w w:val="100"/>
                <w:kern w:val="0"/>
                <w:sz w:val="21"/>
                <w:szCs w:val="21"/>
                <w:highlight w:val="none"/>
                <w:lang w:val="en-US" w:eastAsia="zh-CN" w:bidi="ar"/>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宋体" w:hAnsi="宋体" w:eastAsia="宋体" w:cs="宋体"/>
                <w:snapToGrid/>
                <w:color w:val="auto"/>
                <w:spacing w:val="0"/>
                <w:w w:val="100"/>
                <w:kern w:val="0"/>
                <w:sz w:val="21"/>
                <w:szCs w:val="21"/>
                <w:highlight w:val="none"/>
                <w:lang w:val="en-US" w:eastAsia="zh-CN" w:bidi="ar"/>
              </w:rPr>
              <w:t>3</w:t>
            </w:r>
            <w:r>
              <w:rPr>
                <w:rFonts w:hint="eastAsia" w:ascii="宋体" w:hAnsi="宋体" w:eastAsia="宋体" w:cs="宋体"/>
                <w:snapToGrid/>
                <w:color w:val="auto"/>
                <w:spacing w:val="0"/>
                <w:w w:val="100"/>
                <w:kern w:val="0"/>
                <w:sz w:val="21"/>
                <w:szCs w:val="21"/>
                <w:highlight w:val="none"/>
                <w:lang w:val="en-US" w:eastAsia="zh-CN" w:bidi="ar"/>
              </w:rPr>
              <w:t>）投标人的类似项目业绩符合招标文件规定。</w:t>
            </w:r>
          </w:p>
          <w:p w14:paraId="3339BBCF">
            <w:pPr>
              <w:pStyle w:val="10"/>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firstLine="420" w:firstLineChars="200"/>
              <w:jc w:val="both"/>
              <w:textAlignment w:val="baseline"/>
              <w:rPr>
                <w:rFonts w:hint="eastAsia" w:ascii="宋体" w:hAnsi="宋体" w:eastAsia="宋体" w:cs="宋体"/>
                <w:snapToGrid/>
                <w:color w:val="auto"/>
                <w:spacing w:val="0"/>
                <w:w w:val="100"/>
                <w:kern w:val="0"/>
                <w:sz w:val="21"/>
                <w:szCs w:val="21"/>
                <w:highlight w:val="none"/>
                <w:lang w:val="en-US" w:eastAsia="zh-CN" w:bidi="ar"/>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宋体" w:hAnsi="宋体" w:eastAsia="宋体" w:cs="宋体"/>
                <w:snapToGrid/>
                <w:color w:val="auto"/>
                <w:spacing w:val="0"/>
                <w:w w:val="100"/>
                <w:kern w:val="0"/>
                <w:sz w:val="21"/>
                <w:szCs w:val="21"/>
                <w:highlight w:val="none"/>
                <w:lang w:val="en-US" w:eastAsia="zh-CN" w:bidi="ar"/>
              </w:rPr>
              <w:t>4</w:t>
            </w:r>
            <w:r>
              <w:rPr>
                <w:rFonts w:hint="eastAsia" w:ascii="宋体" w:hAnsi="宋体" w:eastAsia="宋体" w:cs="宋体"/>
                <w:snapToGrid/>
                <w:color w:val="auto"/>
                <w:spacing w:val="0"/>
                <w:w w:val="100"/>
                <w:kern w:val="0"/>
                <w:sz w:val="21"/>
                <w:szCs w:val="21"/>
                <w:highlight w:val="none"/>
                <w:lang w:val="en-US" w:eastAsia="zh-CN" w:bidi="ar"/>
              </w:rPr>
              <w:t>）投标人的信誉符合招标文件规定。</w:t>
            </w:r>
          </w:p>
          <w:p w14:paraId="5D298D64">
            <w:pPr>
              <w:pStyle w:val="10"/>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firstLine="420" w:firstLineChars="200"/>
              <w:jc w:val="both"/>
              <w:textAlignment w:val="baseline"/>
              <w:rPr>
                <w:rFonts w:hint="eastAsia" w:ascii="宋体" w:hAnsi="宋体" w:eastAsia="宋体" w:cs="宋体"/>
                <w:snapToGrid/>
                <w:color w:val="auto"/>
                <w:spacing w:val="0"/>
                <w:w w:val="100"/>
                <w:kern w:val="0"/>
                <w:sz w:val="21"/>
                <w:szCs w:val="21"/>
                <w:highlight w:val="none"/>
                <w:lang w:val="en-US" w:eastAsia="zh-CN" w:bidi="ar"/>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宋体" w:hAnsi="宋体" w:eastAsia="宋体" w:cs="宋体"/>
                <w:snapToGrid/>
                <w:color w:val="auto"/>
                <w:spacing w:val="0"/>
                <w:w w:val="100"/>
                <w:kern w:val="0"/>
                <w:sz w:val="21"/>
                <w:szCs w:val="21"/>
                <w:highlight w:val="none"/>
                <w:lang w:val="en-US" w:eastAsia="zh-CN" w:bidi="ar"/>
              </w:rPr>
              <w:t>5</w:t>
            </w:r>
            <w:r>
              <w:rPr>
                <w:rFonts w:hint="eastAsia" w:ascii="宋体" w:hAnsi="宋体" w:eastAsia="宋体" w:cs="宋体"/>
                <w:snapToGrid/>
                <w:color w:val="auto"/>
                <w:spacing w:val="0"/>
                <w:w w:val="100"/>
                <w:kern w:val="0"/>
                <w:sz w:val="21"/>
                <w:szCs w:val="21"/>
                <w:highlight w:val="none"/>
                <w:lang w:val="en-US" w:eastAsia="zh-CN" w:bidi="ar"/>
              </w:rPr>
              <w:t>）投标人的项目负责人资格符合招标文件规定。</w:t>
            </w:r>
          </w:p>
          <w:p w14:paraId="7E77DD46">
            <w:pPr>
              <w:pStyle w:val="10"/>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firstLine="420" w:firstLineChars="200"/>
              <w:jc w:val="both"/>
              <w:textAlignment w:val="baseline"/>
              <w:rPr>
                <w:rFonts w:hint="eastAsia" w:ascii="宋体" w:hAnsi="宋体" w:eastAsia="宋体" w:cs="宋体"/>
                <w:snapToGrid/>
                <w:color w:val="auto"/>
                <w:spacing w:val="0"/>
                <w:w w:val="100"/>
                <w:kern w:val="0"/>
                <w:sz w:val="21"/>
                <w:szCs w:val="21"/>
                <w:highlight w:val="none"/>
                <w:lang w:val="en-US" w:eastAsia="zh-CN" w:bidi="ar"/>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宋体" w:hAnsi="宋体" w:eastAsia="宋体" w:cs="宋体"/>
                <w:snapToGrid/>
                <w:color w:val="auto"/>
                <w:spacing w:val="0"/>
                <w:w w:val="100"/>
                <w:kern w:val="0"/>
                <w:sz w:val="21"/>
                <w:szCs w:val="21"/>
                <w:highlight w:val="none"/>
                <w:lang w:val="en-US" w:eastAsia="zh-CN" w:bidi="ar"/>
              </w:rPr>
              <w:t>6</w:t>
            </w:r>
            <w:r>
              <w:rPr>
                <w:rFonts w:hint="eastAsia" w:ascii="宋体" w:hAnsi="宋体" w:eastAsia="宋体" w:cs="宋体"/>
                <w:snapToGrid/>
                <w:color w:val="auto"/>
                <w:spacing w:val="0"/>
                <w:w w:val="100"/>
                <w:kern w:val="0"/>
                <w:sz w:val="21"/>
                <w:szCs w:val="21"/>
                <w:highlight w:val="none"/>
                <w:lang w:val="en-US" w:eastAsia="zh-CN" w:bidi="ar"/>
              </w:rPr>
              <w:t>）投标人的其他要求符合招标文件规定。</w:t>
            </w:r>
          </w:p>
          <w:p w14:paraId="531E7DB2">
            <w:pPr>
              <w:pStyle w:val="10"/>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firstLine="420" w:firstLineChars="200"/>
              <w:jc w:val="both"/>
              <w:textAlignment w:val="baseline"/>
              <w:rPr>
                <w:rFonts w:hint="eastAsia" w:ascii="宋体" w:hAnsi="宋体" w:eastAsia="宋体" w:cs="宋体"/>
                <w:snapToGrid/>
                <w:color w:val="auto"/>
                <w:spacing w:val="0"/>
                <w:w w:val="100"/>
                <w:kern w:val="0"/>
                <w:sz w:val="21"/>
                <w:szCs w:val="21"/>
                <w:highlight w:val="none"/>
                <w:lang w:val="en-US" w:eastAsia="zh-CN" w:bidi="ar"/>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宋体" w:hAnsi="宋体" w:eastAsia="宋体" w:cs="宋体"/>
                <w:snapToGrid/>
                <w:color w:val="auto"/>
                <w:spacing w:val="0"/>
                <w:w w:val="100"/>
                <w:kern w:val="0"/>
                <w:sz w:val="21"/>
                <w:szCs w:val="21"/>
                <w:highlight w:val="none"/>
                <w:lang w:val="en-US" w:eastAsia="zh-CN" w:bidi="ar"/>
              </w:rPr>
              <w:t>7</w:t>
            </w:r>
            <w:r>
              <w:rPr>
                <w:rFonts w:hint="eastAsia" w:ascii="宋体" w:hAnsi="宋体" w:eastAsia="宋体" w:cs="宋体"/>
                <w:snapToGrid/>
                <w:color w:val="auto"/>
                <w:spacing w:val="0"/>
                <w:w w:val="100"/>
                <w:kern w:val="0"/>
                <w:sz w:val="21"/>
                <w:szCs w:val="21"/>
                <w:highlight w:val="none"/>
                <w:lang w:val="en-US" w:eastAsia="zh-CN" w:bidi="ar"/>
              </w:rPr>
              <w:t>）投标人不存在第二章“投标人须知”第</w:t>
            </w:r>
            <w:r>
              <w:rPr>
                <w:rFonts w:hint="default" w:ascii="宋体" w:hAnsi="宋体" w:eastAsia="宋体" w:cs="宋体"/>
                <w:snapToGrid/>
                <w:color w:val="auto"/>
                <w:spacing w:val="0"/>
                <w:w w:val="100"/>
                <w:kern w:val="0"/>
                <w:sz w:val="21"/>
                <w:szCs w:val="21"/>
                <w:highlight w:val="none"/>
                <w:lang w:val="en-US" w:eastAsia="zh-CN" w:bidi="ar"/>
              </w:rPr>
              <w:t>1.4.3</w:t>
            </w:r>
            <w:r>
              <w:rPr>
                <w:rFonts w:hint="eastAsia" w:ascii="宋体" w:hAnsi="宋体" w:eastAsia="宋体" w:cs="宋体"/>
                <w:snapToGrid/>
                <w:color w:val="auto"/>
                <w:spacing w:val="0"/>
                <w:w w:val="100"/>
                <w:kern w:val="0"/>
                <w:sz w:val="21"/>
                <w:szCs w:val="21"/>
                <w:highlight w:val="none"/>
                <w:lang w:val="en-US" w:eastAsia="zh-CN" w:bidi="ar"/>
              </w:rPr>
              <w:t>项或第</w:t>
            </w:r>
            <w:r>
              <w:rPr>
                <w:rFonts w:hint="default" w:ascii="宋体" w:hAnsi="宋体" w:eastAsia="宋体" w:cs="宋体"/>
                <w:snapToGrid/>
                <w:color w:val="auto"/>
                <w:spacing w:val="0"/>
                <w:w w:val="100"/>
                <w:kern w:val="0"/>
                <w:sz w:val="21"/>
                <w:szCs w:val="21"/>
                <w:highlight w:val="none"/>
                <w:lang w:val="en-US" w:eastAsia="zh-CN" w:bidi="ar"/>
              </w:rPr>
              <w:t>1.4.4</w:t>
            </w:r>
            <w:r>
              <w:rPr>
                <w:rFonts w:hint="eastAsia" w:ascii="宋体" w:hAnsi="宋体" w:eastAsia="宋体" w:cs="宋体"/>
                <w:snapToGrid/>
                <w:color w:val="auto"/>
                <w:spacing w:val="0"/>
                <w:w w:val="100"/>
                <w:kern w:val="0"/>
                <w:sz w:val="21"/>
                <w:szCs w:val="21"/>
                <w:highlight w:val="none"/>
                <w:lang w:val="en-US" w:eastAsia="zh-CN" w:bidi="ar"/>
              </w:rPr>
              <w:t>项规定的任何一种情形。</w:t>
            </w:r>
          </w:p>
          <w:p w14:paraId="3F629086">
            <w:pPr>
              <w:pStyle w:val="10"/>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firstLine="420" w:firstLineChars="20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lang w:val="en-US" w:eastAsia="zh-CN" w:bidi="ar"/>
              </w:rPr>
              <w:t>（</w:t>
            </w:r>
            <w:r>
              <w:rPr>
                <w:rFonts w:hint="default" w:ascii="宋体" w:hAnsi="宋体" w:eastAsia="宋体" w:cs="宋体"/>
                <w:snapToGrid/>
                <w:color w:val="auto"/>
                <w:spacing w:val="0"/>
                <w:w w:val="100"/>
                <w:kern w:val="0"/>
                <w:sz w:val="21"/>
                <w:szCs w:val="21"/>
                <w:highlight w:val="none"/>
                <w:lang w:val="en-US" w:eastAsia="zh-CN" w:bidi="ar"/>
              </w:rPr>
              <w:t>8</w:t>
            </w:r>
            <w:r>
              <w:rPr>
                <w:rFonts w:hint="eastAsia" w:ascii="宋体" w:hAnsi="宋体" w:eastAsia="宋体" w:cs="宋体"/>
                <w:snapToGrid/>
                <w:color w:val="auto"/>
                <w:spacing w:val="0"/>
                <w:w w:val="100"/>
                <w:kern w:val="0"/>
                <w:sz w:val="21"/>
                <w:szCs w:val="21"/>
                <w:highlight w:val="none"/>
                <w:lang w:val="en-US" w:eastAsia="zh-CN" w:bidi="ar"/>
              </w:rPr>
              <w:t>）以联合体形式参与投标的，联合体各方均未再以自己名义单独或参加其他联合体在同一标段中投标；独立参与投标的，投标人未同时参加联合体在同一标段中投标。</w:t>
            </w:r>
          </w:p>
        </w:tc>
      </w:tr>
      <w:tr w14:paraId="4D6F9D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640" w:hRule="atLeast"/>
          <w:jc w:val="center"/>
        </w:trPr>
        <w:tc>
          <w:tcPr>
            <w:tcW w:w="93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B682A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rightChars="0"/>
              <w:jc w:val="center"/>
              <w:textAlignment w:val="baseline"/>
              <w:rPr>
                <w:rFonts w:hint="default" w:ascii="Times New Roman" w:hAnsi="Times New Roman" w:eastAsia="Arial" w:cs="Times New Roman"/>
                <w:snapToGrid w:val="0"/>
                <w:color w:val="auto"/>
                <w:spacing w:val="0"/>
                <w:w w:val="100"/>
                <w:kern w:val="0"/>
                <w:sz w:val="21"/>
                <w:szCs w:val="21"/>
                <w:highlight w:val="none"/>
                <w:lang w:val="en-US" w:eastAsia="zh-CN" w:bidi="ar"/>
              </w:rPr>
            </w:pPr>
            <w:r>
              <w:rPr>
                <w:rFonts w:hint="default" w:ascii="Times New Roman" w:hAnsi="Times New Roman" w:eastAsia="Times New Roman" w:cs="Times New Roman"/>
                <w:color w:val="auto"/>
                <w:spacing w:val="0"/>
                <w:w w:val="100"/>
                <w:position w:val="0"/>
                <w:sz w:val="21"/>
                <w:szCs w:val="21"/>
                <w:highlight w:val="none"/>
              </w:rPr>
              <w:t>2.2.1</w:t>
            </w:r>
          </w:p>
        </w:tc>
        <w:tc>
          <w:tcPr>
            <w:tcW w:w="1272"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AA1BB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rightChars="0"/>
              <w:jc w:val="center"/>
              <w:textAlignment w:val="baseline"/>
              <w:rPr>
                <w:rFonts w:hint="eastAsia" w:ascii="宋体" w:hAnsi="宋体" w:eastAsia="宋体" w:cs="宋体"/>
                <w:snapToGrid/>
                <w:color w:val="auto"/>
                <w:spacing w:val="0"/>
                <w:w w:val="100"/>
                <w:kern w:val="0"/>
                <w:sz w:val="21"/>
                <w:szCs w:val="21"/>
                <w:highlight w:val="none"/>
                <w:lang w:val="en-US" w:eastAsia="zh-CN" w:bidi="ar"/>
              </w:rPr>
            </w:pPr>
            <w:r>
              <w:rPr>
                <w:rFonts w:hint="default"/>
                <w:color w:val="auto"/>
                <w:spacing w:val="0"/>
                <w:w w:val="100"/>
                <w:position w:val="0"/>
                <w:highlight w:val="none"/>
              </w:rPr>
              <w:t>分值构成（总分</w:t>
            </w:r>
            <w:r>
              <w:rPr>
                <w:rFonts w:hint="default" w:ascii="Times New Roman" w:hAnsi="Times New Roman" w:eastAsia="Times New Roman" w:cs="Times New Roman"/>
                <w:color w:val="auto"/>
                <w:spacing w:val="0"/>
                <w:w w:val="100"/>
                <w:position w:val="0"/>
                <w:highlight w:val="none"/>
              </w:rPr>
              <w:t>100</w:t>
            </w:r>
            <w:r>
              <w:rPr>
                <w:rFonts w:hint="default"/>
                <w:color w:val="auto"/>
                <w:spacing w:val="0"/>
                <w:w w:val="100"/>
                <w:position w:val="0"/>
                <w:highlight w:val="none"/>
              </w:rPr>
              <w:t>分）</w:t>
            </w:r>
          </w:p>
        </w:tc>
        <w:tc>
          <w:tcPr>
            <w:tcW w:w="7185" w:type="dxa"/>
            <w:tcBorders>
              <w:top w:val="single" w:color="000000" w:sz="2" w:space="0"/>
              <w:left w:val="single" w:color="000000" w:sz="2" w:space="0"/>
              <w:bottom w:val="single" w:color="000000" w:sz="2" w:space="0"/>
              <w:right w:val="single" w:color="000000" w:sz="2" w:space="0"/>
            </w:tcBorders>
            <w:shd w:val="clear" w:color="auto" w:fill="auto"/>
            <w:vAlign w:val="top"/>
          </w:tcPr>
          <w:p w14:paraId="658B8C44">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第一个信封（商务及技术文件）评分分值构成：</w:t>
            </w:r>
          </w:p>
          <w:p w14:paraId="50A3C631">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技术建议书：</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40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7B375900">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主要人员：</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15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69C12142">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业绩：</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20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4996E0E1">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履约信誉：</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5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428AE98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技术能力：</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4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27B78AB0">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获奖：</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6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p w14:paraId="26694C68">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第二个信封（报价文件）评分分值构成：</w:t>
            </w:r>
          </w:p>
          <w:p w14:paraId="637D611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47" w:rightChars="0"/>
              <w:jc w:val="both"/>
              <w:textAlignment w:val="baseline"/>
              <w:rPr>
                <w:rFonts w:hint="eastAsia" w:ascii="宋体" w:hAnsi="宋体" w:eastAsia="宋体" w:cs="宋体"/>
                <w:snapToGrid/>
                <w:color w:val="auto"/>
                <w:spacing w:val="0"/>
                <w:w w:val="100"/>
                <w:kern w:val="0"/>
                <w:sz w:val="21"/>
                <w:szCs w:val="21"/>
                <w:highlight w:val="no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评标价：</w:t>
            </w:r>
            <w:r>
              <w:rPr>
                <w:rFonts w:hint="eastAsia" w:ascii="宋体" w:hAnsi="宋体" w:eastAsia="宋体" w:cs="宋体"/>
                <w:snapToGrid/>
                <w:color w:val="auto"/>
                <w:spacing w:val="0"/>
                <w:w w:val="100"/>
                <w:kern w:val="0"/>
                <w:sz w:val="21"/>
                <w:szCs w:val="21"/>
                <w:highlight w:val="none"/>
                <w:u w:val="single"/>
                <w:vertAlign w:val="baseline"/>
                <w:lang w:val="en-US" w:eastAsia="zh-CN" w:bidi="ar"/>
              </w:rPr>
              <w:t xml:space="preserve">  10  </w:t>
            </w:r>
            <w:r>
              <w:rPr>
                <w:rFonts w:hint="eastAsia" w:ascii="宋体" w:hAnsi="宋体" w:eastAsia="宋体" w:cs="宋体"/>
                <w:snapToGrid/>
                <w:color w:val="auto"/>
                <w:spacing w:val="0"/>
                <w:w w:val="100"/>
                <w:kern w:val="0"/>
                <w:sz w:val="21"/>
                <w:szCs w:val="21"/>
                <w:highlight w:val="none"/>
                <w:vertAlign w:val="baseline"/>
                <w:lang w:val="en-US" w:eastAsia="zh-CN" w:bidi="ar"/>
              </w:rPr>
              <w:t>分</w:t>
            </w:r>
          </w:p>
        </w:tc>
      </w:tr>
      <w:tr w14:paraId="6422A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228" w:hRule="atLeast"/>
          <w:jc w:val="center"/>
        </w:trPr>
        <w:tc>
          <w:tcPr>
            <w:tcW w:w="935" w:type="dxa"/>
            <w:shd w:val="clear" w:color="auto" w:fill="auto"/>
            <w:vAlign w:val="center"/>
          </w:tcPr>
          <w:p w14:paraId="4DB8FB5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2.2.2</w:t>
            </w:r>
          </w:p>
        </w:tc>
        <w:tc>
          <w:tcPr>
            <w:tcW w:w="1272" w:type="dxa"/>
            <w:shd w:val="clear" w:color="auto" w:fill="auto"/>
            <w:vAlign w:val="center"/>
          </w:tcPr>
          <w:p w14:paraId="218405DB">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right="0"/>
              <w:jc w:val="center"/>
              <w:textAlignment w:val="baseline"/>
              <w:rPr>
                <w:rFonts w:hint="default"/>
                <w:color w:val="auto"/>
                <w:spacing w:val="0"/>
                <w:w w:val="100"/>
                <w:position w:val="0"/>
                <w:highlight w:val="none"/>
              </w:rPr>
            </w:pPr>
            <w:r>
              <w:rPr>
                <w:rFonts w:hint="eastAsia" w:ascii="宋体" w:hAnsi="宋体" w:eastAsia="宋体" w:cs="宋体"/>
                <w:snapToGrid/>
                <w:color w:val="auto"/>
                <w:spacing w:val="0"/>
                <w:w w:val="100"/>
                <w:kern w:val="0"/>
                <w:sz w:val="21"/>
                <w:szCs w:val="21"/>
                <w:highlight w:val="none"/>
                <w:lang w:val="en-US" w:eastAsia="zh-CN" w:bidi="ar"/>
              </w:rPr>
              <w:t>评标基准价计算方法</w:t>
            </w:r>
          </w:p>
        </w:tc>
        <w:tc>
          <w:tcPr>
            <w:tcW w:w="7185" w:type="dxa"/>
            <w:shd w:val="clear" w:color="auto" w:fill="auto"/>
            <w:vAlign w:val="center"/>
          </w:tcPr>
          <w:p w14:paraId="7CB0AB7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评标基准价的计算：</w:t>
            </w:r>
          </w:p>
          <w:p w14:paraId="2D05880B">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在开标现场，招标人将当场计算并宣布评标基准价。</w:t>
            </w:r>
          </w:p>
          <w:p w14:paraId="7DEAADE5">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1</w:t>
            </w:r>
            <w:r>
              <w:rPr>
                <w:rFonts w:hint="eastAsia" w:ascii="宋体" w:hAnsi="宋体" w:eastAsia="宋体" w:cs="宋体"/>
                <w:snapToGrid/>
                <w:color w:val="auto"/>
                <w:spacing w:val="0"/>
                <w:w w:val="100"/>
                <w:kern w:val="0"/>
                <w:sz w:val="21"/>
                <w:szCs w:val="21"/>
                <w:highlight w:val="none"/>
                <w:vertAlign w:val="baseline"/>
                <w:lang w:val="en-US" w:eastAsia="zh-CN" w:bidi="ar"/>
              </w:rPr>
              <w:t>）评标价的确定：</w:t>
            </w:r>
          </w:p>
          <w:p w14:paraId="4606BEC6">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评标价</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w:t>
            </w:r>
            <w:r>
              <w:rPr>
                <w:rFonts w:hint="eastAsia" w:ascii="宋体" w:hAnsi="宋体" w:eastAsia="宋体" w:cs="宋体"/>
                <w:snapToGrid/>
                <w:color w:val="auto"/>
                <w:spacing w:val="0"/>
                <w:w w:val="100"/>
                <w:kern w:val="0"/>
                <w:sz w:val="21"/>
                <w:szCs w:val="21"/>
                <w:highlight w:val="none"/>
                <w:vertAlign w:val="baseline"/>
                <w:lang w:val="en-US" w:eastAsia="zh-CN" w:bidi="ar"/>
              </w:rPr>
              <w:t>投标函文字报价</w:t>
            </w:r>
          </w:p>
          <w:p w14:paraId="010AA9A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default" w:ascii="宋体" w:hAnsi="宋体" w:eastAsia="宋体" w:cs="宋体"/>
                <w:color w:val="auto"/>
                <w:spacing w:val="0"/>
                <w:w w:val="100"/>
                <w:kern w:val="0"/>
                <w:sz w:val="11"/>
                <w:szCs w:val="11"/>
                <w:highlight w:val="none"/>
                <w:vertAlign w:val="baseline"/>
                <w:lang w:val="en-US"/>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2</w:t>
            </w:r>
            <w:r>
              <w:rPr>
                <w:rFonts w:hint="eastAsia" w:ascii="宋体" w:hAnsi="宋体" w:eastAsia="宋体" w:cs="宋体"/>
                <w:snapToGrid/>
                <w:color w:val="auto"/>
                <w:spacing w:val="0"/>
                <w:w w:val="100"/>
                <w:kern w:val="0"/>
                <w:sz w:val="21"/>
                <w:szCs w:val="21"/>
                <w:highlight w:val="none"/>
                <w:vertAlign w:val="baseline"/>
                <w:lang w:val="en-US" w:eastAsia="zh-CN" w:bidi="ar"/>
              </w:rPr>
              <w:t>）评标价平均值的计算：</w:t>
            </w:r>
          </w:p>
          <w:p w14:paraId="157D4047">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firstLine="13"/>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除按第二章“投标人须知”第</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5.2.4</w:t>
            </w:r>
            <w:r>
              <w:rPr>
                <w:rFonts w:hint="eastAsia" w:ascii="宋体" w:hAnsi="宋体" w:eastAsia="宋体" w:cs="宋体"/>
                <w:snapToGrid/>
                <w:color w:val="auto"/>
                <w:spacing w:val="0"/>
                <w:w w:val="100"/>
                <w:kern w:val="0"/>
                <w:sz w:val="21"/>
                <w:szCs w:val="21"/>
                <w:highlight w:val="none"/>
                <w:vertAlign w:val="baseline"/>
                <w:lang w:val="en-US" w:eastAsia="zh-CN" w:bidi="ar"/>
              </w:rPr>
              <w:t>项规定开标现场被宣布为不进入评标基准价计算的投标报价之外，所有投标人的评标价去掉一个最高值和一个最低值后的算术平均值即为评标价平均值（如果参与评标价平均值计算的有效投标人少于</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5</w:t>
            </w:r>
            <w:r>
              <w:rPr>
                <w:rFonts w:hint="eastAsia" w:ascii="宋体" w:hAnsi="宋体" w:eastAsia="宋体" w:cs="宋体"/>
                <w:snapToGrid/>
                <w:color w:val="auto"/>
                <w:spacing w:val="0"/>
                <w:w w:val="100"/>
                <w:kern w:val="0"/>
                <w:sz w:val="21"/>
                <w:szCs w:val="21"/>
                <w:highlight w:val="none"/>
                <w:vertAlign w:val="baseline"/>
                <w:lang w:val="en-US" w:eastAsia="zh-CN" w:bidi="ar"/>
              </w:rPr>
              <w:t>家时，则计算评标价平均值时不去掉最高值和最低值）。</w:t>
            </w:r>
          </w:p>
          <w:p w14:paraId="203198DA">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color w:val="auto"/>
                <w:spacing w:val="0"/>
                <w:w w:val="100"/>
                <w:kern w:val="0"/>
                <w:sz w:val="21"/>
                <w:szCs w:val="21"/>
                <w:highlight w:val="none"/>
                <w:vertAlign w:val="baseline"/>
              </w:rPr>
            </w:pPr>
            <w:r>
              <w:rPr>
                <w:rFonts w:hint="eastAsia" w:ascii="宋体" w:hAnsi="宋体" w:eastAsia="宋体" w:cs="宋体"/>
                <w:snapToGrid/>
                <w:color w:val="auto"/>
                <w:spacing w:val="0"/>
                <w:w w:val="100"/>
                <w:kern w:val="0"/>
                <w:sz w:val="21"/>
                <w:szCs w:val="21"/>
                <w:highlight w:val="none"/>
                <w:vertAlign w:val="baseline"/>
                <w:lang w:val="en-US" w:eastAsia="zh-CN" w:bidi="ar"/>
              </w:rPr>
              <w:t>（</w:t>
            </w:r>
            <w:r>
              <w:rPr>
                <w:rFonts w:hint="default" w:ascii="Times New Roman" w:hAnsi="Times New Roman" w:eastAsia="宋体" w:cs="Times New Roman"/>
                <w:snapToGrid/>
                <w:color w:val="auto"/>
                <w:spacing w:val="0"/>
                <w:w w:val="100"/>
                <w:kern w:val="0"/>
                <w:sz w:val="21"/>
                <w:szCs w:val="21"/>
                <w:highlight w:val="none"/>
                <w:vertAlign w:val="baseline"/>
                <w:lang w:val="en-US" w:eastAsia="zh-CN" w:bidi="ar"/>
              </w:rPr>
              <w:t>3</w:t>
            </w:r>
            <w:r>
              <w:rPr>
                <w:rFonts w:hint="eastAsia" w:ascii="宋体" w:hAnsi="宋体" w:eastAsia="宋体" w:cs="宋体"/>
                <w:snapToGrid/>
                <w:color w:val="auto"/>
                <w:spacing w:val="0"/>
                <w:w w:val="100"/>
                <w:kern w:val="0"/>
                <w:sz w:val="21"/>
                <w:szCs w:val="21"/>
                <w:highlight w:val="none"/>
                <w:vertAlign w:val="baseline"/>
                <w:lang w:val="en-US" w:eastAsia="zh-CN" w:bidi="ar"/>
              </w:rPr>
              <w:t>）评标基准价的确定</w:t>
            </w:r>
          </w:p>
          <w:p w14:paraId="03A2CCFC">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b/>
                <w:bCs/>
                <w:color w:val="auto"/>
                <w:spacing w:val="0"/>
                <w:w w:val="100"/>
                <w:kern w:val="0"/>
                <w:sz w:val="21"/>
                <w:szCs w:val="21"/>
                <w:highlight w:val="none"/>
                <w:vertAlign w:val="baseline"/>
              </w:rPr>
            </w:pPr>
            <w:r>
              <w:rPr>
                <w:rFonts w:hint="eastAsia" w:ascii="宋体" w:hAnsi="宋体" w:eastAsia="宋体" w:cs="宋体"/>
                <w:b/>
                <w:bCs/>
                <w:snapToGrid/>
                <w:color w:val="auto"/>
                <w:spacing w:val="0"/>
                <w:w w:val="100"/>
                <w:kern w:val="0"/>
                <w:sz w:val="21"/>
                <w:szCs w:val="21"/>
                <w:highlight w:val="none"/>
                <w:vertAlign w:val="baseline"/>
                <w:lang w:val="en-US" w:eastAsia="zh-CN" w:bidi="ar"/>
              </w:rPr>
              <w:t>将评标价平均值直接作为评标基准价。</w:t>
            </w:r>
          </w:p>
          <w:p w14:paraId="5BE21999">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both"/>
              <w:textAlignment w:val="baseline"/>
              <w:rPr>
                <w:rFonts w:hint="eastAsia" w:ascii="宋体" w:hAnsi="宋体" w:eastAsia="宋体" w:cs="宋体"/>
                <w:snapToGrid/>
                <w:color w:val="auto"/>
                <w:spacing w:val="0"/>
                <w:w w:val="100"/>
                <w:kern w:val="0"/>
                <w:sz w:val="21"/>
                <w:szCs w:val="21"/>
                <w:highlight w:val="none"/>
                <w:vertAlign w:val="baseline"/>
                <w:lang w:val="en-US" w:eastAsia="zh-CN" w:bidi="ar"/>
              </w:rPr>
            </w:pPr>
            <w:r>
              <w:rPr>
                <w:rFonts w:hint="eastAsia" w:ascii="宋体" w:hAnsi="宋体" w:eastAsia="宋体" w:cs="宋体"/>
                <w:snapToGrid/>
                <w:color w:val="auto"/>
                <w:spacing w:val="0"/>
                <w:w w:val="100"/>
                <w:kern w:val="0"/>
                <w:sz w:val="21"/>
                <w:szCs w:val="21"/>
                <w:highlight w:val="none"/>
                <w:vertAlign w:val="baseline"/>
                <w:lang w:val="en-US" w:eastAsia="zh-CN" w:bidi="ar"/>
              </w:rPr>
              <w:t>在评标过程中，评标委员会应对招标人计算的评标基准价进行复核，存在计算错误的应予以修正并在评标报告中作出说明。除此之外，评标基准价在整个评标期间保持不变，不随任何因素发生变化。</w:t>
            </w:r>
          </w:p>
          <w:p w14:paraId="5BA92EEE">
            <w:pPr>
              <w:pStyle w:val="10"/>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both"/>
              <w:textAlignment w:val="baseline"/>
              <w:rPr>
                <w:rFonts w:hint="eastAsia" w:eastAsia="宋体"/>
                <w:color w:val="auto"/>
                <w:spacing w:val="0"/>
                <w:w w:val="100"/>
                <w:position w:val="0"/>
                <w:highlight w:val="none"/>
                <w:lang w:eastAsia="zh-CN"/>
              </w:rPr>
            </w:pPr>
            <w:r>
              <w:rPr>
                <w:rFonts w:hint="eastAsia" w:ascii="宋体" w:hAnsi="宋体" w:eastAsia="宋体" w:cs="宋体"/>
                <w:snapToGrid/>
                <w:color w:val="auto"/>
                <w:spacing w:val="0"/>
                <w:w w:val="100"/>
                <w:kern w:val="0"/>
                <w:sz w:val="21"/>
                <w:szCs w:val="21"/>
                <w:highlight w:val="none"/>
                <w:vertAlign w:val="baseline"/>
                <w:lang w:val="en-US" w:eastAsia="zh-CN" w:bidi="ar"/>
              </w:rPr>
              <w:t>在计算评标基准价时按四舍五入规则保留小数点后2位小数。</w:t>
            </w:r>
          </w:p>
        </w:tc>
      </w:tr>
      <w:tr w14:paraId="4A8A90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jc w:val="center"/>
        </w:trPr>
        <w:tc>
          <w:tcPr>
            <w:tcW w:w="935" w:type="dxa"/>
            <w:shd w:val="clear" w:color="auto" w:fill="auto"/>
            <w:vAlign w:val="center"/>
          </w:tcPr>
          <w:p w14:paraId="3F15A8C6">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2.2.3</w:t>
            </w:r>
          </w:p>
        </w:tc>
        <w:tc>
          <w:tcPr>
            <w:tcW w:w="1272" w:type="dxa"/>
            <w:shd w:val="clear" w:color="auto" w:fill="auto"/>
            <w:vAlign w:val="center"/>
          </w:tcPr>
          <w:p w14:paraId="4D26297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0" w:right="0"/>
              <w:jc w:val="center"/>
              <w:textAlignment w:val="baseline"/>
              <w:rPr>
                <w:rFonts w:hint="default"/>
                <w:color w:val="auto"/>
                <w:spacing w:val="0"/>
                <w:w w:val="100"/>
                <w:position w:val="0"/>
                <w:highlight w:val="none"/>
              </w:rPr>
            </w:pPr>
            <w:r>
              <w:rPr>
                <w:rFonts w:hint="default"/>
                <w:color w:val="auto"/>
                <w:spacing w:val="0"/>
                <w:w w:val="100"/>
                <w:position w:val="0"/>
                <w:highlight w:val="none"/>
              </w:rPr>
              <w:t>评标价的偏差率计算公式</w:t>
            </w:r>
          </w:p>
        </w:tc>
        <w:tc>
          <w:tcPr>
            <w:tcW w:w="7185" w:type="dxa"/>
            <w:shd w:val="clear" w:color="auto" w:fill="auto"/>
            <w:vAlign w:val="center"/>
          </w:tcPr>
          <w:p w14:paraId="1AB91AE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3" w:right="47" w:firstLine="13"/>
              <w:jc w:val="both"/>
              <w:textAlignment w:val="baseline"/>
              <w:rPr>
                <w:rFonts w:hint="eastAsia" w:eastAsia="宋体"/>
                <w:color w:val="auto"/>
                <w:spacing w:val="0"/>
                <w:w w:val="100"/>
                <w:position w:val="0"/>
                <w:highlight w:val="none"/>
                <w:lang w:eastAsia="zh-CN"/>
              </w:rPr>
            </w:pPr>
            <w:r>
              <w:rPr>
                <w:rFonts w:hint="eastAsia" w:eastAsia="宋体"/>
                <w:color w:val="auto"/>
                <w:spacing w:val="0"/>
                <w:w w:val="100"/>
                <w:position w:val="0"/>
                <w:highlight w:val="none"/>
                <w:lang w:val="en-US" w:eastAsia="zh-CN"/>
              </w:rPr>
              <w:t>偏差率=100%×（投标人评标价-评标基准价）/评标基准价；</w:t>
            </w:r>
          </w:p>
          <w:p w14:paraId="5C32510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40" w:lineRule="exact"/>
              <w:ind w:left="53" w:right="47" w:firstLine="13"/>
              <w:jc w:val="both"/>
              <w:textAlignment w:val="baseline"/>
              <w:rPr>
                <w:rFonts w:hint="eastAsia" w:eastAsia="宋体"/>
                <w:color w:val="auto"/>
                <w:spacing w:val="0"/>
                <w:w w:val="100"/>
                <w:position w:val="0"/>
                <w:highlight w:val="none"/>
                <w:lang w:eastAsia="zh-CN"/>
              </w:rPr>
            </w:pPr>
            <w:r>
              <w:rPr>
                <w:rFonts w:hint="eastAsia" w:eastAsia="宋体"/>
                <w:color w:val="auto"/>
                <w:spacing w:val="0"/>
                <w:w w:val="100"/>
                <w:position w:val="0"/>
                <w:highlight w:val="none"/>
                <w:lang w:val="en-US" w:eastAsia="zh-CN"/>
              </w:rPr>
              <w:t>偏差率按四舍五入规则保留小数点后2位小数（即*.**%）。</w:t>
            </w:r>
          </w:p>
        </w:tc>
      </w:tr>
    </w:tbl>
    <w:p w14:paraId="4C0B62B4">
      <w:pPr>
        <w:rPr>
          <w:rFonts w:ascii="Arial"/>
          <w:color w:val="auto"/>
          <w:spacing w:val="0"/>
          <w:w w:val="100"/>
          <w:position w:val="0"/>
          <w:sz w:val="21"/>
          <w:highlight w:val="none"/>
        </w:rPr>
      </w:pPr>
    </w:p>
    <w:p w14:paraId="26116895">
      <w:pPr>
        <w:rPr>
          <w:rFonts w:ascii="Arial" w:hAnsi="Arial" w:eastAsia="Arial" w:cs="Arial"/>
          <w:color w:val="auto"/>
          <w:spacing w:val="0"/>
          <w:w w:val="100"/>
          <w:position w:val="0"/>
          <w:sz w:val="21"/>
          <w:szCs w:val="21"/>
          <w:highlight w:val="none"/>
        </w:rPr>
        <w:sectPr>
          <w:headerReference r:id="rId26" w:type="default"/>
          <w:footerReference r:id="rId27" w:type="default"/>
          <w:pgSz w:w="11900" w:h="16843"/>
          <w:pgMar w:top="1378" w:right="1417" w:bottom="1208" w:left="1417" w:header="1366" w:footer="1003" w:gutter="0"/>
          <w:pgNumType w:fmt="decimal"/>
          <w:cols w:space="0" w:num="1"/>
          <w:rtlGutter w:val="0"/>
          <w:docGrid w:linePitch="0" w:charSpace="0"/>
        </w:sectPr>
      </w:pPr>
    </w:p>
    <w:p w14:paraId="4932B43F">
      <w:pPr>
        <w:spacing w:before="269" w:line="206" w:lineRule="auto"/>
        <w:ind w:left="7801"/>
        <w:rPr>
          <w:rFonts w:ascii="宋体" w:hAnsi="宋体" w:eastAsia="宋体" w:cs="宋体"/>
          <w:color w:val="auto"/>
          <w:spacing w:val="0"/>
          <w:w w:val="100"/>
          <w:position w:val="0"/>
          <w:sz w:val="18"/>
          <w:szCs w:val="18"/>
          <w:highlight w:val="none"/>
        </w:rPr>
      </w:pPr>
      <w:r>
        <w:rPr>
          <w:rFonts w:ascii="宋体" w:hAnsi="宋体" w:eastAsia="宋体" w:cs="宋体"/>
          <w:color w:val="auto"/>
          <w:spacing w:val="0"/>
          <w:w w:val="100"/>
          <w:position w:val="0"/>
          <w:sz w:val="18"/>
          <w:szCs w:val="18"/>
          <w:highlight w:val="none"/>
        </w:rPr>
        <w:t>续上表</w:t>
      </w:r>
    </w:p>
    <w:tbl>
      <w:tblPr>
        <w:tblStyle w:val="18"/>
        <w:tblW w:w="9619" w:type="dxa"/>
        <w:tblInd w:w="-38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5"/>
        <w:gridCol w:w="588"/>
        <w:gridCol w:w="705"/>
        <w:gridCol w:w="794"/>
        <w:gridCol w:w="1840"/>
        <w:gridCol w:w="766"/>
        <w:gridCol w:w="3911"/>
      </w:tblGrid>
      <w:tr w14:paraId="545B2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5708" w:type="dxa"/>
            <w:gridSpan w:val="6"/>
            <w:vAlign w:val="top"/>
          </w:tcPr>
          <w:p w14:paraId="30B0733A">
            <w:pPr>
              <w:pStyle w:val="19"/>
              <w:keepNext w:val="0"/>
              <w:keepLines w:val="0"/>
              <w:widowControl/>
              <w:suppressLineNumbers w:val="0"/>
              <w:spacing w:before="86" w:beforeAutospacing="0" w:after="0" w:afterAutospacing="0" w:line="221" w:lineRule="auto"/>
              <w:ind w:left="1987" w:right="0"/>
              <w:rPr>
                <w:rFonts w:hint="default"/>
                <w:color w:val="auto"/>
                <w:spacing w:val="0"/>
                <w:w w:val="100"/>
                <w:position w:val="0"/>
                <w:highlight w:val="none"/>
              </w:rPr>
            </w:pPr>
            <w:r>
              <w:rPr>
                <w:rFonts w:hint="default"/>
                <w:b/>
                <w:bCs/>
                <w:color w:val="auto"/>
                <w:spacing w:val="0"/>
                <w:w w:val="100"/>
                <w:position w:val="0"/>
                <w:highlight w:val="none"/>
              </w:rPr>
              <w:t>评分因素与权重分值</w:t>
            </w:r>
          </w:p>
        </w:tc>
        <w:tc>
          <w:tcPr>
            <w:tcW w:w="3911" w:type="dxa"/>
            <w:vMerge w:val="restart"/>
            <w:tcBorders>
              <w:bottom w:val="nil"/>
            </w:tcBorders>
            <w:vAlign w:val="top"/>
          </w:tcPr>
          <w:p w14:paraId="1B96677F">
            <w:pPr>
              <w:keepNext w:val="0"/>
              <w:keepLines w:val="0"/>
              <w:widowControl/>
              <w:suppressLineNumbers w:val="0"/>
              <w:spacing w:before="0" w:beforeAutospacing="0" w:after="0" w:afterAutospacing="0" w:line="343" w:lineRule="auto"/>
              <w:ind w:left="0" w:right="0"/>
              <w:rPr>
                <w:rFonts w:hint="default" w:ascii="Arial"/>
                <w:color w:val="auto"/>
                <w:spacing w:val="0"/>
                <w:w w:val="100"/>
                <w:position w:val="0"/>
                <w:sz w:val="21"/>
                <w:highlight w:val="none"/>
              </w:rPr>
            </w:pPr>
          </w:p>
          <w:p w14:paraId="6EB3C58A">
            <w:pPr>
              <w:pStyle w:val="19"/>
              <w:keepNext w:val="0"/>
              <w:keepLines w:val="0"/>
              <w:widowControl/>
              <w:suppressLineNumbers w:val="0"/>
              <w:spacing w:before="68" w:beforeAutospacing="0" w:after="0" w:afterAutospacing="0" w:line="221" w:lineRule="auto"/>
              <w:ind w:left="860" w:right="0"/>
              <w:rPr>
                <w:rFonts w:hint="default"/>
                <w:color w:val="auto"/>
                <w:spacing w:val="0"/>
                <w:w w:val="100"/>
                <w:position w:val="0"/>
                <w:highlight w:val="none"/>
              </w:rPr>
            </w:pPr>
            <w:r>
              <w:rPr>
                <w:rFonts w:hint="default"/>
                <w:b/>
                <w:bCs/>
                <w:color w:val="auto"/>
                <w:spacing w:val="0"/>
                <w:w w:val="100"/>
                <w:position w:val="0"/>
                <w:highlight w:val="none"/>
              </w:rPr>
              <w:t>评分标准</w:t>
            </w:r>
          </w:p>
        </w:tc>
      </w:tr>
      <w:tr w14:paraId="20F74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015" w:type="dxa"/>
            <w:vAlign w:val="top"/>
          </w:tcPr>
          <w:p w14:paraId="0195D1AE">
            <w:pPr>
              <w:pStyle w:val="19"/>
              <w:keepNext w:val="0"/>
              <w:keepLines w:val="0"/>
              <w:widowControl/>
              <w:suppressLineNumbers w:val="0"/>
              <w:spacing w:before="218" w:beforeAutospacing="0" w:after="0" w:afterAutospacing="0" w:line="221" w:lineRule="auto"/>
              <w:ind w:left="170" w:right="0"/>
              <w:rPr>
                <w:rFonts w:hint="default"/>
                <w:color w:val="auto"/>
                <w:spacing w:val="0"/>
                <w:w w:val="100"/>
                <w:position w:val="0"/>
                <w:highlight w:val="none"/>
              </w:rPr>
            </w:pPr>
            <w:r>
              <w:rPr>
                <w:rFonts w:hint="default"/>
                <w:b/>
                <w:bCs/>
                <w:color w:val="auto"/>
                <w:spacing w:val="0"/>
                <w:w w:val="100"/>
                <w:position w:val="0"/>
                <w:highlight w:val="none"/>
              </w:rPr>
              <w:t>条款号</w:t>
            </w:r>
          </w:p>
        </w:tc>
        <w:tc>
          <w:tcPr>
            <w:tcW w:w="1293" w:type="dxa"/>
            <w:gridSpan w:val="2"/>
            <w:vAlign w:val="top"/>
          </w:tcPr>
          <w:p w14:paraId="3EBC3004">
            <w:pPr>
              <w:pStyle w:val="19"/>
              <w:keepNext w:val="0"/>
              <w:keepLines w:val="0"/>
              <w:widowControl/>
              <w:suppressLineNumbers w:val="0"/>
              <w:spacing w:before="218" w:beforeAutospacing="0" w:after="0" w:afterAutospacing="0" w:line="221" w:lineRule="auto"/>
              <w:ind w:left="0" w:right="0"/>
              <w:rPr>
                <w:rFonts w:hint="default"/>
                <w:color w:val="auto"/>
                <w:spacing w:val="0"/>
                <w:w w:val="100"/>
                <w:position w:val="0"/>
                <w:highlight w:val="none"/>
              </w:rPr>
            </w:pPr>
            <w:r>
              <w:rPr>
                <w:rFonts w:hint="default"/>
                <w:b/>
                <w:bCs/>
                <w:color w:val="auto"/>
                <w:spacing w:val="0"/>
                <w:w w:val="100"/>
                <w:position w:val="0"/>
                <w:highlight w:val="none"/>
              </w:rPr>
              <w:t>评分因素</w:t>
            </w:r>
          </w:p>
        </w:tc>
        <w:tc>
          <w:tcPr>
            <w:tcW w:w="794" w:type="dxa"/>
            <w:vAlign w:val="top"/>
          </w:tcPr>
          <w:p w14:paraId="3A49FF9E">
            <w:pPr>
              <w:pStyle w:val="19"/>
              <w:keepNext w:val="0"/>
              <w:keepLines w:val="0"/>
              <w:widowControl/>
              <w:suppressLineNumbers w:val="0"/>
              <w:spacing w:before="81" w:beforeAutospacing="0" w:after="0" w:afterAutospacing="0" w:line="221" w:lineRule="auto"/>
              <w:ind w:left="77" w:right="0"/>
              <w:rPr>
                <w:rFonts w:hint="default"/>
                <w:color w:val="auto"/>
                <w:spacing w:val="0"/>
                <w:w w:val="100"/>
                <w:position w:val="0"/>
                <w:highlight w:val="none"/>
              </w:rPr>
            </w:pPr>
            <w:r>
              <w:rPr>
                <w:rFonts w:hint="default"/>
                <w:b/>
                <w:bCs/>
                <w:color w:val="auto"/>
                <w:spacing w:val="0"/>
                <w:w w:val="100"/>
                <w:position w:val="0"/>
                <w:highlight w:val="none"/>
              </w:rPr>
              <w:t>评分因素权重分值</w:t>
            </w:r>
          </w:p>
        </w:tc>
        <w:tc>
          <w:tcPr>
            <w:tcW w:w="1840" w:type="dxa"/>
            <w:vAlign w:val="top"/>
          </w:tcPr>
          <w:p w14:paraId="7A4F128F">
            <w:pPr>
              <w:pStyle w:val="19"/>
              <w:keepNext w:val="0"/>
              <w:keepLines w:val="0"/>
              <w:widowControl/>
              <w:suppressLineNumbers w:val="0"/>
              <w:spacing w:before="81" w:beforeAutospacing="0" w:after="0" w:afterAutospacing="0" w:line="241" w:lineRule="auto"/>
              <w:ind w:left="752" w:right="108" w:hanging="632"/>
              <w:rPr>
                <w:rFonts w:hint="default"/>
                <w:color w:val="auto"/>
                <w:spacing w:val="0"/>
                <w:w w:val="100"/>
                <w:position w:val="0"/>
                <w:highlight w:val="none"/>
              </w:rPr>
            </w:pPr>
            <w:r>
              <w:rPr>
                <w:rFonts w:hint="default"/>
                <w:b/>
                <w:bCs/>
                <w:color w:val="auto"/>
                <w:spacing w:val="0"/>
                <w:w w:val="100"/>
                <w:position w:val="0"/>
                <w:highlight w:val="none"/>
              </w:rPr>
              <w:t>各评分因素细分项</w:t>
            </w:r>
          </w:p>
        </w:tc>
        <w:tc>
          <w:tcPr>
            <w:tcW w:w="766" w:type="dxa"/>
            <w:vAlign w:val="top"/>
          </w:tcPr>
          <w:p w14:paraId="163E1ABC">
            <w:pPr>
              <w:pStyle w:val="19"/>
              <w:keepNext w:val="0"/>
              <w:keepLines w:val="0"/>
              <w:widowControl/>
              <w:suppressLineNumbers w:val="0"/>
              <w:spacing w:before="218" w:beforeAutospacing="0" w:after="0" w:afterAutospacing="0" w:line="221" w:lineRule="auto"/>
              <w:ind w:left="0" w:right="0"/>
              <w:jc w:val="center"/>
              <w:rPr>
                <w:rFonts w:hint="default"/>
                <w:color w:val="auto"/>
                <w:spacing w:val="0"/>
                <w:w w:val="100"/>
                <w:position w:val="0"/>
                <w:highlight w:val="none"/>
              </w:rPr>
            </w:pPr>
            <w:r>
              <w:rPr>
                <w:rFonts w:hint="default"/>
                <w:b/>
                <w:bCs/>
                <w:color w:val="auto"/>
                <w:spacing w:val="0"/>
                <w:w w:val="100"/>
                <w:position w:val="0"/>
                <w:highlight w:val="none"/>
              </w:rPr>
              <w:t>分值</w:t>
            </w:r>
          </w:p>
        </w:tc>
        <w:tc>
          <w:tcPr>
            <w:tcW w:w="3911" w:type="dxa"/>
            <w:vMerge w:val="continue"/>
            <w:tcBorders>
              <w:top w:val="nil"/>
            </w:tcBorders>
            <w:vAlign w:val="top"/>
          </w:tcPr>
          <w:p w14:paraId="11FEBE7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9A19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5" w:type="dxa"/>
            <w:vMerge w:val="restart"/>
            <w:tcBorders>
              <w:bottom w:val="nil"/>
            </w:tcBorders>
            <w:vAlign w:val="center"/>
          </w:tcPr>
          <w:p w14:paraId="4B88258B">
            <w:pPr>
              <w:pStyle w:val="19"/>
              <w:keepNext w:val="0"/>
              <w:keepLines w:val="0"/>
              <w:widowControl/>
              <w:suppressLineNumbers w:val="0"/>
              <w:spacing w:before="68" w:beforeAutospacing="0" w:after="0" w:afterAutospacing="0" w:line="281" w:lineRule="exact"/>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rPr>
              <w:t>2.2.4</w:t>
            </w:r>
            <w:r>
              <w:rPr>
                <w:rFonts w:hint="default"/>
                <w:color w:val="auto"/>
                <w:spacing w:val="0"/>
                <w:w w:val="100"/>
                <w:position w:val="0"/>
                <w:highlight w:val="none"/>
              </w:rPr>
              <w:t>（</w:t>
            </w:r>
            <w:r>
              <w:rPr>
                <w:rFonts w:hint="default" w:ascii="Times New Roman" w:hAnsi="Times New Roman" w:eastAsia="Times New Roman" w:cs="Times New Roman"/>
                <w:color w:val="auto"/>
                <w:spacing w:val="0"/>
                <w:w w:val="100"/>
                <w:position w:val="0"/>
                <w:highlight w:val="none"/>
              </w:rPr>
              <w:t>1</w:t>
            </w:r>
            <w:r>
              <w:rPr>
                <w:rFonts w:hint="default"/>
                <w:color w:val="auto"/>
                <w:spacing w:val="0"/>
                <w:w w:val="100"/>
                <w:position w:val="0"/>
                <w:highlight w:val="none"/>
              </w:rPr>
              <w:t>）</w:t>
            </w:r>
          </w:p>
        </w:tc>
        <w:tc>
          <w:tcPr>
            <w:tcW w:w="1293" w:type="dxa"/>
            <w:gridSpan w:val="2"/>
            <w:vMerge w:val="restart"/>
            <w:tcBorders>
              <w:bottom w:val="nil"/>
            </w:tcBorders>
            <w:vAlign w:val="center"/>
          </w:tcPr>
          <w:p w14:paraId="715C3502">
            <w:pPr>
              <w:pStyle w:val="19"/>
              <w:keepNext w:val="0"/>
              <w:keepLines w:val="0"/>
              <w:widowControl/>
              <w:suppressLineNumbers w:val="0"/>
              <w:spacing w:before="68" w:beforeAutospacing="0" w:after="0" w:afterAutospacing="0" w:line="220" w:lineRule="auto"/>
              <w:ind w:left="0" w:right="0"/>
              <w:jc w:val="center"/>
              <w:rPr>
                <w:rFonts w:hint="default"/>
                <w:color w:val="auto"/>
                <w:spacing w:val="0"/>
                <w:w w:val="100"/>
                <w:position w:val="0"/>
                <w:highlight w:val="none"/>
              </w:rPr>
            </w:pPr>
            <w:r>
              <w:rPr>
                <w:rFonts w:hint="default"/>
                <w:color w:val="auto"/>
                <w:spacing w:val="0"/>
                <w:w w:val="100"/>
                <w:position w:val="0"/>
                <w:highlight w:val="none"/>
              </w:rPr>
              <w:t>技术建议书</w:t>
            </w:r>
          </w:p>
        </w:tc>
        <w:tc>
          <w:tcPr>
            <w:tcW w:w="794" w:type="dxa"/>
            <w:vMerge w:val="restart"/>
            <w:tcBorders>
              <w:bottom w:val="nil"/>
            </w:tcBorders>
            <w:vAlign w:val="center"/>
          </w:tcPr>
          <w:p w14:paraId="4E4629E9">
            <w:pPr>
              <w:pStyle w:val="19"/>
              <w:keepNext w:val="0"/>
              <w:keepLines w:val="0"/>
              <w:widowControl/>
              <w:suppressLineNumbers w:val="0"/>
              <w:spacing w:before="68" w:beforeAutospacing="0" w:after="0" w:afterAutospacing="0" w:line="235" w:lineRule="auto"/>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u w:val="single" w:color="auto"/>
              </w:rPr>
              <w:t>40</w:t>
            </w:r>
            <w:r>
              <w:rPr>
                <w:rFonts w:hint="default"/>
                <w:color w:val="auto"/>
                <w:spacing w:val="0"/>
                <w:w w:val="100"/>
                <w:position w:val="0"/>
                <w:highlight w:val="none"/>
              </w:rPr>
              <w:t>分</w:t>
            </w:r>
          </w:p>
        </w:tc>
        <w:tc>
          <w:tcPr>
            <w:tcW w:w="1840" w:type="dxa"/>
            <w:vAlign w:val="center"/>
          </w:tcPr>
          <w:p w14:paraId="6F43C83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对招标项目的理解和总体工作思路</w:t>
            </w:r>
          </w:p>
        </w:tc>
        <w:tc>
          <w:tcPr>
            <w:tcW w:w="766" w:type="dxa"/>
            <w:vAlign w:val="center"/>
          </w:tcPr>
          <w:p w14:paraId="65A9C5F9">
            <w:pPr>
              <w:pStyle w:val="19"/>
              <w:keepNext w:val="0"/>
              <w:keepLines w:val="0"/>
              <w:widowControl/>
              <w:suppressLineNumbers w:val="0"/>
              <w:spacing w:before="69" w:beforeAutospacing="0" w:after="0" w:afterAutospacing="0" w:line="235" w:lineRule="auto"/>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u w:val="single" w:color="auto"/>
              </w:rPr>
              <w:t>10</w:t>
            </w:r>
            <w:r>
              <w:rPr>
                <w:rFonts w:hint="default"/>
                <w:color w:val="auto"/>
                <w:spacing w:val="0"/>
                <w:w w:val="100"/>
                <w:position w:val="0"/>
                <w:highlight w:val="none"/>
              </w:rPr>
              <w:t>分</w:t>
            </w:r>
          </w:p>
        </w:tc>
        <w:tc>
          <w:tcPr>
            <w:tcW w:w="3911" w:type="dxa"/>
            <w:vAlign w:val="center"/>
          </w:tcPr>
          <w:p w14:paraId="62710F2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51"/>
              <w:jc w:val="both"/>
              <w:textAlignment w:val="baseline"/>
              <w:rPr>
                <w:rFonts w:hint="default"/>
                <w:color w:val="auto"/>
                <w:spacing w:val="0"/>
                <w:w w:val="100"/>
                <w:position w:val="0"/>
                <w:highlight w:val="none"/>
              </w:rPr>
            </w:pPr>
            <w:r>
              <w:rPr>
                <w:rFonts w:hint="default"/>
                <w:color w:val="auto"/>
                <w:spacing w:val="0"/>
                <w:w w:val="100"/>
                <w:position w:val="0"/>
                <w:highlight w:val="none"/>
              </w:rPr>
              <w:t>合理可行的得6分；内容完善，能够较好满足本工程设计咨询要求的加0～4分。</w:t>
            </w:r>
          </w:p>
        </w:tc>
      </w:tr>
      <w:tr w14:paraId="54A10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5" w:type="dxa"/>
            <w:vMerge w:val="continue"/>
            <w:tcBorders>
              <w:top w:val="nil"/>
              <w:bottom w:val="nil"/>
            </w:tcBorders>
            <w:vAlign w:val="top"/>
          </w:tcPr>
          <w:p w14:paraId="71E07A2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93" w:type="dxa"/>
            <w:gridSpan w:val="2"/>
            <w:vMerge w:val="continue"/>
            <w:tcBorders>
              <w:top w:val="nil"/>
              <w:bottom w:val="nil"/>
            </w:tcBorders>
            <w:vAlign w:val="top"/>
          </w:tcPr>
          <w:p w14:paraId="79894A1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94" w:type="dxa"/>
            <w:vMerge w:val="continue"/>
            <w:tcBorders>
              <w:top w:val="nil"/>
              <w:bottom w:val="nil"/>
            </w:tcBorders>
            <w:vAlign w:val="top"/>
          </w:tcPr>
          <w:p w14:paraId="45A3B5D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0" w:type="dxa"/>
            <w:vAlign w:val="center"/>
          </w:tcPr>
          <w:p w14:paraId="75F4478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技术咨询、勘察监理工作内容及工作方案</w:t>
            </w:r>
          </w:p>
        </w:tc>
        <w:tc>
          <w:tcPr>
            <w:tcW w:w="766" w:type="dxa"/>
            <w:vAlign w:val="center"/>
          </w:tcPr>
          <w:p w14:paraId="7F84FE7B">
            <w:pPr>
              <w:pStyle w:val="19"/>
              <w:keepNext w:val="0"/>
              <w:keepLines w:val="0"/>
              <w:widowControl/>
              <w:suppressLineNumbers w:val="0"/>
              <w:spacing w:before="68" w:beforeAutospacing="0" w:after="0" w:afterAutospacing="0" w:line="235" w:lineRule="auto"/>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u w:val="single" w:color="auto"/>
              </w:rPr>
              <w:t>10</w:t>
            </w:r>
            <w:r>
              <w:rPr>
                <w:rFonts w:hint="default"/>
                <w:color w:val="auto"/>
                <w:spacing w:val="0"/>
                <w:w w:val="100"/>
                <w:position w:val="0"/>
                <w:highlight w:val="none"/>
              </w:rPr>
              <w:t>分</w:t>
            </w:r>
          </w:p>
        </w:tc>
        <w:tc>
          <w:tcPr>
            <w:tcW w:w="3911" w:type="dxa"/>
            <w:vAlign w:val="center"/>
          </w:tcPr>
          <w:p w14:paraId="5B33112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51"/>
              <w:jc w:val="both"/>
              <w:textAlignment w:val="baseline"/>
              <w:rPr>
                <w:rFonts w:hint="default"/>
                <w:color w:val="auto"/>
                <w:spacing w:val="0"/>
                <w:w w:val="100"/>
                <w:position w:val="0"/>
                <w:highlight w:val="none"/>
              </w:rPr>
            </w:pPr>
            <w:r>
              <w:rPr>
                <w:rFonts w:hint="default"/>
                <w:color w:val="auto"/>
                <w:spacing w:val="0"/>
                <w:w w:val="100"/>
                <w:position w:val="0"/>
                <w:highlight w:val="none"/>
              </w:rPr>
              <w:t>合理可行的得6分；视工作内容完善程度，是否能够完全满足本项目实施要求加0～4分。</w:t>
            </w:r>
          </w:p>
        </w:tc>
      </w:tr>
      <w:tr w14:paraId="23FA2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5" w:type="dxa"/>
            <w:vMerge w:val="continue"/>
            <w:tcBorders>
              <w:top w:val="nil"/>
              <w:bottom w:val="nil"/>
            </w:tcBorders>
            <w:vAlign w:val="top"/>
          </w:tcPr>
          <w:p w14:paraId="4B90965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93" w:type="dxa"/>
            <w:gridSpan w:val="2"/>
            <w:vMerge w:val="continue"/>
            <w:tcBorders>
              <w:top w:val="nil"/>
              <w:bottom w:val="nil"/>
            </w:tcBorders>
            <w:vAlign w:val="top"/>
          </w:tcPr>
          <w:p w14:paraId="14715A9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94" w:type="dxa"/>
            <w:vMerge w:val="continue"/>
            <w:tcBorders>
              <w:top w:val="nil"/>
              <w:bottom w:val="nil"/>
            </w:tcBorders>
            <w:vAlign w:val="top"/>
          </w:tcPr>
          <w:p w14:paraId="1784FF5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0" w:type="dxa"/>
            <w:vAlign w:val="center"/>
          </w:tcPr>
          <w:p w14:paraId="1EF54D6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技术咨询、详勘监理工作量及计划安排</w:t>
            </w:r>
          </w:p>
        </w:tc>
        <w:tc>
          <w:tcPr>
            <w:tcW w:w="766" w:type="dxa"/>
            <w:vAlign w:val="center"/>
          </w:tcPr>
          <w:p w14:paraId="3A59DFAB">
            <w:pPr>
              <w:pStyle w:val="19"/>
              <w:keepNext w:val="0"/>
              <w:keepLines w:val="0"/>
              <w:widowControl/>
              <w:suppressLineNumbers w:val="0"/>
              <w:spacing w:before="68" w:beforeAutospacing="0" w:after="0" w:afterAutospacing="0" w:line="235" w:lineRule="auto"/>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u w:val="single" w:color="auto"/>
              </w:rPr>
              <w:t>10</w:t>
            </w:r>
            <w:r>
              <w:rPr>
                <w:rFonts w:hint="default"/>
                <w:color w:val="auto"/>
                <w:spacing w:val="0"/>
                <w:w w:val="100"/>
                <w:position w:val="0"/>
                <w:highlight w:val="none"/>
              </w:rPr>
              <w:t>分</w:t>
            </w:r>
          </w:p>
        </w:tc>
        <w:tc>
          <w:tcPr>
            <w:tcW w:w="3911" w:type="dxa"/>
            <w:vAlign w:val="center"/>
          </w:tcPr>
          <w:p w14:paraId="0A6FE47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51"/>
              <w:jc w:val="both"/>
              <w:textAlignment w:val="baseline"/>
              <w:rPr>
                <w:rFonts w:hint="default"/>
                <w:color w:val="auto"/>
                <w:spacing w:val="0"/>
                <w:w w:val="100"/>
                <w:position w:val="0"/>
                <w:highlight w:val="none"/>
              </w:rPr>
            </w:pPr>
            <w:r>
              <w:rPr>
                <w:rFonts w:hint="default"/>
                <w:color w:val="auto"/>
                <w:spacing w:val="0"/>
                <w:w w:val="100"/>
                <w:position w:val="0"/>
                <w:highlight w:val="none"/>
              </w:rPr>
              <w:t>合理可行的得6分；计划完善，能够较好满足本工程设计咨询要求的加0～4分。</w:t>
            </w:r>
          </w:p>
        </w:tc>
      </w:tr>
      <w:tr w14:paraId="061D8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5" w:type="dxa"/>
            <w:vMerge w:val="continue"/>
            <w:tcBorders>
              <w:top w:val="nil"/>
              <w:bottom w:val="single" w:color="auto" w:sz="4" w:space="0"/>
            </w:tcBorders>
            <w:vAlign w:val="top"/>
          </w:tcPr>
          <w:p w14:paraId="33AFC86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93" w:type="dxa"/>
            <w:gridSpan w:val="2"/>
            <w:vMerge w:val="continue"/>
            <w:tcBorders>
              <w:top w:val="nil"/>
              <w:bottom w:val="single" w:color="auto" w:sz="4" w:space="0"/>
            </w:tcBorders>
            <w:vAlign w:val="top"/>
          </w:tcPr>
          <w:p w14:paraId="07F7155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94" w:type="dxa"/>
            <w:vMerge w:val="continue"/>
            <w:tcBorders>
              <w:top w:val="nil"/>
              <w:bottom w:val="single" w:color="auto" w:sz="4" w:space="0"/>
            </w:tcBorders>
            <w:vAlign w:val="top"/>
          </w:tcPr>
          <w:p w14:paraId="1B9797C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0" w:type="dxa"/>
            <w:vAlign w:val="center"/>
          </w:tcPr>
          <w:p w14:paraId="5998085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技术咨询、详勘监理的质量保证措施、进度保证措施</w:t>
            </w:r>
          </w:p>
        </w:tc>
        <w:tc>
          <w:tcPr>
            <w:tcW w:w="766" w:type="dxa"/>
            <w:vAlign w:val="center"/>
          </w:tcPr>
          <w:p w14:paraId="353240FB">
            <w:pPr>
              <w:pStyle w:val="19"/>
              <w:keepNext w:val="0"/>
              <w:keepLines w:val="0"/>
              <w:widowControl/>
              <w:suppressLineNumbers w:val="0"/>
              <w:spacing w:before="68" w:beforeAutospacing="0" w:after="0" w:afterAutospacing="0" w:line="235" w:lineRule="auto"/>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u w:val="single" w:color="auto"/>
              </w:rPr>
              <w:t>10</w:t>
            </w:r>
            <w:r>
              <w:rPr>
                <w:rFonts w:hint="default"/>
                <w:color w:val="auto"/>
                <w:spacing w:val="0"/>
                <w:w w:val="100"/>
                <w:position w:val="0"/>
                <w:highlight w:val="none"/>
              </w:rPr>
              <w:t>分</w:t>
            </w:r>
          </w:p>
        </w:tc>
        <w:tc>
          <w:tcPr>
            <w:tcW w:w="3911" w:type="dxa"/>
            <w:vAlign w:val="center"/>
          </w:tcPr>
          <w:p w14:paraId="6253D62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51"/>
              <w:jc w:val="both"/>
              <w:textAlignment w:val="baseline"/>
              <w:rPr>
                <w:rFonts w:hint="default"/>
                <w:color w:val="auto"/>
                <w:spacing w:val="0"/>
                <w:w w:val="100"/>
                <w:position w:val="0"/>
                <w:highlight w:val="none"/>
              </w:rPr>
            </w:pPr>
            <w:r>
              <w:rPr>
                <w:rFonts w:hint="default"/>
                <w:color w:val="auto"/>
                <w:spacing w:val="0"/>
                <w:w w:val="100"/>
                <w:position w:val="0"/>
                <w:highlight w:val="none"/>
              </w:rPr>
              <w:t>合理可行的得6分；措施完善，能够较好满足本工程设计咨询要求的加0～4分。</w:t>
            </w:r>
          </w:p>
        </w:tc>
      </w:tr>
      <w:tr w14:paraId="36486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5" w:type="dxa"/>
            <w:vMerge w:val="restart"/>
            <w:tcBorders>
              <w:top w:val="single" w:color="auto" w:sz="4" w:space="0"/>
              <w:left w:val="single" w:color="auto" w:sz="4" w:space="0"/>
              <w:right w:val="single" w:color="auto" w:sz="4" w:space="0"/>
            </w:tcBorders>
            <w:vAlign w:val="center"/>
          </w:tcPr>
          <w:p w14:paraId="2E61CC2B">
            <w:pPr>
              <w:pStyle w:val="19"/>
              <w:keepNext w:val="0"/>
              <w:keepLines w:val="0"/>
              <w:widowControl/>
              <w:suppressLineNumbers w:val="0"/>
              <w:spacing w:before="69" w:beforeAutospacing="0" w:after="0" w:afterAutospacing="0" w:line="280" w:lineRule="exact"/>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rPr>
              <w:t>2.2.4</w:t>
            </w:r>
            <w:r>
              <w:rPr>
                <w:rFonts w:hint="default"/>
                <w:color w:val="auto"/>
                <w:spacing w:val="0"/>
                <w:w w:val="100"/>
                <w:position w:val="0"/>
                <w:highlight w:val="none"/>
              </w:rPr>
              <w:t>（</w:t>
            </w:r>
            <w:r>
              <w:rPr>
                <w:rFonts w:hint="default" w:ascii="Times New Roman" w:hAnsi="Times New Roman" w:eastAsia="Times New Roman" w:cs="Times New Roman"/>
                <w:color w:val="auto"/>
                <w:spacing w:val="0"/>
                <w:w w:val="100"/>
                <w:position w:val="0"/>
                <w:highlight w:val="none"/>
              </w:rPr>
              <w:t>2</w:t>
            </w:r>
            <w:r>
              <w:rPr>
                <w:rFonts w:hint="default"/>
                <w:color w:val="auto"/>
                <w:spacing w:val="0"/>
                <w:w w:val="100"/>
                <w:position w:val="0"/>
                <w:highlight w:val="none"/>
              </w:rPr>
              <w:t>）</w:t>
            </w:r>
          </w:p>
        </w:tc>
        <w:tc>
          <w:tcPr>
            <w:tcW w:w="1293" w:type="dxa"/>
            <w:gridSpan w:val="2"/>
            <w:vMerge w:val="restart"/>
            <w:tcBorders>
              <w:top w:val="single" w:color="auto" w:sz="4" w:space="0"/>
              <w:left w:val="single" w:color="auto" w:sz="4" w:space="0"/>
              <w:right w:val="single" w:color="auto" w:sz="4" w:space="0"/>
            </w:tcBorders>
            <w:vAlign w:val="center"/>
          </w:tcPr>
          <w:p w14:paraId="2ACA067F">
            <w:pPr>
              <w:pStyle w:val="19"/>
              <w:keepNext w:val="0"/>
              <w:keepLines w:val="0"/>
              <w:widowControl/>
              <w:suppressLineNumbers w:val="0"/>
              <w:spacing w:before="69" w:beforeAutospacing="0" w:after="0" w:afterAutospacing="0" w:line="222" w:lineRule="auto"/>
              <w:ind w:left="0" w:right="0"/>
              <w:jc w:val="center"/>
              <w:rPr>
                <w:rFonts w:hint="default"/>
                <w:color w:val="auto"/>
                <w:spacing w:val="0"/>
                <w:w w:val="100"/>
                <w:position w:val="0"/>
                <w:highlight w:val="none"/>
              </w:rPr>
            </w:pPr>
            <w:r>
              <w:rPr>
                <w:rFonts w:hint="default"/>
                <w:color w:val="auto"/>
                <w:spacing w:val="0"/>
                <w:w w:val="100"/>
                <w:position w:val="0"/>
                <w:highlight w:val="none"/>
              </w:rPr>
              <w:t>主要人员</w:t>
            </w:r>
          </w:p>
        </w:tc>
        <w:tc>
          <w:tcPr>
            <w:tcW w:w="794" w:type="dxa"/>
            <w:vMerge w:val="restart"/>
            <w:tcBorders>
              <w:top w:val="single" w:color="auto" w:sz="4" w:space="0"/>
              <w:left w:val="single" w:color="auto" w:sz="4" w:space="0"/>
              <w:right w:val="single" w:color="auto" w:sz="4" w:space="0"/>
            </w:tcBorders>
            <w:vAlign w:val="center"/>
          </w:tcPr>
          <w:p w14:paraId="570EB82D">
            <w:pPr>
              <w:pStyle w:val="19"/>
              <w:keepNext w:val="0"/>
              <w:keepLines w:val="0"/>
              <w:widowControl/>
              <w:suppressLineNumbers w:val="0"/>
              <w:spacing w:before="68" w:beforeAutospacing="0" w:after="0" w:afterAutospacing="0" w:line="235" w:lineRule="auto"/>
              <w:ind w:left="0" w:right="0"/>
              <w:jc w:val="center"/>
              <w:rPr>
                <w:rFonts w:hint="default"/>
                <w:color w:val="auto"/>
                <w:spacing w:val="0"/>
                <w:w w:val="100"/>
                <w:position w:val="0"/>
                <w:highlight w:val="none"/>
              </w:rPr>
            </w:pPr>
            <w:r>
              <w:rPr>
                <w:rFonts w:hint="eastAsia" w:ascii="Times New Roman" w:hAnsi="Times New Roman" w:cs="Times New Roman"/>
                <w:color w:val="auto"/>
                <w:spacing w:val="0"/>
                <w:w w:val="100"/>
                <w:position w:val="0"/>
                <w:highlight w:val="none"/>
                <w:u w:val="single" w:color="auto"/>
                <w:lang w:val="en-US" w:eastAsia="zh-CN"/>
              </w:rPr>
              <w:t>15</w:t>
            </w:r>
            <w:r>
              <w:rPr>
                <w:rFonts w:hint="default"/>
                <w:color w:val="auto"/>
                <w:spacing w:val="0"/>
                <w:w w:val="100"/>
                <w:position w:val="0"/>
                <w:highlight w:val="none"/>
              </w:rPr>
              <w:t>分</w:t>
            </w:r>
          </w:p>
        </w:tc>
        <w:tc>
          <w:tcPr>
            <w:tcW w:w="1840" w:type="dxa"/>
            <w:tcBorders>
              <w:left w:val="single" w:color="auto" w:sz="4" w:space="0"/>
            </w:tcBorders>
            <w:vAlign w:val="center"/>
          </w:tcPr>
          <w:p w14:paraId="74658F9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0" w:right="45"/>
              <w:jc w:val="center"/>
              <w:textAlignment w:val="baseline"/>
              <w:rPr>
                <w:rFonts w:hint="default"/>
                <w:color w:val="auto"/>
                <w:spacing w:val="0"/>
                <w:w w:val="100"/>
                <w:position w:val="0"/>
                <w:highlight w:val="none"/>
              </w:rPr>
            </w:pPr>
            <w:r>
              <w:rPr>
                <w:rFonts w:hint="default"/>
                <w:color w:val="auto"/>
                <w:spacing w:val="0"/>
                <w:w w:val="100"/>
                <w:position w:val="0"/>
                <w:highlight w:val="none"/>
              </w:rPr>
              <w:t>项目负责人任职资格与业绩</w:t>
            </w:r>
          </w:p>
        </w:tc>
        <w:tc>
          <w:tcPr>
            <w:tcW w:w="766" w:type="dxa"/>
            <w:vAlign w:val="center"/>
          </w:tcPr>
          <w:p w14:paraId="798ADC37">
            <w:pPr>
              <w:pStyle w:val="19"/>
              <w:keepNext w:val="0"/>
              <w:keepLines w:val="0"/>
              <w:widowControl/>
              <w:suppressLineNumbers w:val="0"/>
              <w:spacing w:before="68" w:beforeAutospacing="0" w:after="0" w:afterAutospacing="0" w:line="235" w:lineRule="auto"/>
              <w:ind w:left="0" w:right="0"/>
              <w:jc w:val="center"/>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u w:val="single" w:color="auto"/>
              </w:rPr>
              <w:t>1</w:t>
            </w:r>
            <w:r>
              <w:rPr>
                <w:rFonts w:hint="eastAsia" w:ascii="Times New Roman" w:hAnsi="Times New Roman" w:cs="Times New Roman"/>
                <w:color w:val="auto"/>
                <w:spacing w:val="0"/>
                <w:w w:val="100"/>
                <w:position w:val="0"/>
                <w:highlight w:val="none"/>
                <w:u w:val="single" w:color="auto"/>
                <w:lang w:val="en-US" w:eastAsia="zh-CN"/>
              </w:rPr>
              <w:t>0</w:t>
            </w:r>
            <w:r>
              <w:rPr>
                <w:rFonts w:hint="default"/>
                <w:color w:val="auto"/>
                <w:spacing w:val="0"/>
                <w:w w:val="100"/>
                <w:position w:val="0"/>
                <w:highlight w:val="none"/>
              </w:rPr>
              <w:t>分</w:t>
            </w:r>
          </w:p>
        </w:tc>
        <w:tc>
          <w:tcPr>
            <w:tcW w:w="3911" w:type="dxa"/>
            <w:vAlign w:val="top"/>
          </w:tcPr>
          <w:p w14:paraId="460CC39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38" w:lineRule="auto"/>
              <w:ind w:left="55" w:right="0"/>
              <w:textAlignment w:val="baseline"/>
              <w:rPr>
                <w:rFonts w:hint="eastAsia"/>
                <w:color w:val="auto"/>
                <w:spacing w:val="0"/>
                <w:w w:val="100"/>
                <w:position w:val="0"/>
                <w:highlight w:val="none"/>
              </w:rPr>
            </w:pPr>
            <w:r>
              <w:rPr>
                <w:rFonts w:hint="eastAsia"/>
                <w:color w:val="auto"/>
                <w:spacing w:val="0"/>
                <w:w w:val="100"/>
                <w:position w:val="0"/>
                <w:highlight w:val="none"/>
              </w:rPr>
              <w:t>①满足资格审查要求的得基本分</w:t>
            </w:r>
            <w:r>
              <w:rPr>
                <w:rFonts w:hint="eastAsia"/>
                <w:color w:val="auto"/>
                <w:spacing w:val="0"/>
                <w:w w:val="100"/>
                <w:position w:val="0"/>
                <w:highlight w:val="none"/>
                <w:lang w:val="en-US" w:eastAsia="zh-CN"/>
              </w:rPr>
              <w:t>6</w:t>
            </w:r>
            <w:r>
              <w:rPr>
                <w:rFonts w:hint="eastAsia"/>
                <w:color w:val="auto"/>
                <w:spacing w:val="0"/>
                <w:w w:val="100"/>
                <w:position w:val="0"/>
                <w:highlight w:val="none"/>
              </w:rPr>
              <w:t>分；</w:t>
            </w:r>
          </w:p>
          <w:p w14:paraId="74632CF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38" w:lineRule="auto"/>
              <w:ind w:left="55" w:right="0"/>
              <w:textAlignment w:val="baseline"/>
              <w:rPr>
                <w:rFonts w:hint="eastAsia"/>
                <w:color w:val="auto"/>
                <w:spacing w:val="0"/>
                <w:w w:val="100"/>
                <w:position w:val="0"/>
                <w:highlight w:val="none"/>
              </w:rPr>
            </w:pPr>
            <w:r>
              <w:rPr>
                <w:rFonts w:hint="eastAsia"/>
                <w:color w:val="auto"/>
                <w:spacing w:val="0"/>
                <w:w w:val="100"/>
                <w:position w:val="0"/>
                <w:highlight w:val="none"/>
              </w:rPr>
              <w:t>②具有正高级及以上工程师职称</w:t>
            </w:r>
            <w:r>
              <w:rPr>
                <w:rFonts w:hint="eastAsia"/>
                <w:color w:val="auto"/>
                <w:spacing w:val="0"/>
                <w:w w:val="100"/>
                <w:position w:val="0"/>
                <w:highlight w:val="none"/>
                <w:lang w:eastAsia="zh-CN"/>
              </w:rPr>
              <w:t>，</w:t>
            </w:r>
            <w:r>
              <w:rPr>
                <w:rFonts w:hint="eastAsia"/>
                <w:color w:val="auto"/>
                <w:spacing w:val="0"/>
                <w:w w:val="100"/>
                <w:position w:val="0"/>
                <w:highlight w:val="none"/>
              </w:rPr>
              <w:t>加</w:t>
            </w:r>
            <w:r>
              <w:rPr>
                <w:rFonts w:hint="eastAsia"/>
                <w:color w:val="auto"/>
                <w:spacing w:val="0"/>
                <w:w w:val="100"/>
                <w:position w:val="0"/>
                <w:highlight w:val="none"/>
                <w:lang w:val="en-US" w:eastAsia="zh-CN"/>
              </w:rPr>
              <w:t>2</w:t>
            </w:r>
            <w:r>
              <w:rPr>
                <w:rFonts w:hint="eastAsia"/>
                <w:color w:val="auto"/>
                <w:spacing w:val="0"/>
                <w:w w:val="100"/>
                <w:position w:val="0"/>
                <w:highlight w:val="none"/>
              </w:rPr>
              <w:t>分；</w:t>
            </w:r>
          </w:p>
          <w:p w14:paraId="332BD65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38" w:lineRule="auto"/>
              <w:ind w:left="55" w:right="0"/>
              <w:textAlignment w:val="baseline"/>
              <w:rPr>
                <w:rFonts w:hint="eastAsia"/>
                <w:color w:val="auto"/>
                <w:spacing w:val="0"/>
                <w:w w:val="100"/>
                <w:position w:val="0"/>
                <w:highlight w:val="none"/>
              </w:rPr>
            </w:pPr>
            <w:r>
              <w:rPr>
                <w:rFonts w:hint="eastAsia"/>
                <w:color w:val="auto"/>
                <w:spacing w:val="0"/>
                <w:w w:val="100"/>
                <w:position w:val="0"/>
                <w:highlight w:val="none"/>
              </w:rPr>
              <w:t>③在满足资格审查要求的基础上，</w:t>
            </w:r>
            <w:r>
              <w:rPr>
                <w:rFonts w:hint="eastAsia"/>
                <w:color w:val="auto"/>
                <w:spacing w:val="0"/>
                <w:w w:val="100"/>
                <w:position w:val="0"/>
                <w:highlight w:val="none"/>
                <w:lang w:val="en-US" w:eastAsia="zh-CN"/>
              </w:rPr>
              <w:t>自2021年1月1日至投标截止时间</w:t>
            </w:r>
            <w:r>
              <w:rPr>
                <w:rFonts w:hint="eastAsia"/>
                <w:color w:val="auto"/>
                <w:spacing w:val="0"/>
                <w:w w:val="100"/>
                <w:position w:val="0"/>
                <w:highlight w:val="none"/>
              </w:rPr>
              <w:t>每增加1个满足项目负责人资格审查最低要求业绩加</w:t>
            </w:r>
            <w:r>
              <w:rPr>
                <w:rFonts w:hint="eastAsia"/>
                <w:color w:val="auto"/>
                <w:spacing w:val="0"/>
                <w:w w:val="100"/>
                <w:position w:val="0"/>
                <w:highlight w:val="none"/>
                <w:lang w:val="en-US" w:eastAsia="zh-CN"/>
              </w:rPr>
              <w:t>1</w:t>
            </w:r>
            <w:r>
              <w:rPr>
                <w:rFonts w:hint="eastAsia"/>
                <w:color w:val="auto"/>
                <w:spacing w:val="0"/>
                <w:w w:val="100"/>
                <w:position w:val="0"/>
                <w:highlight w:val="none"/>
              </w:rPr>
              <w:t>分，最高加</w:t>
            </w:r>
            <w:r>
              <w:rPr>
                <w:rFonts w:hint="eastAsia"/>
                <w:color w:val="auto"/>
                <w:spacing w:val="0"/>
                <w:w w:val="100"/>
                <w:position w:val="0"/>
                <w:highlight w:val="none"/>
                <w:lang w:val="en-US" w:eastAsia="zh-CN"/>
              </w:rPr>
              <w:t>2</w:t>
            </w:r>
            <w:r>
              <w:rPr>
                <w:rFonts w:hint="eastAsia"/>
                <w:color w:val="auto"/>
                <w:spacing w:val="0"/>
                <w:w w:val="100"/>
                <w:position w:val="0"/>
                <w:highlight w:val="none"/>
              </w:rPr>
              <w:t>分。</w:t>
            </w:r>
          </w:p>
          <w:p w14:paraId="7B8CFE1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38" w:lineRule="auto"/>
              <w:ind w:left="0" w:right="0"/>
              <w:textAlignment w:val="baseline"/>
              <w:rPr>
                <w:rFonts w:hint="eastAsia"/>
                <w:color w:val="auto"/>
                <w:spacing w:val="0"/>
                <w:w w:val="100"/>
                <w:position w:val="0"/>
                <w:highlight w:val="none"/>
              </w:rPr>
            </w:pPr>
            <w:r>
              <w:rPr>
                <w:rFonts w:hint="eastAsia"/>
                <w:b/>
                <w:bCs/>
                <w:color w:val="auto"/>
                <w:spacing w:val="0"/>
                <w:w w:val="100"/>
                <w:position w:val="0"/>
                <w:highlight w:val="none"/>
                <w:lang w:val="en-US" w:eastAsia="zh-CN"/>
              </w:rPr>
              <w:t>如为联合体投标，需联合体牵头人提供。</w:t>
            </w:r>
          </w:p>
        </w:tc>
      </w:tr>
      <w:tr w14:paraId="42405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5" w:type="dxa"/>
            <w:vMerge w:val="continue"/>
            <w:tcBorders>
              <w:left w:val="single" w:color="auto" w:sz="4" w:space="0"/>
              <w:bottom w:val="single" w:color="auto" w:sz="4" w:space="0"/>
              <w:right w:val="single" w:color="auto" w:sz="4" w:space="0"/>
            </w:tcBorders>
            <w:vAlign w:val="top"/>
          </w:tcPr>
          <w:p w14:paraId="01138A1F">
            <w:pPr>
              <w:pStyle w:val="19"/>
              <w:keepNext w:val="0"/>
              <w:keepLines w:val="0"/>
              <w:widowControl/>
              <w:suppressLineNumbers w:val="0"/>
              <w:spacing w:before="69" w:beforeAutospacing="0" w:after="0" w:afterAutospacing="0" w:line="280" w:lineRule="exact"/>
              <w:ind w:left="0" w:right="0"/>
              <w:jc w:val="center"/>
              <w:rPr>
                <w:rFonts w:hint="default" w:ascii="Times New Roman" w:hAnsi="Times New Roman" w:eastAsia="Times New Roman" w:cs="Times New Roman"/>
                <w:color w:val="auto"/>
                <w:spacing w:val="0"/>
                <w:w w:val="100"/>
                <w:position w:val="0"/>
                <w:highlight w:val="none"/>
              </w:rPr>
            </w:pPr>
          </w:p>
        </w:tc>
        <w:tc>
          <w:tcPr>
            <w:tcW w:w="1293" w:type="dxa"/>
            <w:gridSpan w:val="2"/>
            <w:vMerge w:val="continue"/>
            <w:tcBorders>
              <w:left w:val="single" w:color="auto" w:sz="4" w:space="0"/>
              <w:bottom w:val="single" w:color="auto" w:sz="4" w:space="0"/>
              <w:right w:val="single" w:color="auto" w:sz="4" w:space="0"/>
            </w:tcBorders>
            <w:vAlign w:val="top"/>
          </w:tcPr>
          <w:p w14:paraId="296D1F3C">
            <w:pPr>
              <w:pStyle w:val="19"/>
              <w:keepNext w:val="0"/>
              <w:keepLines w:val="0"/>
              <w:widowControl/>
              <w:suppressLineNumbers w:val="0"/>
              <w:spacing w:before="69" w:beforeAutospacing="0" w:after="0" w:afterAutospacing="0" w:line="222" w:lineRule="auto"/>
              <w:ind w:left="55" w:right="0"/>
              <w:jc w:val="center"/>
              <w:rPr>
                <w:rFonts w:hint="default"/>
                <w:color w:val="auto"/>
                <w:spacing w:val="0"/>
                <w:w w:val="100"/>
                <w:position w:val="0"/>
                <w:highlight w:val="none"/>
              </w:rPr>
            </w:pPr>
          </w:p>
        </w:tc>
        <w:tc>
          <w:tcPr>
            <w:tcW w:w="794" w:type="dxa"/>
            <w:vMerge w:val="continue"/>
            <w:tcBorders>
              <w:left w:val="single" w:color="auto" w:sz="4" w:space="0"/>
              <w:bottom w:val="single" w:color="auto" w:sz="4" w:space="0"/>
              <w:right w:val="single" w:color="auto" w:sz="4" w:space="0"/>
            </w:tcBorders>
            <w:vAlign w:val="top"/>
          </w:tcPr>
          <w:p w14:paraId="3FF73019">
            <w:pPr>
              <w:pStyle w:val="19"/>
              <w:keepNext w:val="0"/>
              <w:keepLines w:val="0"/>
              <w:widowControl/>
              <w:suppressLineNumbers w:val="0"/>
              <w:spacing w:before="68" w:beforeAutospacing="0" w:after="0" w:afterAutospacing="0" w:line="235" w:lineRule="auto"/>
              <w:ind w:left="259" w:right="0"/>
              <w:jc w:val="center"/>
              <w:rPr>
                <w:rFonts w:hint="eastAsia" w:ascii="Times New Roman" w:hAnsi="Times New Roman" w:cs="Times New Roman"/>
                <w:color w:val="auto"/>
                <w:spacing w:val="0"/>
                <w:w w:val="100"/>
                <w:position w:val="0"/>
                <w:highlight w:val="none"/>
                <w:u w:val="single" w:color="auto"/>
                <w:lang w:val="en-US" w:eastAsia="zh-CN"/>
              </w:rPr>
            </w:pPr>
          </w:p>
        </w:tc>
        <w:tc>
          <w:tcPr>
            <w:tcW w:w="1840" w:type="dxa"/>
            <w:tcBorders>
              <w:left w:val="single" w:color="auto" w:sz="4" w:space="0"/>
            </w:tcBorders>
            <w:vAlign w:val="center"/>
          </w:tcPr>
          <w:p w14:paraId="5540859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0" w:right="45"/>
              <w:jc w:val="center"/>
              <w:textAlignment w:val="baseline"/>
              <w:rPr>
                <w:rFonts w:hint="default"/>
                <w:color w:val="auto"/>
                <w:spacing w:val="0"/>
                <w:w w:val="100"/>
                <w:position w:val="0"/>
                <w:highlight w:val="none"/>
              </w:rPr>
            </w:pPr>
            <w:r>
              <w:rPr>
                <w:rFonts w:hint="eastAsia"/>
                <w:color w:val="auto"/>
                <w:spacing w:val="0"/>
                <w:w w:val="100"/>
                <w:position w:val="0"/>
                <w:highlight w:val="none"/>
                <w:lang w:val="en-US" w:eastAsia="zh-CN"/>
              </w:rPr>
              <w:t>技术负责人任职资格与业绩</w:t>
            </w:r>
          </w:p>
        </w:tc>
        <w:tc>
          <w:tcPr>
            <w:tcW w:w="766" w:type="dxa"/>
            <w:vAlign w:val="center"/>
          </w:tcPr>
          <w:p w14:paraId="5D7466F8">
            <w:pPr>
              <w:pStyle w:val="19"/>
              <w:keepNext w:val="0"/>
              <w:keepLines w:val="0"/>
              <w:widowControl/>
              <w:suppressLineNumbers w:val="0"/>
              <w:spacing w:before="68" w:beforeAutospacing="0" w:after="0" w:afterAutospacing="0" w:line="235" w:lineRule="auto"/>
              <w:ind w:left="0" w:right="0"/>
              <w:jc w:val="center"/>
              <w:rPr>
                <w:rFonts w:hint="default" w:ascii="Times New Roman" w:hAnsi="Times New Roman" w:eastAsia="宋体" w:cs="Times New Roman"/>
                <w:color w:val="auto"/>
                <w:spacing w:val="0"/>
                <w:w w:val="100"/>
                <w:position w:val="0"/>
                <w:highlight w:val="none"/>
                <w:u w:val="single" w:color="auto"/>
                <w:lang w:val="en-US" w:eastAsia="zh-CN"/>
              </w:rPr>
            </w:pPr>
            <w:r>
              <w:rPr>
                <w:rFonts w:hint="eastAsia" w:ascii="Times New Roman" w:hAnsi="Times New Roman" w:cs="Times New Roman"/>
                <w:color w:val="auto"/>
                <w:spacing w:val="0"/>
                <w:w w:val="100"/>
                <w:position w:val="0"/>
                <w:highlight w:val="none"/>
                <w:u w:val="single" w:color="auto"/>
                <w:lang w:val="en-US" w:eastAsia="zh-CN"/>
              </w:rPr>
              <w:t>5分</w:t>
            </w:r>
          </w:p>
        </w:tc>
        <w:tc>
          <w:tcPr>
            <w:tcW w:w="3911" w:type="dxa"/>
            <w:vAlign w:val="top"/>
          </w:tcPr>
          <w:p w14:paraId="1FA4BF7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38" w:lineRule="auto"/>
              <w:ind w:left="55" w:right="0"/>
              <w:textAlignment w:val="baseline"/>
              <w:rPr>
                <w:rFonts w:hint="eastAsia"/>
                <w:color w:val="auto"/>
                <w:spacing w:val="0"/>
                <w:w w:val="100"/>
                <w:position w:val="0"/>
                <w:highlight w:val="none"/>
              </w:rPr>
            </w:pPr>
            <w:r>
              <w:rPr>
                <w:rFonts w:hint="eastAsia"/>
                <w:color w:val="auto"/>
                <w:spacing w:val="0"/>
                <w:w w:val="100"/>
                <w:position w:val="0"/>
                <w:highlight w:val="none"/>
                <w:lang w:val="en-US" w:eastAsia="zh-CN"/>
              </w:rPr>
              <w:t xml:space="preserve">①满足资格审查条件技术负责人最低要求得3分。 </w:t>
            </w:r>
          </w:p>
          <w:p w14:paraId="1DB4ADB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38" w:lineRule="auto"/>
              <w:ind w:left="55" w:right="0"/>
              <w:textAlignment w:val="baseline"/>
              <w:rPr>
                <w:rFonts w:hint="eastAsia"/>
                <w:color w:val="auto"/>
                <w:spacing w:val="0"/>
                <w:w w:val="100"/>
                <w:position w:val="0"/>
                <w:highlight w:val="none"/>
                <w:lang w:val="en-US" w:eastAsia="zh-CN"/>
              </w:rPr>
            </w:pPr>
            <w:r>
              <w:rPr>
                <w:rFonts w:hint="eastAsia"/>
                <w:color w:val="auto"/>
                <w:spacing w:val="0"/>
                <w:w w:val="100"/>
                <w:position w:val="0"/>
                <w:highlight w:val="none"/>
                <w:lang w:val="en-US" w:eastAsia="zh-CN"/>
              </w:rPr>
              <w:t>②自2021年1月1日至投标截止时间每增加1个满足技术负责人资格审查最低要求业绩加2分，最多加2分。</w:t>
            </w:r>
          </w:p>
          <w:p w14:paraId="6357CD4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38" w:lineRule="auto"/>
              <w:ind w:left="55" w:right="0"/>
              <w:textAlignment w:val="baseline"/>
              <w:rPr>
                <w:rFonts w:hint="eastAsia"/>
                <w:color w:val="auto"/>
                <w:spacing w:val="0"/>
                <w:w w:val="100"/>
                <w:position w:val="0"/>
                <w:highlight w:val="none"/>
                <w:lang w:val="en-US" w:eastAsia="zh-CN"/>
              </w:rPr>
            </w:pPr>
            <w:r>
              <w:rPr>
                <w:rFonts w:hint="eastAsia"/>
                <w:b/>
                <w:bCs/>
                <w:color w:val="auto"/>
                <w:spacing w:val="0"/>
                <w:w w:val="100"/>
                <w:position w:val="0"/>
                <w:highlight w:val="none"/>
                <w:lang w:val="en-US" w:eastAsia="zh-CN"/>
              </w:rPr>
              <w:t>如为联合体投标，需联合体牵头人提供。</w:t>
            </w:r>
          </w:p>
        </w:tc>
      </w:tr>
      <w:tr w14:paraId="746F7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5" w:type="dxa"/>
            <w:tcBorders>
              <w:top w:val="single" w:color="auto" w:sz="4" w:space="0"/>
              <w:left w:val="single" w:color="auto" w:sz="4" w:space="0"/>
              <w:bottom w:val="single" w:color="auto" w:sz="4" w:space="0"/>
              <w:right w:val="single" w:color="auto" w:sz="4" w:space="0"/>
            </w:tcBorders>
            <w:vAlign w:val="top"/>
          </w:tcPr>
          <w:p w14:paraId="38F02710">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58EE8E59">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011082AA">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0FB3433A">
            <w:pPr>
              <w:keepNext w:val="0"/>
              <w:keepLines w:val="0"/>
              <w:widowControl/>
              <w:suppressLineNumbers w:val="0"/>
              <w:spacing w:before="0" w:beforeAutospacing="0" w:after="0" w:afterAutospacing="0" w:line="276" w:lineRule="auto"/>
              <w:ind w:left="0" w:right="0"/>
              <w:rPr>
                <w:rFonts w:hint="default" w:ascii="Arial"/>
                <w:color w:val="auto"/>
                <w:spacing w:val="0"/>
                <w:w w:val="100"/>
                <w:position w:val="0"/>
                <w:sz w:val="21"/>
                <w:highlight w:val="none"/>
              </w:rPr>
            </w:pPr>
          </w:p>
          <w:p w14:paraId="2832726D">
            <w:pPr>
              <w:pStyle w:val="19"/>
              <w:keepNext w:val="0"/>
              <w:keepLines w:val="0"/>
              <w:widowControl/>
              <w:suppressLineNumbers w:val="0"/>
              <w:spacing w:before="68" w:beforeAutospacing="0" w:after="0" w:afterAutospacing="0" w:line="281" w:lineRule="exact"/>
              <w:ind w:left="0" w:right="0"/>
              <w:jc w:val="right"/>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rPr>
              <w:t>2.2.4</w:t>
            </w:r>
            <w:r>
              <w:rPr>
                <w:rFonts w:hint="default"/>
                <w:color w:val="auto"/>
                <w:spacing w:val="0"/>
                <w:w w:val="100"/>
                <w:position w:val="0"/>
                <w:highlight w:val="none"/>
              </w:rPr>
              <w:t>（</w:t>
            </w:r>
            <w:r>
              <w:rPr>
                <w:rFonts w:hint="default" w:ascii="Times New Roman" w:hAnsi="Times New Roman" w:eastAsia="Times New Roman" w:cs="Times New Roman"/>
                <w:color w:val="auto"/>
                <w:spacing w:val="0"/>
                <w:w w:val="100"/>
                <w:position w:val="0"/>
                <w:highlight w:val="none"/>
              </w:rPr>
              <w:t>3</w:t>
            </w:r>
            <w:r>
              <w:rPr>
                <w:rFonts w:hint="default"/>
                <w:color w:val="auto"/>
                <w:spacing w:val="0"/>
                <w:w w:val="100"/>
                <w:position w:val="0"/>
                <w:highlight w:val="none"/>
              </w:rPr>
              <w:t>）</w:t>
            </w:r>
          </w:p>
        </w:tc>
        <w:tc>
          <w:tcPr>
            <w:tcW w:w="1293" w:type="dxa"/>
            <w:gridSpan w:val="2"/>
            <w:tcBorders>
              <w:top w:val="single" w:color="auto" w:sz="4" w:space="0"/>
              <w:left w:val="single" w:color="auto" w:sz="4" w:space="0"/>
              <w:bottom w:val="single" w:color="auto" w:sz="4" w:space="0"/>
              <w:right w:val="single" w:color="auto" w:sz="4" w:space="0"/>
            </w:tcBorders>
            <w:vAlign w:val="top"/>
          </w:tcPr>
          <w:p w14:paraId="5BDB0A0F">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535C23FB">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3162ECE1">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68E13F91">
            <w:pPr>
              <w:keepNext w:val="0"/>
              <w:keepLines w:val="0"/>
              <w:widowControl/>
              <w:suppressLineNumbers w:val="0"/>
              <w:spacing w:before="0" w:beforeAutospacing="0" w:after="0" w:afterAutospacing="0" w:line="276" w:lineRule="auto"/>
              <w:ind w:left="0" w:right="0"/>
              <w:rPr>
                <w:rFonts w:hint="default" w:ascii="Arial"/>
                <w:color w:val="auto"/>
                <w:spacing w:val="0"/>
                <w:w w:val="100"/>
                <w:position w:val="0"/>
                <w:sz w:val="21"/>
                <w:highlight w:val="none"/>
              </w:rPr>
            </w:pPr>
          </w:p>
          <w:p w14:paraId="78F4344B">
            <w:pPr>
              <w:pStyle w:val="19"/>
              <w:keepNext w:val="0"/>
              <w:keepLines w:val="0"/>
              <w:widowControl/>
              <w:suppressLineNumbers w:val="0"/>
              <w:spacing w:before="68" w:beforeAutospacing="0" w:after="0" w:afterAutospacing="0" w:line="219" w:lineRule="auto"/>
              <w:ind w:left="53" w:right="0"/>
              <w:jc w:val="center"/>
              <w:rPr>
                <w:rFonts w:hint="default"/>
                <w:color w:val="auto"/>
                <w:spacing w:val="0"/>
                <w:w w:val="100"/>
                <w:position w:val="0"/>
                <w:highlight w:val="none"/>
              </w:rPr>
            </w:pPr>
            <w:r>
              <w:rPr>
                <w:rFonts w:hint="default"/>
                <w:color w:val="auto"/>
                <w:spacing w:val="0"/>
                <w:w w:val="100"/>
                <w:position w:val="0"/>
                <w:highlight w:val="none"/>
              </w:rPr>
              <w:t>评标价</w:t>
            </w:r>
          </w:p>
        </w:tc>
        <w:tc>
          <w:tcPr>
            <w:tcW w:w="794" w:type="dxa"/>
            <w:tcBorders>
              <w:top w:val="single" w:color="auto" w:sz="4" w:space="0"/>
              <w:left w:val="single" w:color="auto" w:sz="4" w:space="0"/>
              <w:bottom w:val="single" w:color="auto" w:sz="4" w:space="0"/>
              <w:right w:val="single" w:color="auto" w:sz="4" w:space="0"/>
            </w:tcBorders>
            <w:vAlign w:val="top"/>
          </w:tcPr>
          <w:p w14:paraId="3532893C">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591A4B3C">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3C6C2DFD">
            <w:pPr>
              <w:keepNext w:val="0"/>
              <w:keepLines w:val="0"/>
              <w:widowControl/>
              <w:suppressLineNumbers w:val="0"/>
              <w:spacing w:before="0" w:beforeAutospacing="0" w:after="0" w:afterAutospacing="0" w:line="275" w:lineRule="auto"/>
              <w:ind w:left="0" w:right="0"/>
              <w:rPr>
                <w:rFonts w:hint="default" w:ascii="Arial"/>
                <w:color w:val="auto"/>
                <w:spacing w:val="0"/>
                <w:w w:val="100"/>
                <w:position w:val="0"/>
                <w:sz w:val="21"/>
                <w:highlight w:val="none"/>
              </w:rPr>
            </w:pPr>
          </w:p>
          <w:p w14:paraId="1B31E66C">
            <w:pPr>
              <w:keepNext w:val="0"/>
              <w:keepLines w:val="0"/>
              <w:widowControl/>
              <w:suppressLineNumbers w:val="0"/>
              <w:spacing w:before="0" w:beforeAutospacing="0" w:after="0" w:afterAutospacing="0" w:line="276" w:lineRule="auto"/>
              <w:ind w:left="0" w:right="0"/>
              <w:rPr>
                <w:rFonts w:hint="default" w:ascii="Arial"/>
                <w:color w:val="auto"/>
                <w:spacing w:val="0"/>
                <w:w w:val="100"/>
                <w:position w:val="0"/>
                <w:sz w:val="21"/>
                <w:highlight w:val="none"/>
              </w:rPr>
            </w:pPr>
          </w:p>
          <w:p w14:paraId="4E215B42">
            <w:pPr>
              <w:pStyle w:val="19"/>
              <w:keepNext w:val="0"/>
              <w:keepLines w:val="0"/>
              <w:widowControl/>
              <w:suppressLineNumbers w:val="0"/>
              <w:spacing w:before="69" w:beforeAutospacing="0" w:after="0" w:afterAutospacing="0" w:line="221" w:lineRule="auto"/>
              <w:ind w:left="0" w:right="0"/>
              <w:jc w:val="center"/>
              <w:rPr>
                <w:rFonts w:hint="default"/>
                <w:color w:val="auto"/>
                <w:spacing w:val="0"/>
                <w:w w:val="100"/>
                <w:position w:val="0"/>
                <w:highlight w:val="none"/>
              </w:rPr>
            </w:pPr>
            <w:r>
              <w:rPr>
                <w:rFonts w:hint="eastAsia"/>
                <w:color w:val="auto"/>
                <w:spacing w:val="0"/>
                <w:w w:val="100"/>
                <w:position w:val="0"/>
                <w:highlight w:val="none"/>
                <w:u w:val="single"/>
                <w:lang w:val="en-US" w:eastAsia="zh-CN"/>
              </w:rPr>
              <w:t>10</w:t>
            </w:r>
            <w:r>
              <w:rPr>
                <w:rFonts w:hint="default"/>
                <w:color w:val="auto"/>
                <w:spacing w:val="0"/>
                <w:w w:val="100"/>
                <w:position w:val="0"/>
                <w:highlight w:val="none"/>
              </w:rPr>
              <w:t>分</w:t>
            </w:r>
          </w:p>
        </w:tc>
        <w:tc>
          <w:tcPr>
            <w:tcW w:w="6517" w:type="dxa"/>
            <w:gridSpan w:val="3"/>
            <w:tcBorders>
              <w:left w:val="single" w:color="auto" w:sz="4" w:space="0"/>
            </w:tcBorders>
            <w:vAlign w:val="top"/>
          </w:tcPr>
          <w:p w14:paraId="2E21139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88" w:lineRule="auto"/>
              <w:ind w:left="57" w:right="45" w:firstLine="3"/>
              <w:jc w:val="both"/>
              <w:textAlignment w:val="baseline"/>
              <w:rPr>
                <w:rFonts w:hint="default"/>
                <w:color w:val="auto"/>
                <w:spacing w:val="0"/>
                <w:w w:val="100"/>
                <w:position w:val="0"/>
                <w:highlight w:val="none"/>
              </w:rPr>
            </w:pPr>
            <w:r>
              <w:rPr>
                <w:rFonts w:hint="default"/>
                <w:color w:val="auto"/>
                <w:spacing w:val="0"/>
                <w:w w:val="100"/>
                <w:position w:val="0"/>
                <w:highlight w:val="none"/>
              </w:rPr>
              <w:t>评标价得分计算：</w:t>
            </w:r>
          </w:p>
          <w:p w14:paraId="47E1DC3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88" w:lineRule="auto"/>
              <w:ind w:left="57" w:right="45" w:firstLine="3"/>
              <w:jc w:val="both"/>
              <w:textAlignment w:val="baseline"/>
              <w:rPr>
                <w:rFonts w:hint="default"/>
                <w:color w:val="auto"/>
                <w:spacing w:val="0"/>
                <w:w w:val="100"/>
                <w:position w:val="0"/>
                <w:highlight w:val="none"/>
              </w:rPr>
            </w:pPr>
            <w:r>
              <w:rPr>
                <w:rFonts w:hint="default"/>
                <w:color w:val="auto"/>
                <w:spacing w:val="0"/>
                <w:w w:val="100"/>
                <w:position w:val="0"/>
                <w:highlight w:val="none"/>
              </w:rPr>
              <w:t>（1）如果投标人的评标价＞评标基准价，则评标价得分＝F-偏差率×100×E1；</w:t>
            </w:r>
          </w:p>
          <w:p w14:paraId="5BF4BAF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88" w:lineRule="auto"/>
              <w:ind w:left="57" w:right="45" w:firstLine="3"/>
              <w:jc w:val="both"/>
              <w:textAlignment w:val="baseline"/>
              <w:rPr>
                <w:rFonts w:hint="default"/>
                <w:color w:val="auto"/>
                <w:spacing w:val="0"/>
                <w:w w:val="100"/>
                <w:position w:val="0"/>
                <w:highlight w:val="none"/>
              </w:rPr>
            </w:pPr>
            <w:r>
              <w:rPr>
                <w:rFonts w:hint="default"/>
                <w:color w:val="auto"/>
                <w:spacing w:val="0"/>
                <w:w w:val="100"/>
                <w:position w:val="0"/>
                <w:highlight w:val="none"/>
              </w:rPr>
              <w:t>（2）如果投标人的评标价≤评标基准价，则评标价得分＝F</w:t>
            </w:r>
            <w:r>
              <w:rPr>
                <w:rFonts w:hint="eastAsia"/>
                <w:color w:val="auto"/>
                <w:spacing w:val="0"/>
                <w:w w:val="100"/>
                <w:position w:val="0"/>
                <w:highlight w:val="none"/>
                <w:lang w:val="en-US" w:eastAsia="zh-CN"/>
              </w:rPr>
              <w:t>+</w:t>
            </w:r>
            <w:r>
              <w:rPr>
                <w:rFonts w:hint="default"/>
                <w:color w:val="auto"/>
                <w:spacing w:val="0"/>
                <w:w w:val="100"/>
                <w:position w:val="0"/>
                <w:highlight w:val="none"/>
              </w:rPr>
              <w:t>偏差率×100×E2。</w:t>
            </w:r>
          </w:p>
          <w:p w14:paraId="6F5DCE9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88" w:lineRule="auto"/>
              <w:ind w:left="57" w:right="45" w:firstLine="3"/>
              <w:jc w:val="both"/>
              <w:textAlignment w:val="baseline"/>
              <w:rPr>
                <w:rFonts w:hint="default"/>
                <w:color w:val="auto"/>
                <w:spacing w:val="0"/>
                <w:w w:val="100"/>
                <w:position w:val="0"/>
                <w:highlight w:val="none"/>
              </w:rPr>
            </w:pPr>
            <w:r>
              <w:rPr>
                <w:rFonts w:hint="default"/>
                <w:color w:val="auto"/>
                <w:spacing w:val="0"/>
                <w:w w:val="100"/>
                <w:position w:val="0"/>
                <w:highlight w:val="none"/>
              </w:rPr>
              <w:t>其中：F是评标价所占权重分值</w:t>
            </w:r>
            <w:r>
              <w:rPr>
                <w:rFonts w:hint="eastAsia"/>
                <w:color w:val="auto"/>
                <w:spacing w:val="0"/>
                <w:w w:val="100"/>
                <w:position w:val="0"/>
                <w:highlight w:val="none"/>
                <w:lang w:val="en-US" w:eastAsia="zh-CN"/>
              </w:rPr>
              <w:t>1</w:t>
            </w:r>
            <w:r>
              <w:rPr>
                <w:rFonts w:hint="default"/>
                <w:color w:val="auto"/>
                <w:spacing w:val="0"/>
                <w:w w:val="100"/>
                <w:position w:val="0"/>
                <w:highlight w:val="none"/>
                <w:lang w:val="en-US" w:eastAsia="zh-CN"/>
              </w:rPr>
              <w:t>0</w:t>
            </w:r>
            <w:r>
              <w:rPr>
                <w:rFonts w:hint="default"/>
                <w:color w:val="auto"/>
                <w:spacing w:val="0"/>
                <w:w w:val="100"/>
                <w:position w:val="0"/>
                <w:highlight w:val="none"/>
              </w:rPr>
              <w:t>，E1=</w:t>
            </w:r>
            <w:r>
              <w:rPr>
                <w:rFonts w:hint="eastAsia"/>
                <w:color w:val="auto"/>
                <w:spacing w:val="0"/>
                <w:w w:val="100"/>
                <w:position w:val="0"/>
                <w:highlight w:val="none"/>
                <w:lang w:val="en-US" w:eastAsia="zh-CN"/>
              </w:rPr>
              <w:t>0.1</w:t>
            </w:r>
            <w:r>
              <w:rPr>
                <w:rFonts w:hint="default"/>
                <w:color w:val="auto"/>
                <w:spacing w:val="0"/>
                <w:w w:val="100"/>
                <w:position w:val="0"/>
                <w:highlight w:val="none"/>
              </w:rPr>
              <w:t>，E2=0.</w:t>
            </w:r>
            <w:r>
              <w:rPr>
                <w:rFonts w:hint="eastAsia"/>
                <w:color w:val="auto"/>
                <w:spacing w:val="0"/>
                <w:w w:val="100"/>
                <w:position w:val="0"/>
                <w:highlight w:val="none"/>
                <w:lang w:val="en-US" w:eastAsia="zh-CN"/>
              </w:rPr>
              <w:t>0</w:t>
            </w:r>
            <w:r>
              <w:rPr>
                <w:rFonts w:hint="default"/>
                <w:color w:val="auto"/>
                <w:spacing w:val="0"/>
                <w:w w:val="100"/>
                <w:position w:val="0"/>
                <w:highlight w:val="none"/>
                <w:lang w:val="en-US" w:eastAsia="zh-CN"/>
              </w:rPr>
              <w:t>5</w:t>
            </w:r>
            <w:r>
              <w:rPr>
                <w:rFonts w:hint="default"/>
                <w:color w:val="auto"/>
                <w:spacing w:val="0"/>
                <w:w w:val="100"/>
                <w:position w:val="0"/>
                <w:highlight w:val="none"/>
              </w:rPr>
              <w:t>。</w:t>
            </w:r>
          </w:p>
          <w:p w14:paraId="069DC075">
            <w:pPr>
              <w:pStyle w:val="19"/>
              <w:keepNext w:val="0"/>
              <w:keepLines w:val="0"/>
              <w:widowControl/>
              <w:suppressLineNumbers w:val="0"/>
              <w:spacing w:before="20" w:beforeAutospacing="0" w:after="0" w:afterAutospacing="0" w:line="244" w:lineRule="auto"/>
              <w:ind w:left="52" w:right="0" w:firstLine="3"/>
              <w:jc w:val="both"/>
              <w:rPr>
                <w:rFonts w:hint="default"/>
                <w:color w:val="auto"/>
                <w:spacing w:val="0"/>
                <w:w w:val="100"/>
                <w:position w:val="0"/>
                <w:highlight w:val="none"/>
              </w:rPr>
            </w:pPr>
            <w:r>
              <w:rPr>
                <w:rFonts w:hint="default"/>
                <w:color w:val="auto"/>
                <w:spacing w:val="0"/>
                <w:w w:val="100"/>
                <w:position w:val="0"/>
                <w:highlight w:val="none"/>
              </w:rPr>
              <w:t>评标价得分按四舍五入规则保留小数点后2位小数，评标价得分最高为</w:t>
            </w:r>
            <w:r>
              <w:rPr>
                <w:rFonts w:hint="eastAsia"/>
                <w:color w:val="auto"/>
                <w:spacing w:val="0"/>
                <w:w w:val="100"/>
                <w:position w:val="0"/>
                <w:highlight w:val="none"/>
                <w:lang w:val="en-US" w:eastAsia="zh-CN"/>
              </w:rPr>
              <w:t>10</w:t>
            </w:r>
            <w:r>
              <w:rPr>
                <w:rFonts w:hint="default"/>
                <w:color w:val="auto"/>
                <w:spacing w:val="0"/>
                <w:w w:val="100"/>
                <w:position w:val="0"/>
                <w:highlight w:val="none"/>
              </w:rPr>
              <w:t>分，最低为0分。</w:t>
            </w:r>
          </w:p>
        </w:tc>
      </w:tr>
      <w:tr w14:paraId="4EF16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015" w:type="dxa"/>
            <w:vMerge w:val="restart"/>
            <w:tcBorders>
              <w:bottom w:val="nil"/>
            </w:tcBorders>
            <w:vAlign w:val="center"/>
          </w:tcPr>
          <w:p w14:paraId="484BB389">
            <w:pPr>
              <w:pStyle w:val="19"/>
              <w:keepNext w:val="0"/>
              <w:keepLines w:val="0"/>
              <w:widowControl/>
              <w:suppressLineNumbers w:val="0"/>
              <w:wordWrap w:val="0"/>
              <w:spacing w:before="69" w:beforeAutospacing="0" w:after="0" w:afterAutospacing="0" w:line="280" w:lineRule="exact"/>
              <w:ind w:left="0" w:right="0"/>
              <w:jc w:val="center"/>
              <w:rPr>
                <w:rFonts w:hint="default" w:eastAsia="宋体"/>
                <w:color w:val="auto"/>
                <w:spacing w:val="0"/>
                <w:w w:val="100"/>
                <w:position w:val="0"/>
                <w:highlight w:val="none"/>
                <w:lang w:val="en-US" w:eastAsia="zh-CN"/>
              </w:rPr>
            </w:pPr>
            <w:r>
              <w:rPr>
                <w:rFonts w:hint="default" w:ascii="Times New Roman" w:hAnsi="Times New Roman" w:eastAsia="Times New Roman" w:cs="Times New Roman"/>
                <w:color w:val="auto"/>
                <w:spacing w:val="0"/>
                <w:w w:val="100"/>
                <w:position w:val="0"/>
                <w:highlight w:val="none"/>
              </w:rPr>
              <w:t>2.2.4</w:t>
            </w:r>
            <w:r>
              <w:rPr>
                <w:rFonts w:hint="default"/>
                <w:color w:val="auto"/>
                <w:spacing w:val="0"/>
                <w:w w:val="100"/>
                <w:position w:val="0"/>
                <w:highlight w:val="none"/>
              </w:rPr>
              <w:t>（</w:t>
            </w:r>
            <w:r>
              <w:rPr>
                <w:rFonts w:hint="default" w:ascii="Times New Roman" w:hAnsi="Times New Roman" w:eastAsia="Times New Roman" w:cs="Times New Roman"/>
                <w:color w:val="auto"/>
                <w:spacing w:val="0"/>
                <w:w w:val="100"/>
                <w:position w:val="0"/>
                <w:highlight w:val="none"/>
              </w:rPr>
              <w:t>4</w:t>
            </w:r>
            <w:r>
              <w:rPr>
                <w:rFonts w:hint="default"/>
                <w:color w:val="auto"/>
                <w:spacing w:val="0"/>
                <w:w w:val="100"/>
                <w:position w:val="0"/>
                <w:highlight w:val="none"/>
              </w:rPr>
              <w:t>）</w:t>
            </w:r>
          </w:p>
        </w:tc>
        <w:tc>
          <w:tcPr>
            <w:tcW w:w="588" w:type="dxa"/>
            <w:vMerge w:val="restart"/>
            <w:tcBorders>
              <w:bottom w:val="nil"/>
            </w:tcBorders>
            <w:textDirection w:val="tbRlV"/>
            <w:vAlign w:val="center"/>
          </w:tcPr>
          <w:p w14:paraId="63E81ADF">
            <w:pPr>
              <w:pStyle w:val="19"/>
              <w:keepNext w:val="0"/>
              <w:keepLines w:val="0"/>
              <w:widowControl/>
              <w:suppressLineNumbers w:val="0"/>
              <w:spacing w:before="162" w:beforeAutospacing="0" w:after="0" w:afterAutospacing="0" w:line="209" w:lineRule="auto"/>
              <w:ind w:left="0" w:leftChars="0" w:right="0" w:firstLine="0" w:firstLineChars="0"/>
              <w:jc w:val="center"/>
              <w:rPr>
                <w:rFonts w:hint="default"/>
                <w:color w:val="auto"/>
                <w:spacing w:val="0"/>
                <w:w w:val="100"/>
                <w:position w:val="0"/>
                <w:highlight w:val="none"/>
              </w:rPr>
            </w:pPr>
            <w:r>
              <w:rPr>
                <w:rFonts w:hint="default"/>
                <w:color w:val="auto"/>
                <w:spacing w:val="0"/>
                <w:w w:val="100"/>
                <w:position w:val="0"/>
                <w:highlight w:val="none"/>
              </w:rPr>
              <w:t>其他因素</w:t>
            </w:r>
          </w:p>
        </w:tc>
        <w:tc>
          <w:tcPr>
            <w:tcW w:w="705" w:type="dxa"/>
            <w:shd w:val="clear" w:color="auto" w:fill="auto"/>
            <w:vAlign w:val="center"/>
          </w:tcPr>
          <w:p w14:paraId="685B9446">
            <w:pPr>
              <w:pStyle w:val="19"/>
              <w:keepNext w:val="0"/>
              <w:keepLines w:val="0"/>
              <w:widowControl/>
              <w:suppressLineNumbers w:val="0"/>
              <w:spacing w:before="68" w:beforeAutospacing="0" w:after="0" w:afterAutospacing="0" w:line="221" w:lineRule="auto"/>
              <w:ind w:left="0" w:right="0"/>
              <w:jc w:val="center"/>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eastAsia"/>
                <w:color w:val="auto"/>
                <w:spacing w:val="0"/>
                <w:w w:val="100"/>
                <w:position w:val="0"/>
                <w:highlight w:val="none"/>
                <w:lang w:val="en-US" w:eastAsia="zh-CN"/>
              </w:rPr>
              <w:t>投标人</w:t>
            </w:r>
            <w:r>
              <w:rPr>
                <w:rFonts w:hint="default"/>
                <w:color w:val="auto"/>
                <w:spacing w:val="0"/>
                <w:w w:val="100"/>
                <w:position w:val="0"/>
                <w:highlight w:val="none"/>
              </w:rPr>
              <w:t>类似业绩</w:t>
            </w:r>
          </w:p>
        </w:tc>
        <w:tc>
          <w:tcPr>
            <w:tcW w:w="794" w:type="dxa"/>
            <w:shd w:val="clear" w:color="auto" w:fill="auto"/>
            <w:vAlign w:val="center"/>
          </w:tcPr>
          <w:p w14:paraId="01DC4A1D">
            <w:pPr>
              <w:pStyle w:val="19"/>
              <w:keepNext w:val="0"/>
              <w:keepLines w:val="0"/>
              <w:widowControl/>
              <w:suppressLineNumbers w:val="0"/>
              <w:spacing w:before="68" w:beforeAutospacing="0" w:after="0" w:afterAutospacing="0" w:line="221" w:lineRule="auto"/>
              <w:ind w:left="0" w:right="0"/>
              <w:jc w:val="center"/>
              <w:rPr>
                <w:rFonts w:hint="default" w:ascii="宋体" w:hAnsi="宋体" w:eastAsia="宋体" w:cs="宋体"/>
                <w:snapToGrid w:val="0"/>
                <w:color w:val="auto"/>
                <w:spacing w:val="0"/>
                <w:w w:val="100"/>
                <w:kern w:val="0"/>
                <w:position w:val="0"/>
                <w:sz w:val="21"/>
                <w:szCs w:val="21"/>
                <w:highlight w:val="none"/>
                <w:lang w:val="en-US" w:eastAsia="en-US" w:bidi="ar-SA"/>
              </w:rPr>
            </w:pPr>
            <w:r>
              <w:rPr>
                <w:rFonts w:hint="default"/>
                <w:color w:val="auto"/>
                <w:spacing w:val="0"/>
                <w:w w:val="100"/>
                <w:position w:val="0"/>
                <w:highlight w:val="none"/>
                <w:u w:val="single" w:color="auto"/>
              </w:rPr>
              <w:t>2</w:t>
            </w:r>
            <w:r>
              <w:rPr>
                <w:rFonts w:hint="eastAsia"/>
                <w:color w:val="auto"/>
                <w:spacing w:val="0"/>
                <w:w w:val="100"/>
                <w:position w:val="0"/>
                <w:highlight w:val="none"/>
                <w:u w:val="single" w:color="auto"/>
                <w:lang w:val="en-US" w:eastAsia="zh-CN"/>
              </w:rPr>
              <w:t>0</w:t>
            </w:r>
            <w:r>
              <w:rPr>
                <w:rFonts w:hint="default"/>
                <w:color w:val="auto"/>
                <w:spacing w:val="0"/>
                <w:w w:val="100"/>
                <w:position w:val="0"/>
                <w:highlight w:val="none"/>
              </w:rPr>
              <w:t>分</w:t>
            </w:r>
          </w:p>
        </w:tc>
        <w:tc>
          <w:tcPr>
            <w:tcW w:w="6517" w:type="dxa"/>
            <w:gridSpan w:val="3"/>
            <w:shd w:val="clear" w:color="auto" w:fill="auto"/>
            <w:vAlign w:val="center"/>
          </w:tcPr>
          <w:p w14:paraId="4FE7AE9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default"/>
                <w:color w:val="auto"/>
                <w:spacing w:val="0"/>
                <w:w w:val="100"/>
                <w:position w:val="0"/>
                <w:highlight w:val="none"/>
              </w:rPr>
            </w:pPr>
            <w:r>
              <w:rPr>
                <w:rFonts w:hint="default"/>
                <w:color w:val="auto"/>
                <w:spacing w:val="0"/>
                <w:w w:val="100"/>
                <w:position w:val="0"/>
                <w:highlight w:val="none"/>
              </w:rPr>
              <w:t>①满足资格审查要求的得基本分1</w:t>
            </w:r>
            <w:r>
              <w:rPr>
                <w:rFonts w:hint="eastAsia"/>
                <w:color w:val="auto"/>
                <w:spacing w:val="0"/>
                <w:w w:val="100"/>
                <w:position w:val="0"/>
                <w:highlight w:val="none"/>
                <w:lang w:val="en-US" w:eastAsia="zh-CN"/>
              </w:rPr>
              <w:t>2</w:t>
            </w:r>
            <w:r>
              <w:rPr>
                <w:rFonts w:hint="default"/>
                <w:color w:val="auto"/>
                <w:spacing w:val="0"/>
                <w:w w:val="100"/>
                <w:position w:val="0"/>
                <w:highlight w:val="none"/>
              </w:rPr>
              <w:t>分；</w:t>
            </w:r>
          </w:p>
          <w:p w14:paraId="5BB6131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leftChars="0" w:right="0" w:rightChars="0"/>
              <w:textAlignment w:val="baseline"/>
              <w:rPr>
                <w:rFonts w:hint="default"/>
                <w:color w:val="auto"/>
                <w:spacing w:val="0"/>
                <w:w w:val="100"/>
                <w:position w:val="0"/>
                <w:highlight w:val="none"/>
              </w:rPr>
            </w:pPr>
            <w:r>
              <w:rPr>
                <w:rFonts w:hint="default"/>
                <w:color w:val="auto"/>
                <w:spacing w:val="0"/>
                <w:w w:val="100"/>
                <w:position w:val="0"/>
                <w:highlight w:val="none"/>
              </w:rPr>
              <w:t>②在满足资格审查要求的基础上，自</w:t>
            </w:r>
            <w:r>
              <w:rPr>
                <w:rFonts w:hint="eastAsia"/>
                <w:color w:val="auto"/>
                <w:spacing w:val="0"/>
                <w:w w:val="100"/>
                <w:position w:val="0"/>
                <w:highlight w:val="none"/>
                <w:lang w:val="en-US" w:eastAsia="zh-CN"/>
              </w:rPr>
              <w:t>2021年1月1日至投标截止时间</w:t>
            </w:r>
            <w:r>
              <w:rPr>
                <w:rFonts w:hint="eastAsia"/>
                <w:color w:val="auto"/>
                <w:spacing w:val="0"/>
                <w:w w:val="100"/>
                <w:position w:val="0"/>
                <w:highlight w:val="none"/>
              </w:rPr>
              <w:t>每增加1个满足资格审查条件最低要求业绩加</w:t>
            </w:r>
            <w:r>
              <w:rPr>
                <w:rFonts w:hint="eastAsia"/>
                <w:color w:val="auto"/>
                <w:spacing w:val="0"/>
                <w:w w:val="100"/>
                <w:position w:val="0"/>
                <w:highlight w:val="none"/>
                <w:lang w:val="en-US" w:eastAsia="zh-CN"/>
              </w:rPr>
              <w:t>4</w:t>
            </w:r>
            <w:r>
              <w:rPr>
                <w:rFonts w:hint="eastAsia"/>
                <w:color w:val="auto"/>
                <w:spacing w:val="0"/>
                <w:w w:val="100"/>
                <w:position w:val="0"/>
                <w:highlight w:val="none"/>
              </w:rPr>
              <w:t>分</w:t>
            </w:r>
            <w:r>
              <w:rPr>
                <w:rFonts w:hint="default"/>
                <w:color w:val="auto"/>
                <w:spacing w:val="0"/>
                <w:w w:val="100"/>
                <w:position w:val="0"/>
                <w:highlight w:val="none"/>
              </w:rPr>
              <w:t>，最高加</w:t>
            </w:r>
            <w:r>
              <w:rPr>
                <w:rFonts w:hint="eastAsia"/>
                <w:color w:val="auto"/>
                <w:spacing w:val="0"/>
                <w:w w:val="100"/>
                <w:position w:val="0"/>
                <w:highlight w:val="none"/>
                <w:lang w:val="en-US" w:eastAsia="zh-CN"/>
              </w:rPr>
              <w:t>8</w:t>
            </w:r>
            <w:r>
              <w:rPr>
                <w:rFonts w:hint="default"/>
                <w:color w:val="auto"/>
                <w:spacing w:val="0"/>
                <w:w w:val="100"/>
                <w:position w:val="0"/>
                <w:highlight w:val="none"/>
              </w:rPr>
              <w:t>分。</w:t>
            </w:r>
          </w:p>
          <w:p w14:paraId="4A042C0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leftChars="0" w:right="0" w:rightChars="0"/>
              <w:textAlignment w:val="baseline"/>
              <w:rPr>
                <w:rFonts w:hint="eastAsia"/>
                <w:color w:val="auto"/>
                <w:spacing w:val="0"/>
                <w:w w:val="100"/>
                <w:position w:val="0"/>
                <w:highlight w:val="none"/>
                <w:lang w:val="en-US" w:eastAsia="zh-CN"/>
              </w:rPr>
            </w:pPr>
            <w:r>
              <w:rPr>
                <w:rFonts w:hint="eastAsia"/>
                <w:b/>
                <w:bCs/>
                <w:color w:val="auto"/>
                <w:spacing w:val="0"/>
                <w:w w:val="100"/>
                <w:position w:val="0"/>
                <w:highlight w:val="none"/>
                <w:lang w:val="en-US" w:eastAsia="zh-CN"/>
              </w:rPr>
              <w:t>如为联合体投标，需联合体牵头人提供。</w:t>
            </w:r>
          </w:p>
        </w:tc>
      </w:tr>
      <w:tr w14:paraId="54338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5" w:type="dxa"/>
            <w:vMerge w:val="continue"/>
            <w:tcBorders>
              <w:top w:val="nil"/>
              <w:bottom w:val="nil"/>
            </w:tcBorders>
            <w:vAlign w:val="top"/>
          </w:tcPr>
          <w:p w14:paraId="2250787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588" w:type="dxa"/>
            <w:vMerge w:val="continue"/>
            <w:tcBorders>
              <w:top w:val="nil"/>
              <w:bottom w:val="nil"/>
            </w:tcBorders>
            <w:textDirection w:val="tbRlV"/>
            <w:vAlign w:val="top"/>
          </w:tcPr>
          <w:p w14:paraId="14A43B0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05" w:type="dxa"/>
            <w:vAlign w:val="center"/>
          </w:tcPr>
          <w:p w14:paraId="13364D76">
            <w:pPr>
              <w:pStyle w:val="19"/>
              <w:keepNext w:val="0"/>
              <w:keepLines w:val="0"/>
              <w:widowControl/>
              <w:suppressLineNumbers w:val="0"/>
              <w:spacing w:before="68" w:beforeAutospacing="0" w:after="0" w:afterAutospacing="0" w:line="221" w:lineRule="auto"/>
              <w:ind w:left="0" w:right="0"/>
              <w:jc w:val="center"/>
              <w:rPr>
                <w:rFonts w:hint="default"/>
                <w:color w:val="auto"/>
                <w:spacing w:val="0"/>
                <w:w w:val="100"/>
                <w:position w:val="0"/>
                <w:highlight w:val="none"/>
              </w:rPr>
            </w:pPr>
            <w:r>
              <w:rPr>
                <w:rFonts w:hint="default"/>
                <w:color w:val="auto"/>
                <w:spacing w:val="0"/>
                <w:w w:val="100"/>
                <w:position w:val="0"/>
                <w:highlight w:val="none"/>
              </w:rPr>
              <w:t>履约信誉</w:t>
            </w:r>
          </w:p>
        </w:tc>
        <w:tc>
          <w:tcPr>
            <w:tcW w:w="794" w:type="dxa"/>
            <w:vAlign w:val="center"/>
          </w:tcPr>
          <w:p w14:paraId="30435F92">
            <w:pPr>
              <w:pStyle w:val="19"/>
              <w:keepNext w:val="0"/>
              <w:keepLines w:val="0"/>
              <w:widowControl/>
              <w:suppressLineNumbers w:val="0"/>
              <w:spacing w:before="68" w:beforeAutospacing="0" w:after="0" w:afterAutospacing="0" w:line="221" w:lineRule="auto"/>
              <w:ind w:left="0" w:right="0"/>
              <w:jc w:val="center"/>
              <w:rPr>
                <w:rFonts w:hint="default"/>
                <w:color w:val="auto"/>
                <w:spacing w:val="0"/>
                <w:w w:val="100"/>
                <w:position w:val="0"/>
                <w:highlight w:val="none"/>
              </w:rPr>
            </w:pPr>
            <w:r>
              <w:rPr>
                <w:rFonts w:hint="default"/>
                <w:color w:val="auto"/>
                <w:spacing w:val="0"/>
                <w:w w:val="100"/>
                <w:position w:val="0"/>
                <w:highlight w:val="none"/>
                <w:u w:val="single" w:color="auto"/>
              </w:rPr>
              <w:t>5</w:t>
            </w:r>
            <w:r>
              <w:rPr>
                <w:rFonts w:hint="default"/>
                <w:color w:val="auto"/>
                <w:spacing w:val="0"/>
                <w:w w:val="100"/>
                <w:position w:val="0"/>
                <w:highlight w:val="none"/>
              </w:rPr>
              <w:t>分</w:t>
            </w:r>
          </w:p>
        </w:tc>
        <w:tc>
          <w:tcPr>
            <w:tcW w:w="6517" w:type="dxa"/>
            <w:gridSpan w:val="3"/>
            <w:vAlign w:val="center"/>
          </w:tcPr>
          <w:p w14:paraId="53074B0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eastAsia"/>
                <w:color w:val="auto"/>
                <w:spacing w:val="0"/>
                <w:w w:val="100"/>
                <w:position w:val="0"/>
                <w:highlight w:val="none"/>
                <w:lang w:eastAsia="zh-CN"/>
              </w:rPr>
            </w:pPr>
            <w:r>
              <w:rPr>
                <w:rFonts w:hint="default"/>
                <w:color w:val="auto"/>
                <w:spacing w:val="0"/>
                <w:w w:val="100"/>
                <w:position w:val="0"/>
                <w:highlight w:val="none"/>
              </w:rPr>
              <w:t>按以下原则确定的公路设计企业信用评价等级为AA级的得5分；为A级的得</w:t>
            </w:r>
            <w:r>
              <w:rPr>
                <w:rFonts w:hint="eastAsia"/>
                <w:color w:val="auto"/>
                <w:spacing w:val="0"/>
                <w:w w:val="100"/>
                <w:position w:val="0"/>
                <w:highlight w:val="none"/>
                <w:lang w:val="en-US" w:eastAsia="zh-CN"/>
              </w:rPr>
              <w:t>3</w:t>
            </w:r>
            <w:r>
              <w:rPr>
                <w:rFonts w:hint="default"/>
                <w:color w:val="auto"/>
                <w:spacing w:val="0"/>
                <w:w w:val="100"/>
                <w:position w:val="0"/>
                <w:highlight w:val="none"/>
              </w:rPr>
              <w:t>分；其他等级不得分</w:t>
            </w:r>
            <w:r>
              <w:rPr>
                <w:rFonts w:hint="eastAsia"/>
                <w:color w:val="auto"/>
                <w:spacing w:val="0"/>
                <w:w w:val="100"/>
                <w:position w:val="0"/>
                <w:highlight w:val="none"/>
                <w:lang w:eastAsia="zh-CN"/>
              </w:rPr>
              <w:t>；</w:t>
            </w:r>
          </w:p>
          <w:p w14:paraId="705BAAC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default"/>
                <w:color w:val="auto"/>
                <w:spacing w:val="0"/>
                <w:w w:val="100"/>
                <w:position w:val="0"/>
                <w:highlight w:val="none"/>
              </w:rPr>
            </w:pPr>
            <w:r>
              <w:rPr>
                <w:rFonts w:hint="default"/>
                <w:color w:val="auto"/>
                <w:spacing w:val="0"/>
                <w:w w:val="100"/>
                <w:position w:val="0"/>
                <w:highlight w:val="none"/>
              </w:rPr>
              <w:t>注：</w:t>
            </w:r>
          </w:p>
          <w:p w14:paraId="0D272C7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①有安徽省交通运输厅</w:t>
            </w:r>
            <w:r>
              <w:rPr>
                <w:rFonts w:hint="eastAsia"/>
                <w:color w:val="auto"/>
                <w:spacing w:val="0"/>
                <w:w w:val="100"/>
                <w:position w:val="0"/>
                <w:highlight w:val="none"/>
                <w:lang w:eastAsia="zh-CN"/>
              </w:rPr>
              <w:t>202</w:t>
            </w:r>
            <w:r>
              <w:rPr>
                <w:rFonts w:hint="eastAsia"/>
                <w:color w:val="auto"/>
                <w:spacing w:val="0"/>
                <w:w w:val="100"/>
                <w:position w:val="0"/>
                <w:highlight w:val="none"/>
                <w:lang w:val="en-US" w:eastAsia="zh-CN"/>
              </w:rPr>
              <w:t>5</w:t>
            </w:r>
            <w:r>
              <w:rPr>
                <w:rFonts w:hint="eastAsia"/>
                <w:color w:val="auto"/>
                <w:spacing w:val="0"/>
                <w:w w:val="100"/>
                <w:position w:val="0"/>
                <w:highlight w:val="none"/>
                <w:lang w:eastAsia="zh-CN"/>
              </w:rPr>
              <w:t>年度</w:t>
            </w:r>
            <w:r>
              <w:rPr>
                <w:rFonts w:hint="default"/>
                <w:color w:val="auto"/>
                <w:spacing w:val="0"/>
                <w:w w:val="100"/>
                <w:position w:val="0"/>
                <w:highlight w:val="none"/>
              </w:rPr>
              <w:t>公路设计企业信用评价等级时，直接引用该等级；没有安徽省交通运输厅</w:t>
            </w:r>
            <w:r>
              <w:rPr>
                <w:rFonts w:hint="eastAsia"/>
                <w:color w:val="auto"/>
                <w:spacing w:val="0"/>
                <w:w w:val="100"/>
                <w:position w:val="0"/>
                <w:highlight w:val="none"/>
                <w:lang w:eastAsia="zh-CN"/>
              </w:rPr>
              <w:t>202</w:t>
            </w:r>
            <w:r>
              <w:rPr>
                <w:rFonts w:hint="eastAsia"/>
                <w:color w:val="auto"/>
                <w:spacing w:val="0"/>
                <w:w w:val="100"/>
                <w:position w:val="0"/>
                <w:highlight w:val="none"/>
                <w:lang w:val="en-US" w:eastAsia="zh-CN"/>
              </w:rPr>
              <w:t>5</w:t>
            </w:r>
            <w:r>
              <w:rPr>
                <w:rFonts w:hint="eastAsia"/>
                <w:color w:val="auto"/>
                <w:spacing w:val="0"/>
                <w:w w:val="100"/>
                <w:position w:val="0"/>
                <w:highlight w:val="none"/>
                <w:lang w:eastAsia="zh-CN"/>
              </w:rPr>
              <w:t>年度</w:t>
            </w:r>
            <w:r>
              <w:rPr>
                <w:rFonts w:hint="default"/>
                <w:color w:val="auto"/>
                <w:spacing w:val="0"/>
                <w:w w:val="100"/>
                <w:position w:val="0"/>
                <w:highlight w:val="none"/>
              </w:rPr>
              <w:t>公路设计企业信用评价等级时，引用安徽省交通运输厅</w:t>
            </w:r>
            <w:r>
              <w:rPr>
                <w:rFonts w:hint="eastAsia"/>
                <w:color w:val="auto"/>
                <w:spacing w:val="0"/>
                <w:w w:val="100"/>
                <w:position w:val="0"/>
                <w:highlight w:val="none"/>
                <w:lang w:eastAsia="zh-CN"/>
              </w:rPr>
              <w:t>202</w:t>
            </w:r>
            <w:r>
              <w:rPr>
                <w:rFonts w:hint="eastAsia"/>
                <w:color w:val="auto"/>
                <w:spacing w:val="0"/>
                <w:w w:val="100"/>
                <w:position w:val="0"/>
                <w:highlight w:val="none"/>
                <w:lang w:val="en-US" w:eastAsia="zh-CN"/>
              </w:rPr>
              <w:t>4</w:t>
            </w:r>
            <w:r>
              <w:rPr>
                <w:rFonts w:hint="eastAsia"/>
                <w:color w:val="auto"/>
                <w:spacing w:val="0"/>
                <w:w w:val="100"/>
                <w:position w:val="0"/>
                <w:highlight w:val="none"/>
                <w:lang w:eastAsia="zh-CN"/>
              </w:rPr>
              <w:t>年度</w:t>
            </w:r>
            <w:r>
              <w:rPr>
                <w:rFonts w:hint="default"/>
                <w:color w:val="auto"/>
                <w:spacing w:val="0"/>
                <w:w w:val="100"/>
                <w:position w:val="0"/>
                <w:highlight w:val="none"/>
              </w:rPr>
              <w:t>公路设计企业信用评价等级。</w:t>
            </w:r>
          </w:p>
          <w:p w14:paraId="0067634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②没有安徽省交通运输厅202</w:t>
            </w:r>
            <w:r>
              <w:rPr>
                <w:rFonts w:hint="eastAsia"/>
                <w:color w:val="auto"/>
                <w:spacing w:val="0"/>
                <w:w w:val="100"/>
                <w:position w:val="0"/>
                <w:highlight w:val="none"/>
                <w:lang w:val="en-US" w:eastAsia="zh-CN"/>
              </w:rPr>
              <w:t>5</w:t>
            </w:r>
            <w:r>
              <w:rPr>
                <w:rFonts w:hint="default"/>
                <w:color w:val="auto"/>
                <w:spacing w:val="0"/>
                <w:w w:val="100"/>
                <w:position w:val="0"/>
                <w:highlight w:val="none"/>
              </w:rPr>
              <w:t>、</w:t>
            </w:r>
            <w:r>
              <w:rPr>
                <w:rFonts w:hint="eastAsia"/>
                <w:color w:val="auto"/>
                <w:spacing w:val="0"/>
                <w:w w:val="100"/>
                <w:position w:val="0"/>
                <w:highlight w:val="none"/>
                <w:lang w:eastAsia="zh-CN"/>
              </w:rPr>
              <w:t>202</w:t>
            </w:r>
            <w:r>
              <w:rPr>
                <w:rFonts w:hint="eastAsia"/>
                <w:color w:val="auto"/>
                <w:spacing w:val="0"/>
                <w:w w:val="100"/>
                <w:position w:val="0"/>
                <w:highlight w:val="none"/>
                <w:lang w:val="en-US" w:eastAsia="zh-CN"/>
              </w:rPr>
              <w:t>4</w:t>
            </w:r>
            <w:r>
              <w:rPr>
                <w:rFonts w:hint="eastAsia"/>
                <w:color w:val="auto"/>
                <w:spacing w:val="0"/>
                <w:w w:val="100"/>
                <w:position w:val="0"/>
                <w:highlight w:val="none"/>
                <w:lang w:eastAsia="zh-CN"/>
              </w:rPr>
              <w:t>年度</w:t>
            </w:r>
            <w:r>
              <w:rPr>
                <w:rFonts w:hint="default"/>
                <w:color w:val="auto"/>
                <w:spacing w:val="0"/>
                <w:w w:val="100"/>
                <w:position w:val="0"/>
                <w:highlight w:val="none"/>
              </w:rPr>
              <w:t>公路设计企业信用评价等级时，引用交通运输部最新年度公路设计企业信用评价等级。</w:t>
            </w:r>
          </w:p>
          <w:p w14:paraId="724DD8D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③均无上述信用评价等级的，若无不良信用记录，按A级对待；若有不良信用记录，按B级及以下对待；</w:t>
            </w:r>
          </w:p>
          <w:p w14:paraId="09EA744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240" w:lineRule="auto"/>
              <w:ind w:left="57" w:right="45"/>
              <w:jc w:val="both"/>
              <w:textAlignment w:val="baseline"/>
              <w:rPr>
                <w:rFonts w:hint="default"/>
                <w:color w:val="auto"/>
                <w:spacing w:val="0"/>
                <w:w w:val="100"/>
                <w:position w:val="0"/>
                <w:highlight w:val="none"/>
              </w:rPr>
            </w:pPr>
            <w:r>
              <w:rPr>
                <w:rFonts w:hint="default"/>
                <w:color w:val="auto"/>
                <w:spacing w:val="0"/>
                <w:w w:val="100"/>
                <w:position w:val="0"/>
                <w:highlight w:val="none"/>
              </w:rPr>
              <w:t>④如在交通运输部或安徽省交通运输厅最新年度等级评价公布日期之后，被交通运输部或安徽省交通运输厅通报降级的投标人的信用等级按通报等级执行。</w:t>
            </w:r>
          </w:p>
          <w:p w14:paraId="23D5CAB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default"/>
                <w:color w:val="auto"/>
                <w:spacing w:val="0"/>
                <w:w w:val="100"/>
                <w:position w:val="0"/>
                <w:highlight w:val="none"/>
              </w:rPr>
            </w:pPr>
            <w:r>
              <w:rPr>
                <w:rFonts w:hint="default"/>
                <w:color w:val="auto"/>
                <w:spacing w:val="0"/>
                <w:w w:val="100"/>
                <w:position w:val="0"/>
                <w:highlight w:val="none"/>
              </w:rPr>
              <w:t>⑤投标人在招标文件第六章投标文件格式中须提供设计单位信用评价等级截图，如未提供信用评价等级截图或提供的信用评价等级截图与投标人实际信用等级不符的，不予加分，评标时评标委员会保留现场核查权利。因未参与信用评价而无法提供信用评价等级截图的，需提供未参加信用评价的说明。</w:t>
            </w:r>
          </w:p>
          <w:p w14:paraId="68FB582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default"/>
                <w:color w:val="auto"/>
                <w:spacing w:val="0"/>
                <w:w w:val="100"/>
                <w:position w:val="0"/>
                <w:highlight w:val="none"/>
              </w:rPr>
            </w:pPr>
            <w:r>
              <w:rPr>
                <w:rFonts w:hint="eastAsia"/>
                <w:b/>
                <w:bCs/>
                <w:color w:val="auto"/>
                <w:spacing w:val="0"/>
                <w:w w:val="100"/>
                <w:position w:val="0"/>
                <w:highlight w:val="none"/>
                <w:lang w:val="en-US" w:eastAsia="zh-CN"/>
              </w:rPr>
              <w:t>如为联合体投标，需联合体牵头人提供。</w:t>
            </w:r>
          </w:p>
        </w:tc>
      </w:tr>
      <w:tr w14:paraId="5E48A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015" w:type="dxa"/>
            <w:vMerge w:val="continue"/>
            <w:tcBorders>
              <w:top w:val="nil"/>
              <w:bottom w:val="nil"/>
            </w:tcBorders>
            <w:vAlign w:val="top"/>
          </w:tcPr>
          <w:p w14:paraId="4401136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588" w:type="dxa"/>
            <w:vMerge w:val="continue"/>
            <w:tcBorders>
              <w:top w:val="nil"/>
              <w:bottom w:val="nil"/>
            </w:tcBorders>
            <w:textDirection w:val="tbRlV"/>
            <w:vAlign w:val="top"/>
          </w:tcPr>
          <w:p w14:paraId="3AFC135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05" w:type="dxa"/>
            <w:vAlign w:val="center"/>
          </w:tcPr>
          <w:p w14:paraId="2177D475">
            <w:pPr>
              <w:pStyle w:val="19"/>
              <w:keepNext w:val="0"/>
              <w:keepLines w:val="0"/>
              <w:widowControl/>
              <w:suppressLineNumbers w:val="0"/>
              <w:spacing w:before="68" w:beforeAutospacing="0" w:after="0" w:afterAutospacing="0" w:line="221" w:lineRule="auto"/>
              <w:ind w:left="0" w:right="0"/>
              <w:jc w:val="center"/>
              <w:rPr>
                <w:rFonts w:hint="default"/>
                <w:color w:val="auto"/>
                <w:spacing w:val="0"/>
                <w:w w:val="100"/>
                <w:position w:val="0"/>
                <w:highlight w:val="none"/>
              </w:rPr>
            </w:pPr>
            <w:r>
              <w:rPr>
                <w:rFonts w:hint="default"/>
                <w:color w:val="auto"/>
                <w:spacing w:val="0"/>
                <w:w w:val="100"/>
                <w:position w:val="0"/>
                <w:highlight w:val="none"/>
              </w:rPr>
              <w:t>技术能力</w:t>
            </w:r>
          </w:p>
        </w:tc>
        <w:tc>
          <w:tcPr>
            <w:tcW w:w="794" w:type="dxa"/>
            <w:vAlign w:val="center"/>
          </w:tcPr>
          <w:p w14:paraId="207574B0">
            <w:pPr>
              <w:pStyle w:val="19"/>
              <w:keepNext w:val="0"/>
              <w:keepLines w:val="0"/>
              <w:widowControl/>
              <w:suppressLineNumbers w:val="0"/>
              <w:spacing w:before="68" w:beforeAutospacing="0" w:after="0" w:afterAutospacing="0" w:line="221" w:lineRule="auto"/>
              <w:ind w:left="0" w:right="0"/>
              <w:jc w:val="center"/>
              <w:rPr>
                <w:rFonts w:hint="default"/>
                <w:color w:val="auto"/>
                <w:spacing w:val="0"/>
                <w:w w:val="100"/>
                <w:position w:val="0"/>
                <w:highlight w:val="none"/>
                <w:u w:val="single" w:color="auto"/>
              </w:rPr>
            </w:pPr>
            <w:r>
              <w:rPr>
                <w:rFonts w:hint="eastAsia"/>
                <w:color w:val="auto"/>
                <w:spacing w:val="0"/>
                <w:w w:val="100"/>
                <w:position w:val="0"/>
                <w:highlight w:val="none"/>
                <w:u w:val="single" w:color="auto"/>
                <w:lang w:val="en-US" w:eastAsia="zh-CN"/>
              </w:rPr>
              <w:t>4</w:t>
            </w:r>
            <w:r>
              <w:rPr>
                <w:rFonts w:hint="eastAsia"/>
                <w:color w:val="auto"/>
                <w:spacing w:val="0"/>
                <w:w w:val="100"/>
                <w:position w:val="0"/>
                <w:highlight w:val="none"/>
                <w:u w:val="none" w:color="auto"/>
                <w:lang w:val="en-US" w:eastAsia="zh-CN"/>
              </w:rPr>
              <w:t>分</w:t>
            </w:r>
          </w:p>
        </w:tc>
        <w:tc>
          <w:tcPr>
            <w:tcW w:w="6517" w:type="dxa"/>
            <w:gridSpan w:val="3"/>
            <w:vAlign w:val="center"/>
          </w:tcPr>
          <w:p w14:paraId="240FFAE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eastAsia"/>
                <w:color w:val="auto"/>
                <w:spacing w:val="0"/>
                <w:w w:val="100"/>
                <w:position w:val="0"/>
                <w:highlight w:val="none"/>
              </w:rPr>
            </w:pPr>
            <w:r>
              <w:rPr>
                <w:rFonts w:hint="eastAsia"/>
                <w:color w:val="auto"/>
                <w:spacing w:val="0"/>
                <w:w w:val="100"/>
                <w:position w:val="0"/>
                <w:highlight w:val="none"/>
              </w:rPr>
              <w:t>投标人具有下列技术能力的，每有一个得2分，最多得4分：</w:t>
            </w:r>
          </w:p>
          <w:p w14:paraId="1328449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eastAsia"/>
                <w:color w:val="auto"/>
                <w:spacing w:val="0"/>
                <w:w w:val="100"/>
                <w:position w:val="0"/>
                <w:highlight w:val="none"/>
              </w:rPr>
            </w:pPr>
            <w:r>
              <w:rPr>
                <w:rFonts w:hint="eastAsia"/>
                <w:color w:val="auto"/>
                <w:spacing w:val="0"/>
                <w:w w:val="100"/>
                <w:position w:val="0"/>
                <w:highlight w:val="none"/>
              </w:rPr>
              <w:t>①获得相关的专利（发明专利或实用新型专利）的；</w:t>
            </w:r>
          </w:p>
          <w:p w14:paraId="1A0BFAE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eastAsia"/>
                <w:color w:val="auto"/>
                <w:spacing w:val="0"/>
                <w:w w:val="100"/>
                <w:position w:val="0"/>
                <w:highlight w:val="none"/>
              </w:rPr>
            </w:pPr>
            <w:r>
              <w:rPr>
                <w:rFonts w:hint="eastAsia"/>
                <w:color w:val="auto"/>
                <w:spacing w:val="0"/>
                <w:w w:val="100"/>
                <w:position w:val="0"/>
                <w:highlight w:val="none"/>
              </w:rPr>
              <w:t>②获得国家或省级科学技术进步奖</w:t>
            </w:r>
            <w:r>
              <w:rPr>
                <w:rFonts w:hint="eastAsia"/>
                <w:color w:val="auto"/>
                <w:spacing w:val="0"/>
                <w:w w:val="100"/>
                <w:position w:val="0"/>
                <w:highlight w:val="none"/>
                <w:lang w:eastAsia="zh-CN"/>
              </w:rPr>
              <w:t>（</w:t>
            </w:r>
            <w:r>
              <w:rPr>
                <w:rFonts w:hint="eastAsia"/>
                <w:color w:val="auto"/>
                <w:spacing w:val="0"/>
                <w:w w:val="100"/>
                <w:position w:val="0"/>
                <w:highlight w:val="none"/>
                <w:lang w:val="en-US" w:eastAsia="zh-CN"/>
              </w:rPr>
              <w:t>科学技术奖）</w:t>
            </w:r>
            <w:r>
              <w:rPr>
                <w:rFonts w:hint="eastAsia"/>
                <w:color w:val="auto"/>
                <w:spacing w:val="0"/>
                <w:w w:val="100"/>
                <w:position w:val="0"/>
                <w:highlight w:val="none"/>
              </w:rPr>
              <w:t>的；</w:t>
            </w:r>
          </w:p>
          <w:p w14:paraId="52AE276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eastAsia"/>
                <w:color w:val="auto"/>
                <w:spacing w:val="0"/>
                <w:w w:val="100"/>
                <w:position w:val="0"/>
                <w:highlight w:val="none"/>
              </w:rPr>
            </w:pPr>
            <w:r>
              <w:rPr>
                <w:rFonts w:hint="eastAsia"/>
                <w:color w:val="auto"/>
                <w:spacing w:val="0"/>
                <w:w w:val="100"/>
                <w:position w:val="0"/>
                <w:highlight w:val="none"/>
              </w:rPr>
              <w:t>③投标人主编或参编过的国家、行业或地方标准的。</w:t>
            </w:r>
          </w:p>
          <w:p w14:paraId="1B8DE85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eastAsia"/>
                <w:color w:val="auto"/>
                <w:spacing w:val="0"/>
                <w:w w:val="100"/>
                <w:position w:val="0"/>
                <w:highlight w:val="none"/>
              </w:rPr>
            </w:pPr>
            <w:r>
              <w:rPr>
                <w:rFonts w:hint="eastAsia"/>
                <w:color w:val="auto"/>
                <w:spacing w:val="0"/>
                <w:w w:val="100"/>
                <w:position w:val="0"/>
                <w:highlight w:val="none"/>
              </w:rPr>
              <w:t>注：投标文件须提供证书或相关证明材料。</w:t>
            </w:r>
          </w:p>
          <w:p w14:paraId="68ED118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default"/>
                <w:color w:val="auto"/>
                <w:spacing w:val="0"/>
                <w:w w:val="100"/>
                <w:position w:val="0"/>
                <w:highlight w:val="none"/>
              </w:rPr>
            </w:pPr>
            <w:r>
              <w:rPr>
                <w:rFonts w:hint="eastAsia"/>
                <w:b/>
                <w:bCs/>
                <w:color w:val="auto"/>
                <w:spacing w:val="0"/>
                <w:w w:val="100"/>
                <w:position w:val="0"/>
                <w:highlight w:val="none"/>
                <w:lang w:val="en-US" w:eastAsia="zh-CN"/>
              </w:rPr>
              <w:t>如为联合体投标，需联合体牵头人提供。</w:t>
            </w:r>
          </w:p>
        </w:tc>
      </w:tr>
      <w:tr w14:paraId="7C8FC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 w:hRule="atLeast"/>
        </w:trPr>
        <w:tc>
          <w:tcPr>
            <w:tcW w:w="1015" w:type="dxa"/>
            <w:vMerge w:val="continue"/>
            <w:tcBorders>
              <w:top w:val="nil"/>
              <w:bottom w:val="nil"/>
            </w:tcBorders>
            <w:vAlign w:val="top"/>
          </w:tcPr>
          <w:p w14:paraId="202FFBE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588" w:type="dxa"/>
            <w:vMerge w:val="continue"/>
            <w:tcBorders>
              <w:top w:val="nil"/>
              <w:bottom w:val="nil"/>
            </w:tcBorders>
            <w:textDirection w:val="tbRlV"/>
            <w:vAlign w:val="top"/>
          </w:tcPr>
          <w:p w14:paraId="44EB23F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05" w:type="dxa"/>
            <w:vAlign w:val="center"/>
          </w:tcPr>
          <w:p w14:paraId="46F4ADA8">
            <w:pPr>
              <w:pStyle w:val="19"/>
              <w:keepNext w:val="0"/>
              <w:keepLines w:val="0"/>
              <w:widowControl/>
              <w:suppressLineNumbers w:val="0"/>
              <w:spacing w:before="68" w:beforeAutospacing="0" w:after="0" w:afterAutospacing="0" w:line="221" w:lineRule="auto"/>
              <w:ind w:left="0" w:leftChars="0" w:right="0" w:rightChars="0"/>
              <w:jc w:val="center"/>
              <w:rPr>
                <w:rFonts w:hint="default"/>
                <w:color w:val="auto"/>
                <w:spacing w:val="0"/>
                <w:w w:val="100"/>
                <w:position w:val="0"/>
                <w:highlight w:val="none"/>
              </w:rPr>
            </w:pPr>
            <w:r>
              <w:rPr>
                <w:rFonts w:hint="eastAsia"/>
                <w:color w:val="auto"/>
                <w:spacing w:val="0"/>
                <w:w w:val="100"/>
                <w:position w:val="0"/>
                <w:highlight w:val="none"/>
                <w:lang w:val="en-US" w:eastAsia="zh-CN"/>
              </w:rPr>
              <w:t>获奖</w:t>
            </w:r>
          </w:p>
        </w:tc>
        <w:tc>
          <w:tcPr>
            <w:tcW w:w="794" w:type="dxa"/>
            <w:vAlign w:val="center"/>
          </w:tcPr>
          <w:p w14:paraId="1BCA98FC">
            <w:pPr>
              <w:pStyle w:val="19"/>
              <w:keepNext w:val="0"/>
              <w:keepLines w:val="0"/>
              <w:widowControl/>
              <w:suppressLineNumbers w:val="0"/>
              <w:spacing w:before="68" w:beforeAutospacing="0" w:after="0" w:afterAutospacing="0" w:line="221" w:lineRule="auto"/>
              <w:ind w:left="0" w:leftChars="0" w:right="0" w:rightChars="0"/>
              <w:jc w:val="center"/>
              <w:rPr>
                <w:rFonts w:hint="default"/>
                <w:color w:val="auto"/>
                <w:spacing w:val="0"/>
                <w:w w:val="100"/>
                <w:position w:val="0"/>
                <w:highlight w:val="none"/>
                <w:u w:val="single" w:color="auto"/>
              </w:rPr>
            </w:pPr>
            <w:r>
              <w:rPr>
                <w:rFonts w:hint="eastAsia"/>
                <w:color w:val="auto"/>
                <w:spacing w:val="0"/>
                <w:w w:val="100"/>
                <w:position w:val="0"/>
                <w:highlight w:val="none"/>
                <w:u w:val="single" w:color="auto"/>
                <w:lang w:val="en-US" w:eastAsia="zh-CN"/>
              </w:rPr>
              <w:t>6</w:t>
            </w:r>
            <w:r>
              <w:rPr>
                <w:rFonts w:hint="eastAsia"/>
                <w:color w:val="auto"/>
                <w:spacing w:val="0"/>
                <w:w w:val="100"/>
                <w:position w:val="0"/>
                <w:highlight w:val="none"/>
                <w:u w:val="none" w:color="auto"/>
                <w:lang w:val="en-US" w:eastAsia="zh-CN"/>
              </w:rPr>
              <w:t>分</w:t>
            </w:r>
          </w:p>
        </w:tc>
        <w:tc>
          <w:tcPr>
            <w:tcW w:w="6517" w:type="dxa"/>
            <w:gridSpan w:val="3"/>
            <w:vAlign w:val="center"/>
          </w:tcPr>
          <w:p w14:paraId="74853BF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eastAsia"/>
                <w:color w:val="auto"/>
                <w:spacing w:val="0"/>
                <w:w w:val="100"/>
                <w:position w:val="0"/>
                <w:highlight w:val="none"/>
              </w:rPr>
            </w:pPr>
            <w:r>
              <w:rPr>
                <w:rFonts w:hint="eastAsia"/>
                <w:color w:val="auto"/>
                <w:spacing w:val="0"/>
                <w:w w:val="100"/>
                <w:position w:val="0"/>
                <w:highlight w:val="none"/>
              </w:rPr>
              <w:t>（1）</w:t>
            </w:r>
            <w:r>
              <w:rPr>
                <w:rFonts w:hint="eastAsia"/>
                <w:color w:val="auto"/>
                <w:spacing w:val="0"/>
                <w:w w:val="100"/>
                <w:position w:val="0"/>
                <w:highlight w:val="none"/>
                <w:lang w:val="en-US" w:eastAsia="zh-CN"/>
              </w:rPr>
              <w:t>投标人参与设计或咨询的国内高速公路项目在2019年1月1日至投标截止时间期间获得省级及以上行业行政主管部门或国内依法登记注册的省级及以上工程咨询协会、行业协会颁发的优秀工程咨询成果奖、优秀勘察类或优秀设计类奖项的</w:t>
            </w:r>
            <w:r>
              <w:rPr>
                <w:rFonts w:hint="eastAsia"/>
                <w:color w:val="auto"/>
                <w:spacing w:val="0"/>
                <w:w w:val="100"/>
                <w:position w:val="0"/>
                <w:highlight w:val="none"/>
              </w:rPr>
              <w:t>，每个加</w:t>
            </w:r>
            <w:r>
              <w:rPr>
                <w:rFonts w:hint="eastAsia"/>
                <w:color w:val="auto"/>
                <w:spacing w:val="0"/>
                <w:w w:val="100"/>
                <w:position w:val="0"/>
                <w:highlight w:val="none"/>
                <w:lang w:val="en-US" w:eastAsia="zh-CN"/>
              </w:rPr>
              <w:t>1.5</w:t>
            </w:r>
            <w:r>
              <w:rPr>
                <w:rFonts w:hint="eastAsia"/>
                <w:color w:val="auto"/>
                <w:spacing w:val="0"/>
                <w:w w:val="100"/>
                <w:position w:val="0"/>
                <w:highlight w:val="none"/>
              </w:rPr>
              <w:t>分，最高加</w:t>
            </w:r>
            <w:r>
              <w:rPr>
                <w:rFonts w:hint="eastAsia"/>
                <w:color w:val="auto"/>
                <w:spacing w:val="0"/>
                <w:w w:val="100"/>
                <w:position w:val="0"/>
                <w:highlight w:val="none"/>
                <w:lang w:val="en-US" w:eastAsia="zh-CN"/>
              </w:rPr>
              <w:t>3</w:t>
            </w:r>
            <w:r>
              <w:rPr>
                <w:rFonts w:hint="eastAsia"/>
                <w:color w:val="auto"/>
                <w:spacing w:val="0"/>
                <w:w w:val="100"/>
                <w:position w:val="0"/>
                <w:highlight w:val="none"/>
              </w:rPr>
              <w:t>分；</w:t>
            </w:r>
          </w:p>
          <w:p w14:paraId="485E816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eastAsia"/>
                <w:color w:val="auto"/>
                <w:spacing w:val="0"/>
                <w:w w:val="100"/>
                <w:position w:val="0"/>
                <w:highlight w:val="none"/>
              </w:rPr>
            </w:pPr>
            <w:r>
              <w:rPr>
                <w:rFonts w:hint="eastAsia"/>
                <w:color w:val="auto"/>
                <w:spacing w:val="0"/>
                <w:w w:val="100"/>
                <w:position w:val="0"/>
                <w:highlight w:val="none"/>
              </w:rPr>
              <w:t>（2）</w:t>
            </w:r>
            <w:r>
              <w:rPr>
                <w:rFonts w:hint="eastAsia"/>
                <w:color w:val="auto"/>
                <w:spacing w:val="0"/>
                <w:w w:val="100"/>
                <w:position w:val="0"/>
                <w:highlight w:val="none"/>
                <w:lang w:val="en-US" w:eastAsia="zh-CN"/>
              </w:rPr>
              <w:t>投标人参与设计或咨询的里程数30km及以上国内高速公路项目在2019年1月1日至投标截止时间获得中国建设工程鲁班奖（建筑工程鲁班奖）或中国土木工程詹天佑奖的</w:t>
            </w:r>
            <w:r>
              <w:rPr>
                <w:rFonts w:hint="eastAsia"/>
                <w:color w:val="auto"/>
                <w:spacing w:val="0"/>
                <w:w w:val="100"/>
                <w:position w:val="0"/>
                <w:highlight w:val="none"/>
              </w:rPr>
              <w:t>，每个加</w:t>
            </w:r>
            <w:r>
              <w:rPr>
                <w:rFonts w:hint="eastAsia"/>
                <w:color w:val="auto"/>
                <w:spacing w:val="0"/>
                <w:w w:val="100"/>
                <w:position w:val="0"/>
                <w:highlight w:val="none"/>
                <w:lang w:val="en-US" w:eastAsia="zh-CN"/>
              </w:rPr>
              <w:t>3</w:t>
            </w:r>
            <w:r>
              <w:rPr>
                <w:rFonts w:hint="eastAsia"/>
                <w:color w:val="auto"/>
                <w:spacing w:val="0"/>
                <w:w w:val="100"/>
                <w:position w:val="0"/>
                <w:highlight w:val="none"/>
              </w:rPr>
              <w:t>分，最高加</w:t>
            </w:r>
            <w:r>
              <w:rPr>
                <w:rFonts w:hint="eastAsia"/>
                <w:color w:val="auto"/>
                <w:spacing w:val="0"/>
                <w:w w:val="100"/>
                <w:position w:val="0"/>
                <w:highlight w:val="none"/>
                <w:lang w:val="en-US" w:eastAsia="zh-CN"/>
              </w:rPr>
              <w:t>3</w:t>
            </w:r>
            <w:r>
              <w:rPr>
                <w:rFonts w:hint="eastAsia"/>
                <w:color w:val="auto"/>
                <w:spacing w:val="0"/>
                <w:w w:val="100"/>
                <w:position w:val="0"/>
                <w:highlight w:val="none"/>
              </w:rPr>
              <w:t>分。</w:t>
            </w:r>
          </w:p>
          <w:p w14:paraId="252FF85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eastAsia"/>
                <w:b/>
                <w:bCs/>
                <w:color w:val="auto"/>
                <w:spacing w:val="0"/>
                <w:w w:val="100"/>
                <w:position w:val="0"/>
                <w:highlight w:val="none"/>
              </w:rPr>
            </w:pPr>
            <w:r>
              <w:rPr>
                <w:rFonts w:hint="eastAsia"/>
                <w:b/>
                <w:bCs/>
                <w:color w:val="auto"/>
                <w:spacing w:val="0"/>
                <w:w w:val="100"/>
                <w:position w:val="0"/>
                <w:highlight w:val="none"/>
              </w:rPr>
              <w:t>注：</w:t>
            </w:r>
            <w:r>
              <w:rPr>
                <w:rFonts w:hint="eastAsia"/>
                <w:b/>
                <w:bCs/>
                <w:color w:val="auto"/>
                <w:spacing w:val="0"/>
                <w:w w:val="100"/>
                <w:position w:val="0"/>
                <w:highlight w:val="none"/>
                <w:lang w:val="en-US" w:eastAsia="zh-CN"/>
              </w:rPr>
              <w:t xml:space="preserve">（1）同一项目同时获得不同类型奖项不累计得分； </w:t>
            </w:r>
          </w:p>
          <w:p w14:paraId="2301243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right="0"/>
              <w:textAlignment w:val="baseline"/>
              <w:rPr>
                <w:rFonts w:hint="eastAsia"/>
                <w:b/>
                <w:bCs/>
                <w:color w:val="auto"/>
                <w:spacing w:val="0"/>
                <w:w w:val="100"/>
                <w:position w:val="0"/>
                <w:highlight w:val="none"/>
              </w:rPr>
            </w:pPr>
            <w:r>
              <w:rPr>
                <w:rFonts w:hint="eastAsia"/>
                <w:b/>
                <w:bCs/>
                <w:color w:val="auto"/>
                <w:spacing w:val="0"/>
                <w:w w:val="100"/>
                <w:position w:val="0"/>
                <w:highlight w:val="none"/>
                <w:lang w:val="en-US" w:eastAsia="zh-CN"/>
              </w:rPr>
              <w:t>（2）投标文件中须附获奖证书或获奖文件扫描件或官方网站发布获奖文件截图，且获奖证书或获奖文件扫描件或官方网站发布获奖文件截图中需体现投标人名称，否则评标委员会不予计分。</w:t>
            </w:r>
            <w:r>
              <w:rPr>
                <w:rFonts w:hint="eastAsia"/>
                <w:b/>
                <w:bCs/>
                <w:color w:val="auto"/>
                <w:spacing w:val="0"/>
                <w:w w:val="100"/>
                <w:position w:val="0"/>
                <w:sz w:val="21"/>
                <w:szCs w:val="21"/>
                <w:highlight w:val="none"/>
                <w:lang w:val="en-US" w:eastAsia="zh-CN"/>
              </w:rPr>
              <w:t>若该项目的获奖证书或获奖文件扫描件或官方网站发布获奖文件截图中不体现投标人名称的，须另附获奖项目勘察设计中标通知书或合同协议书或项目单位出具的盖章证明材料。</w:t>
            </w:r>
          </w:p>
          <w:p w14:paraId="506ECE2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leftChars="0" w:right="0" w:rightChars="0"/>
              <w:textAlignment w:val="baseline"/>
              <w:rPr>
                <w:rFonts w:hint="eastAsia"/>
                <w:b/>
                <w:bCs/>
                <w:color w:val="auto"/>
                <w:spacing w:val="0"/>
                <w:w w:val="100"/>
                <w:position w:val="0"/>
                <w:highlight w:val="none"/>
              </w:rPr>
            </w:pPr>
            <w:r>
              <w:rPr>
                <w:rFonts w:hint="eastAsia"/>
                <w:b/>
                <w:bCs/>
                <w:color w:val="auto"/>
                <w:spacing w:val="0"/>
                <w:w w:val="100"/>
                <w:position w:val="0"/>
                <w:highlight w:val="none"/>
                <w:lang w:val="en-US" w:eastAsia="zh-CN"/>
              </w:rPr>
              <w:t>（3）认定时间以获奖证书或获奖文件上的盖章落款时间或官方网站文件发布时间为准，如没有落款时间或官方网站文件发布时间，评标委员会不予计分</w:t>
            </w:r>
            <w:r>
              <w:rPr>
                <w:rFonts w:hint="eastAsia"/>
                <w:b/>
                <w:bCs/>
                <w:color w:val="auto"/>
                <w:spacing w:val="0"/>
                <w:w w:val="100"/>
                <w:position w:val="0"/>
                <w:highlight w:val="none"/>
              </w:rPr>
              <w:t>。</w:t>
            </w:r>
          </w:p>
          <w:p w14:paraId="4B8D284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57" w:leftChars="0" w:right="0" w:rightChars="0"/>
              <w:textAlignment w:val="baseline"/>
              <w:rPr>
                <w:rFonts w:hint="default"/>
                <w:b/>
                <w:bCs/>
                <w:color w:val="auto"/>
                <w:spacing w:val="0"/>
                <w:w w:val="100"/>
                <w:position w:val="0"/>
                <w:highlight w:val="none"/>
              </w:rPr>
            </w:pPr>
            <w:r>
              <w:rPr>
                <w:rFonts w:hint="eastAsia"/>
                <w:b/>
                <w:bCs/>
                <w:color w:val="auto"/>
                <w:spacing w:val="0"/>
                <w:w w:val="100"/>
                <w:position w:val="0"/>
                <w:highlight w:val="none"/>
                <w:lang w:val="en-US" w:eastAsia="zh-CN"/>
              </w:rPr>
              <w:t>如为联合体投标，需联合体牵头人提供。</w:t>
            </w:r>
          </w:p>
        </w:tc>
      </w:tr>
      <w:tr w14:paraId="412E5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9619" w:type="dxa"/>
            <w:gridSpan w:val="7"/>
            <w:tcBorders>
              <w:top w:val="single" w:color="auto" w:sz="4" w:space="0"/>
              <w:left w:val="single" w:color="auto" w:sz="4" w:space="0"/>
              <w:bottom w:val="single" w:color="auto" w:sz="4" w:space="0"/>
              <w:right w:val="single" w:color="auto" w:sz="4" w:space="0"/>
            </w:tcBorders>
            <w:vAlign w:val="top"/>
          </w:tcPr>
          <w:p w14:paraId="25B4C8CA">
            <w:pPr>
              <w:pStyle w:val="19"/>
              <w:keepNext w:val="0"/>
              <w:keepLines w:val="0"/>
              <w:widowControl/>
              <w:suppressLineNumbers w:val="0"/>
              <w:spacing w:before="85" w:beforeAutospacing="0" w:after="0" w:afterAutospacing="0" w:line="221" w:lineRule="auto"/>
              <w:ind w:left="70" w:right="0"/>
              <w:rPr>
                <w:rFonts w:hint="default"/>
                <w:color w:val="auto"/>
                <w:spacing w:val="0"/>
                <w:w w:val="100"/>
                <w:position w:val="0"/>
                <w:highlight w:val="none"/>
              </w:rPr>
            </w:pPr>
            <w:r>
              <w:rPr>
                <w:rFonts w:hint="default"/>
                <w:color w:val="auto"/>
                <w:spacing w:val="0"/>
                <w:w w:val="100"/>
                <w:position w:val="0"/>
                <w:highlight w:val="none"/>
              </w:rPr>
              <w:t>需要补充的其他内容：</w:t>
            </w:r>
          </w:p>
          <w:p w14:paraId="614311D8">
            <w:pPr>
              <w:pStyle w:val="19"/>
              <w:keepNext w:val="0"/>
              <w:keepLines w:val="0"/>
              <w:widowControl/>
              <w:suppressLineNumbers w:val="0"/>
              <w:spacing w:before="20" w:beforeAutospacing="0" w:after="0" w:afterAutospacing="0" w:line="234" w:lineRule="auto"/>
              <w:ind w:left="74" w:right="0"/>
              <w:rPr>
                <w:rFonts w:hint="default"/>
                <w:color w:val="auto"/>
                <w:spacing w:val="0"/>
                <w:w w:val="100"/>
                <w:position w:val="0"/>
                <w:highlight w:val="none"/>
              </w:rPr>
            </w:pPr>
            <w:r>
              <w:rPr>
                <w:rFonts w:hint="default" w:ascii="Times New Roman" w:hAnsi="Times New Roman" w:eastAsia="Times New Roman" w:cs="Times New Roman"/>
                <w:color w:val="auto"/>
                <w:spacing w:val="0"/>
                <w:w w:val="100"/>
                <w:position w:val="0"/>
                <w:highlight w:val="none"/>
              </w:rPr>
              <w:t>1</w:t>
            </w:r>
            <w:r>
              <w:rPr>
                <w:rFonts w:hint="default"/>
                <w:color w:val="auto"/>
                <w:spacing w:val="0"/>
                <w:w w:val="100"/>
                <w:position w:val="0"/>
                <w:highlight w:val="none"/>
              </w:rPr>
              <w:t>、本办法没有列明的因素和标准不得作为评标的依据。</w:t>
            </w:r>
          </w:p>
          <w:p w14:paraId="3D13E9F1">
            <w:pPr>
              <w:pStyle w:val="19"/>
              <w:keepNext w:val="0"/>
              <w:keepLines w:val="0"/>
              <w:widowControl/>
              <w:suppressLineNumbers w:val="0"/>
              <w:spacing w:before="20" w:beforeAutospacing="0" w:after="0" w:afterAutospacing="0" w:line="234" w:lineRule="auto"/>
              <w:ind w:left="74" w:right="0"/>
              <w:rPr>
                <w:rFonts w:hint="default"/>
                <w:b/>
                <w:bCs/>
                <w:color w:val="auto"/>
                <w:spacing w:val="0"/>
                <w:w w:val="100"/>
                <w:position w:val="0"/>
                <w:highlight w:val="none"/>
              </w:rPr>
            </w:pPr>
            <w:r>
              <w:rPr>
                <w:rFonts w:hint="default"/>
                <w:color w:val="auto"/>
                <w:spacing w:val="0"/>
                <w:w w:val="100"/>
                <w:position w:val="0"/>
                <w:highlight w:val="none"/>
              </w:rPr>
              <w:t>2、各评分因素（评标价、获奖和信用评价评分项除外）得分一般不低于其权重分值的60%，且各评分因素得分应以评标委员会各成员的打分平均值确定（如评分因素有细分项，各细分项分别计算平均值并汇总得分），</w:t>
            </w:r>
            <w:r>
              <w:rPr>
                <w:rFonts w:hint="default"/>
                <w:b/>
                <w:bCs/>
                <w:color w:val="auto"/>
                <w:spacing w:val="0"/>
                <w:w w:val="100"/>
                <w:position w:val="0"/>
                <w:highlight w:val="none"/>
              </w:rPr>
              <w:t>评标委员会成员总数为七人及以上时，该平均值以去掉一个最高分和一个最低分后计算。评标委员会成员对某一项评分因素的评分低于权重分值60% 的，应在评标报告中作出说明。</w:t>
            </w:r>
          </w:p>
          <w:p w14:paraId="6B5FDE0D">
            <w:pPr>
              <w:pStyle w:val="19"/>
              <w:keepNext w:val="0"/>
              <w:keepLines w:val="0"/>
              <w:widowControl/>
              <w:suppressLineNumbers w:val="0"/>
              <w:spacing w:before="20" w:beforeAutospacing="0" w:after="0" w:afterAutospacing="0" w:line="234" w:lineRule="auto"/>
              <w:ind w:left="74" w:right="0"/>
              <w:rPr>
                <w:rFonts w:hint="default"/>
                <w:b/>
                <w:bCs/>
                <w:color w:val="auto"/>
                <w:spacing w:val="0"/>
                <w:w w:val="100"/>
                <w:position w:val="0"/>
                <w:highlight w:val="none"/>
              </w:rPr>
            </w:pPr>
            <w:r>
              <w:rPr>
                <w:rFonts w:hint="default"/>
                <w:b/>
                <w:bCs/>
                <w:color w:val="auto"/>
                <w:spacing w:val="0"/>
                <w:w w:val="100"/>
                <w:position w:val="0"/>
                <w:highlight w:val="none"/>
              </w:rPr>
              <w:t>3、如投标人的评标价低于最高投标限价的8</w:t>
            </w:r>
            <w:r>
              <w:rPr>
                <w:rFonts w:hint="eastAsia"/>
                <w:b/>
                <w:bCs/>
                <w:color w:val="auto"/>
                <w:spacing w:val="0"/>
                <w:w w:val="100"/>
                <w:position w:val="0"/>
                <w:highlight w:val="none"/>
                <w:lang w:val="en-US" w:eastAsia="zh-CN"/>
              </w:rPr>
              <w:t>0</w:t>
            </w:r>
            <w:r>
              <w:rPr>
                <w:rFonts w:hint="default"/>
                <w:b/>
                <w:bCs/>
                <w:color w:val="auto"/>
                <w:spacing w:val="0"/>
                <w:w w:val="100"/>
                <w:position w:val="0"/>
                <w:highlight w:val="none"/>
              </w:rPr>
              <w:t>%且评标价平均值的</w:t>
            </w:r>
            <w:r>
              <w:rPr>
                <w:rFonts w:hint="eastAsia"/>
                <w:b/>
                <w:bCs/>
                <w:color w:val="auto"/>
                <w:spacing w:val="0"/>
                <w:w w:val="100"/>
                <w:position w:val="0"/>
                <w:highlight w:val="none"/>
                <w:lang w:val="en-US" w:eastAsia="zh-CN"/>
              </w:rPr>
              <w:t>85</w:t>
            </w:r>
            <w:r>
              <w:rPr>
                <w:rFonts w:hint="default"/>
                <w:b/>
                <w:bCs/>
                <w:color w:val="auto"/>
                <w:spacing w:val="0"/>
                <w:w w:val="100"/>
                <w:position w:val="0"/>
                <w:highlight w:val="none"/>
              </w:rPr>
              <w:t>%时，应当启动澄清程序，评标委员会将要求该投标人作出书面说明并提供相应的证明材料。投标人不能合理说明或者不能提供相应证明材料的，或证明材料不被评标委员会认可的，评标委员会将认定该投标人以低于成本报价竞标，其投标将被否决。</w:t>
            </w:r>
          </w:p>
          <w:p w14:paraId="4E53CC9C">
            <w:pPr>
              <w:pStyle w:val="19"/>
              <w:keepNext w:val="0"/>
              <w:keepLines w:val="0"/>
              <w:widowControl/>
              <w:suppressLineNumbers w:val="0"/>
              <w:spacing w:before="20" w:beforeAutospacing="0" w:after="0" w:afterAutospacing="0" w:line="234" w:lineRule="auto"/>
              <w:ind w:left="74" w:right="0"/>
              <w:rPr>
                <w:rFonts w:hint="default"/>
                <w:color w:val="auto"/>
                <w:spacing w:val="0"/>
                <w:w w:val="100"/>
                <w:position w:val="0"/>
                <w:highlight w:val="none"/>
              </w:rPr>
            </w:pPr>
            <w:r>
              <w:rPr>
                <w:rFonts w:hint="default"/>
                <w:color w:val="auto"/>
                <w:spacing w:val="0"/>
                <w:w w:val="100"/>
                <w:position w:val="0"/>
                <w:highlight w:val="none"/>
              </w:rPr>
              <w:t>4</w:t>
            </w:r>
            <w:r>
              <w:rPr>
                <w:rFonts w:hint="eastAsia"/>
                <w:color w:val="auto"/>
                <w:spacing w:val="0"/>
                <w:w w:val="100"/>
                <w:position w:val="0"/>
                <w:highlight w:val="none"/>
                <w:lang w:eastAsia="zh-CN"/>
              </w:rPr>
              <w:t>、</w:t>
            </w:r>
            <w:r>
              <w:rPr>
                <w:rFonts w:hint="default"/>
                <w:b/>
                <w:bCs/>
                <w:color w:val="auto"/>
                <w:spacing w:val="0"/>
                <w:w w:val="100"/>
                <w:position w:val="0"/>
                <w:highlight w:val="none"/>
              </w:rPr>
              <w:t>如投标人存在恶意低价竞标行为，招标人将其不良行为上报省级交通运输主管部门，作为不良记录纳入相关信用信息管理系统。</w:t>
            </w:r>
          </w:p>
          <w:p w14:paraId="7F5D1D99">
            <w:pPr>
              <w:pStyle w:val="19"/>
              <w:keepNext w:val="0"/>
              <w:keepLines w:val="0"/>
              <w:widowControl/>
              <w:suppressLineNumbers w:val="0"/>
              <w:spacing w:before="20" w:beforeAutospacing="0" w:after="0" w:afterAutospacing="0" w:line="234" w:lineRule="auto"/>
              <w:ind w:left="74" w:right="0"/>
              <w:rPr>
                <w:rFonts w:hint="eastAsia" w:eastAsia="宋体"/>
                <w:color w:val="auto"/>
                <w:spacing w:val="0"/>
                <w:w w:val="100"/>
                <w:position w:val="0"/>
                <w:highlight w:val="none"/>
                <w:lang w:val="en-US" w:eastAsia="zh-CN"/>
              </w:rPr>
            </w:pPr>
            <w:r>
              <w:rPr>
                <w:rFonts w:hint="eastAsia"/>
                <w:color w:val="auto"/>
                <w:spacing w:val="0"/>
                <w:w w:val="100"/>
                <w:position w:val="0"/>
                <w:highlight w:val="none"/>
                <w:lang w:val="en-US" w:eastAsia="zh-CN"/>
              </w:rPr>
              <w:t>5、业绩证明材料详见招标文件第二章“投标人须知”附录</w:t>
            </w:r>
            <w:r>
              <w:rPr>
                <w:rFonts w:hint="default"/>
                <w:color w:val="auto"/>
                <w:spacing w:val="0"/>
                <w:w w:val="100"/>
                <w:position w:val="0"/>
                <w:highlight w:val="none"/>
                <w:lang w:val="en-US" w:eastAsia="zh-CN"/>
              </w:rPr>
              <w:t>2</w:t>
            </w:r>
            <w:r>
              <w:rPr>
                <w:rFonts w:hint="eastAsia"/>
                <w:color w:val="auto"/>
                <w:spacing w:val="0"/>
                <w:w w:val="100"/>
                <w:position w:val="0"/>
                <w:highlight w:val="none"/>
                <w:lang w:val="en-US" w:eastAsia="zh-CN"/>
              </w:rPr>
              <w:t>、附录</w:t>
            </w:r>
            <w:r>
              <w:rPr>
                <w:rFonts w:hint="default"/>
                <w:color w:val="auto"/>
                <w:spacing w:val="0"/>
                <w:w w:val="100"/>
                <w:position w:val="0"/>
                <w:highlight w:val="none"/>
                <w:lang w:val="en-US" w:eastAsia="zh-CN"/>
              </w:rPr>
              <w:t>4</w:t>
            </w:r>
            <w:r>
              <w:rPr>
                <w:rFonts w:hint="eastAsia"/>
                <w:color w:val="auto"/>
                <w:spacing w:val="0"/>
                <w:w w:val="100"/>
                <w:position w:val="0"/>
                <w:highlight w:val="none"/>
                <w:lang w:val="en-US" w:eastAsia="zh-CN"/>
              </w:rPr>
              <w:t>的要求。</w:t>
            </w:r>
          </w:p>
        </w:tc>
      </w:tr>
    </w:tbl>
    <w:p w14:paraId="583CCACF">
      <w:pPr>
        <w:pStyle w:val="6"/>
        <w:spacing w:before="225" w:line="232" w:lineRule="auto"/>
        <w:ind w:left="47"/>
        <w:outlineLvl w:val="2"/>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w:t>
      </w:r>
      <w:r>
        <w:rPr>
          <w:b/>
          <w:bCs/>
          <w:color w:val="auto"/>
          <w:spacing w:val="0"/>
          <w:w w:val="100"/>
          <w:position w:val="0"/>
          <w:sz w:val="28"/>
          <w:szCs w:val="28"/>
          <w:highlight w:val="none"/>
        </w:rPr>
        <w:t>评标方法</w:t>
      </w:r>
    </w:p>
    <w:p w14:paraId="6D546BA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本次评标采用综合评估法。评标委员会对满足招标文件实质性要求的投标文件，按照本章第2.2 款规定的评分标准进行打分，并按得分由高到低顺序推荐中标候选人，或根据招标人授权直接确定中标人，但投标报价低于其成本的除外。综合评分相等时，评标委员会应按照评标办法前附表规定的优先次序推荐中标候选人或确定中标人。</w:t>
      </w:r>
    </w:p>
    <w:p w14:paraId="00610053">
      <w:pPr>
        <w:pStyle w:val="6"/>
        <w:spacing w:before="137" w:line="233" w:lineRule="auto"/>
        <w:ind w:left="35"/>
        <w:outlineLvl w:val="2"/>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2.</w:t>
      </w:r>
      <w:r>
        <w:rPr>
          <w:b/>
          <w:bCs/>
          <w:color w:val="auto"/>
          <w:spacing w:val="0"/>
          <w:w w:val="100"/>
          <w:position w:val="0"/>
          <w:sz w:val="28"/>
          <w:szCs w:val="28"/>
          <w:highlight w:val="none"/>
        </w:rPr>
        <w:t>评审标准</w:t>
      </w:r>
    </w:p>
    <w:p w14:paraId="1F1FA556">
      <w:pPr>
        <w:pStyle w:val="6"/>
        <w:spacing w:before="305" w:line="233" w:lineRule="auto"/>
        <w:ind w:left="34"/>
        <w:outlineLvl w:val="3"/>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2.1 </w:t>
      </w:r>
      <w:r>
        <w:rPr>
          <w:b/>
          <w:bCs/>
          <w:color w:val="auto"/>
          <w:spacing w:val="0"/>
          <w:w w:val="100"/>
          <w:position w:val="0"/>
          <w:sz w:val="24"/>
          <w:szCs w:val="24"/>
          <w:highlight w:val="none"/>
        </w:rPr>
        <w:t>初步评审标准</w:t>
      </w:r>
    </w:p>
    <w:p w14:paraId="76E39EC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2.1.1 形式评审标准：见评标办法前附表。</w:t>
      </w:r>
    </w:p>
    <w:p w14:paraId="5071A80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2.1.2 资格评审标准：见评标办法前附表。</w:t>
      </w:r>
    </w:p>
    <w:p w14:paraId="6298407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2.1.3 响应性评审标准：见评标办法前附表。</w:t>
      </w:r>
    </w:p>
    <w:p w14:paraId="7CF1BFF9">
      <w:pPr>
        <w:pStyle w:val="6"/>
        <w:spacing w:before="268" w:line="233" w:lineRule="auto"/>
        <w:ind w:left="34"/>
        <w:outlineLvl w:val="3"/>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2.2 </w:t>
      </w:r>
      <w:r>
        <w:rPr>
          <w:b/>
          <w:bCs/>
          <w:color w:val="auto"/>
          <w:spacing w:val="0"/>
          <w:w w:val="100"/>
          <w:position w:val="0"/>
          <w:sz w:val="24"/>
          <w:szCs w:val="24"/>
          <w:highlight w:val="none"/>
        </w:rPr>
        <w:t>分值构成与评分标准</w:t>
      </w:r>
    </w:p>
    <w:p w14:paraId="201EB4F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2.2.1 分值构成</w:t>
      </w:r>
    </w:p>
    <w:p w14:paraId="606274C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（1）技术建议书：见评标办法前附表；</w:t>
      </w:r>
    </w:p>
    <w:p w14:paraId="07F8749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（2）主要人员：见评标办法前附表；</w:t>
      </w:r>
    </w:p>
    <w:p w14:paraId="0522D0C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（3）评标价：见评标办法前附表；</w:t>
      </w:r>
    </w:p>
    <w:p w14:paraId="6F0DA50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（4）其他评分因素：见评标办法前附表。</w:t>
      </w:r>
    </w:p>
    <w:p w14:paraId="7FD4439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2.2.2 评标基准价计算</w:t>
      </w:r>
    </w:p>
    <w:p w14:paraId="33F6A95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评标基准价计算方法：见评标办法前附表。</w:t>
      </w:r>
    </w:p>
    <w:p w14:paraId="31B593D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2.2.3 评标价的偏差率计算</w:t>
      </w:r>
    </w:p>
    <w:p w14:paraId="291407A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评标价的偏差率计算公式：见评标办法前附表。</w:t>
      </w:r>
    </w:p>
    <w:p w14:paraId="4A8981F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2.2.4 评分标准</w:t>
      </w:r>
    </w:p>
    <w:p w14:paraId="7AA25DF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（1）技术建议书评分标准：见评标办法前附表；</w:t>
      </w:r>
    </w:p>
    <w:p w14:paraId="35A3AE9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（2）主要人员评分标准：见评标办法前附表；</w:t>
      </w:r>
    </w:p>
    <w:p w14:paraId="0791659B">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（3）评标价评分标准：见评标办法前附表；</w:t>
      </w:r>
    </w:p>
    <w:p w14:paraId="4F6E3E5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Times New Roman" w:hAnsi="Times New Roman" w:eastAsia="Times New Roman" w:cs="Times New Roman"/>
          <w:color w:val="auto"/>
          <w:spacing w:val="0"/>
          <w:w w:val="100"/>
          <w:position w:val="0"/>
          <w:sz w:val="21"/>
          <w:szCs w:val="21"/>
          <w:highlight w:val="none"/>
          <w:lang w:val="en-US" w:eastAsia="zh-CN"/>
        </w:rPr>
      </w:pPr>
      <w:r>
        <w:rPr>
          <w:rFonts w:hint="eastAsia" w:ascii="Times New Roman" w:hAnsi="Times New Roman" w:eastAsia="Times New Roman" w:cs="Times New Roman"/>
          <w:color w:val="auto"/>
          <w:spacing w:val="0"/>
          <w:w w:val="100"/>
          <w:position w:val="0"/>
          <w:sz w:val="21"/>
          <w:szCs w:val="21"/>
          <w:highlight w:val="none"/>
          <w:lang w:val="en-US" w:eastAsia="zh-CN"/>
        </w:rPr>
        <w:t>（4）其他因素评分标准：见评标办法前附表。</w:t>
      </w:r>
    </w:p>
    <w:p w14:paraId="042A270F">
      <w:pPr>
        <w:pStyle w:val="6"/>
        <w:spacing w:before="275" w:line="233" w:lineRule="auto"/>
        <w:ind w:left="33"/>
        <w:outlineLvl w:val="2"/>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3.</w:t>
      </w:r>
      <w:r>
        <w:rPr>
          <w:b/>
          <w:bCs/>
          <w:color w:val="auto"/>
          <w:spacing w:val="0"/>
          <w:w w:val="100"/>
          <w:position w:val="0"/>
          <w:sz w:val="28"/>
          <w:szCs w:val="28"/>
          <w:highlight w:val="none"/>
        </w:rPr>
        <w:t>评标程序</w:t>
      </w:r>
    </w:p>
    <w:p w14:paraId="41ACBBF9">
      <w:pPr>
        <w:pStyle w:val="6"/>
        <w:spacing w:before="305" w:line="233" w:lineRule="auto"/>
        <w:ind w:left="32"/>
        <w:outlineLvl w:val="3"/>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3.1 </w:t>
      </w:r>
      <w:r>
        <w:rPr>
          <w:b/>
          <w:bCs/>
          <w:color w:val="auto"/>
          <w:spacing w:val="0"/>
          <w:w w:val="100"/>
          <w:position w:val="0"/>
          <w:sz w:val="24"/>
          <w:szCs w:val="24"/>
          <w:highlight w:val="none"/>
        </w:rPr>
        <w:t>第一个信封初步评审</w:t>
      </w:r>
    </w:p>
    <w:p w14:paraId="6B30356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3.1.1 </w:t>
      </w:r>
      <w:r>
        <w:rPr>
          <w:rFonts w:hint="eastAsia" w:ascii="Times New Roman" w:hAnsi="Times New Roman" w:eastAsia="Times New Roman" w:cs="Times New Roman"/>
          <w:color w:val="auto"/>
          <w:spacing w:val="0"/>
          <w:w w:val="100"/>
          <w:position w:val="0"/>
          <w:sz w:val="21"/>
          <w:szCs w:val="21"/>
          <w:highlight w:val="none"/>
          <w:lang w:val="en-US" w:eastAsia="zh-CN"/>
        </w:rPr>
        <w:t>评标委员会可以要求投标人提交第二章</w:t>
      </w:r>
      <w:r>
        <w:rPr>
          <w:rFonts w:hint="default" w:ascii="Times New Roman" w:hAnsi="Times New Roman" w:eastAsia="Times New Roman" w:cs="Times New Roman"/>
          <w:color w:val="auto"/>
          <w:spacing w:val="0"/>
          <w:w w:val="100"/>
          <w:position w:val="0"/>
          <w:sz w:val="21"/>
          <w:szCs w:val="21"/>
          <w:highlight w:val="none"/>
          <w:lang w:val="en-US" w:eastAsia="zh-CN"/>
        </w:rPr>
        <w:t>“</w:t>
      </w:r>
      <w:r>
        <w:rPr>
          <w:rFonts w:hint="eastAsia" w:ascii="Times New Roman" w:hAnsi="Times New Roman" w:eastAsia="Times New Roman" w:cs="Times New Roman"/>
          <w:color w:val="auto"/>
          <w:spacing w:val="0"/>
          <w:w w:val="100"/>
          <w:position w:val="0"/>
          <w:sz w:val="21"/>
          <w:szCs w:val="21"/>
          <w:highlight w:val="none"/>
          <w:lang w:val="en-US" w:eastAsia="zh-CN"/>
        </w:rPr>
        <w:t>投标人须知</w:t>
      </w:r>
      <w:r>
        <w:rPr>
          <w:rFonts w:hint="default" w:ascii="Times New Roman" w:hAnsi="Times New Roman" w:eastAsia="Times New Roman" w:cs="Times New Roman"/>
          <w:color w:val="auto"/>
          <w:spacing w:val="0"/>
          <w:w w:val="100"/>
          <w:position w:val="0"/>
          <w:sz w:val="21"/>
          <w:szCs w:val="21"/>
          <w:highlight w:val="none"/>
          <w:lang w:val="en-US" w:eastAsia="zh-CN"/>
        </w:rPr>
        <w:t>”</w:t>
      </w:r>
      <w:r>
        <w:rPr>
          <w:rFonts w:hint="eastAsia" w:ascii="Times New Roman" w:hAnsi="Times New Roman" w:eastAsia="Times New Roman" w:cs="Times New Roman"/>
          <w:color w:val="auto"/>
          <w:spacing w:val="0"/>
          <w:w w:val="100"/>
          <w:position w:val="0"/>
          <w:sz w:val="21"/>
          <w:szCs w:val="21"/>
          <w:highlight w:val="none"/>
          <w:lang w:val="en-US" w:eastAsia="zh-CN"/>
        </w:rPr>
        <w:t xml:space="preserve">第 </w:t>
      </w:r>
      <w:r>
        <w:rPr>
          <w:rFonts w:hint="default" w:ascii="Times New Roman" w:hAnsi="Times New Roman" w:eastAsia="Times New Roman" w:cs="Times New Roman"/>
          <w:color w:val="auto"/>
          <w:spacing w:val="0"/>
          <w:w w:val="100"/>
          <w:position w:val="0"/>
          <w:sz w:val="21"/>
          <w:szCs w:val="21"/>
          <w:highlight w:val="none"/>
          <w:lang w:val="en-US" w:eastAsia="zh-CN"/>
        </w:rPr>
        <w:t xml:space="preserve">3.5.1 </w:t>
      </w:r>
      <w:r>
        <w:rPr>
          <w:rFonts w:hint="eastAsia" w:ascii="Times New Roman" w:hAnsi="Times New Roman" w:eastAsia="Times New Roman" w:cs="Times New Roman"/>
          <w:color w:val="auto"/>
          <w:spacing w:val="0"/>
          <w:w w:val="100"/>
          <w:position w:val="0"/>
          <w:sz w:val="21"/>
          <w:szCs w:val="21"/>
          <w:highlight w:val="none"/>
          <w:lang w:val="en-US" w:eastAsia="zh-CN"/>
        </w:rPr>
        <w:t xml:space="preserve">项至第 </w:t>
      </w:r>
      <w:r>
        <w:rPr>
          <w:rFonts w:hint="default" w:ascii="Times New Roman" w:hAnsi="Times New Roman" w:eastAsia="Times New Roman" w:cs="Times New Roman"/>
          <w:color w:val="auto"/>
          <w:spacing w:val="0"/>
          <w:w w:val="100"/>
          <w:position w:val="0"/>
          <w:sz w:val="21"/>
          <w:szCs w:val="21"/>
          <w:highlight w:val="none"/>
          <w:lang w:val="en-US" w:eastAsia="zh-CN"/>
        </w:rPr>
        <w:t>3.5.5</w:t>
      </w:r>
      <w:r>
        <w:rPr>
          <w:rFonts w:hint="eastAsia" w:ascii="Times New Roman" w:hAnsi="Times New Roman" w:eastAsia="Times New Roman" w:cs="Times New Roman"/>
          <w:color w:val="auto"/>
          <w:spacing w:val="0"/>
          <w:w w:val="100"/>
          <w:position w:val="0"/>
          <w:sz w:val="21"/>
          <w:szCs w:val="21"/>
          <w:highlight w:val="none"/>
          <w:lang w:val="en-US" w:eastAsia="zh-CN"/>
        </w:rPr>
        <w:t xml:space="preserve">项规定的有关证明和证件的原件，以便核验。评标委员会依据本章第 </w:t>
      </w:r>
      <w:r>
        <w:rPr>
          <w:rFonts w:hint="default" w:ascii="Times New Roman" w:hAnsi="Times New Roman" w:eastAsia="Times New Roman" w:cs="Times New Roman"/>
          <w:color w:val="auto"/>
          <w:spacing w:val="0"/>
          <w:w w:val="100"/>
          <w:position w:val="0"/>
          <w:sz w:val="21"/>
          <w:szCs w:val="21"/>
          <w:highlight w:val="none"/>
          <w:lang w:val="en-US" w:eastAsia="zh-CN"/>
        </w:rPr>
        <w:t xml:space="preserve">2.1 </w:t>
      </w:r>
      <w:r>
        <w:rPr>
          <w:rFonts w:hint="eastAsia" w:ascii="Times New Roman" w:hAnsi="Times New Roman" w:eastAsia="Times New Roman" w:cs="Times New Roman"/>
          <w:color w:val="auto"/>
          <w:spacing w:val="0"/>
          <w:w w:val="100"/>
          <w:position w:val="0"/>
          <w:sz w:val="21"/>
          <w:szCs w:val="21"/>
          <w:highlight w:val="none"/>
          <w:lang w:val="en-US" w:eastAsia="zh-CN"/>
        </w:rPr>
        <w:t>款规定的标准对投标文件第一个信封（商务及技术文件）进行初步评审。有一项不符合评审标准的，评标委员会应否决其投标</w:t>
      </w:r>
      <w:r>
        <w:rPr>
          <w:rFonts w:ascii="Times New Roman" w:hAnsi="Times New Roman" w:eastAsia="Times New Roman" w:cs="Times New Roman"/>
          <w:color w:val="auto"/>
          <w:spacing w:val="0"/>
          <w:w w:val="100"/>
          <w:position w:val="0"/>
          <w:sz w:val="21"/>
          <w:szCs w:val="21"/>
          <w:highlight w:val="none"/>
        </w:rPr>
        <w:t>。</w:t>
      </w:r>
    </w:p>
    <w:p w14:paraId="5DB266F1">
      <w:pPr>
        <w:pStyle w:val="6"/>
        <w:spacing w:before="128" w:line="233" w:lineRule="auto"/>
        <w:ind w:left="32"/>
        <w:outlineLvl w:val="3"/>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3.2 </w:t>
      </w:r>
      <w:r>
        <w:rPr>
          <w:b/>
          <w:bCs/>
          <w:color w:val="auto"/>
          <w:spacing w:val="0"/>
          <w:w w:val="100"/>
          <w:position w:val="0"/>
          <w:sz w:val="24"/>
          <w:szCs w:val="24"/>
          <w:highlight w:val="none"/>
        </w:rPr>
        <w:t>第一个信封详细评审</w:t>
      </w:r>
    </w:p>
    <w:p w14:paraId="3978DD0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3.2.1 评标委员会按本章第2.2 款规定的量化因素和分值进行打分，并计算出各投标人的商务和技术得分。</w:t>
      </w:r>
    </w:p>
    <w:p w14:paraId="71291CC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（1）按本章第2.2.4项（1）目规定的评审因素和分值对技术建议书部分计算出得分A；</w:t>
      </w:r>
    </w:p>
    <w:p w14:paraId="6197317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（2）按本章第2.2.4项（2）目规定的评审因素和分值对主要人员部分计算出得分B；</w:t>
      </w:r>
    </w:p>
    <w:p w14:paraId="763FD96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（3）按本章第2.2.4项（4）目规定的评审因素和分值对其他部分计算出得分D。</w:t>
      </w:r>
    </w:p>
    <w:p w14:paraId="0B10218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3.2.2 投标人的商务和技术得分分值计算保留小数点后两位，小数点后第三位“四舍五入”。</w:t>
      </w:r>
    </w:p>
    <w:p w14:paraId="5C6C5C1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3.2.3 投标人的商务和技术得分=A+B+D。</w:t>
      </w:r>
    </w:p>
    <w:p w14:paraId="73599566">
      <w:pPr>
        <w:pStyle w:val="6"/>
        <w:spacing w:before="267" w:line="233" w:lineRule="auto"/>
        <w:ind w:left="32"/>
        <w:outlineLvl w:val="3"/>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3.3 </w:t>
      </w:r>
      <w:r>
        <w:rPr>
          <w:b/>
          <w:bCs/>
          <w:color w:val="auto"/>
          <w:spacing w:val="0"/>
          <w:w w:val="100"/>
          <w:position w:val="0"/>
          <w:sz w:val="24"/>
          <w:szCs w:val="24"/>
          <w:highlight w:val="none"/>
        </w:rPr>
        <w:t>第二个信封开标</w:t>
      </w:r>
    </w:p>
    <w:p w14:paraId="7E9E620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第一个信封（商务及技术文件）评审结束后，招标人将按照第二章“投标人须知”第5.1 款规定的时间和地点对通过投标文件第一个信封（商务及技术文件）评审的投标文件第二个信封（报价文件）进行开标。</w:t>
      </w:r>
    </w:p>
    <w:p w14:paraId="68E0D28B">
      <w:pPr>
        <w:pStyle w:val="6"/>
        <w:spacing w:before="139" w:line="233" w:lineRule="auto"/>
        <w:ind w:left="32"/>
        <w:outlineLvl w:val="3"/>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3.4 </w:t>
      </w:r>
      <w:r>
        <w:rPr>
          <w:b/>
          <w:bCs/>
          <w:color w:val="auto"/>
          <w:spacing w:val="0"/>
          <w:w w:val="100"/>
          <w:position w:val="0"/>
          <w:sz w:val="24"/>
          <w:szCs w:val="24"/>
          <w:highlight w:val="none"/>
        </w:rPr>
        <w:t>第二个信封初步评审</w:t>
      </w:r>
    </w:p>
    <w:p w14:paraId="73C96AC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3.4.1 </w:t>
      </w:r>
      <w:r>
        <w:rPr>
          <w:rFonts w:hint="eastAsia" w:ascii="Times New Roman" w:hAnsi="Times New Roman" w:eastAsia="Times New Roman" w:cs="Times New Roman"/>
          <w:color w:val="auto"/>
          <w:spacing w:val="0"/>
          <w:w w:val="100"/>
          <w:position w:val="0"/>
          <w:sz w:val="21"/>
          <w:szCs w:val="21"/>
          <w:highlight w:val="none"/>
          <w:lang w:val="en-US" w:eastAsia="zh-CN"/>
        </w:rPr>
        <w:t xml:space="preserve">评标委员会依据本章第 </w:t>
      </w:r>
      <w:r>
        <w:rPr>
          <w:rFonts w:hint="default" w:ascii="Times New Roman" w:hAnsi="Times New Roman" w:eastAsia="Times New Roman" w:cs="Times New Roman"/>
          <w:color w:val="auto"/>
          <w:spacing w:val="0"/>
          <w:w w:val="100"/>
          <w:position w:val="0"/>
          <w:sz w:val="21"/>
          <w:szCs w:val="21"/>
          <w:highlight w:val="none"/>
          <w:lang w:val="en-US" w:eastAsia="zh-CN"/>
        </w:rPr>
        <w:t xml:space="preserve">2.1.1 </w:t>
      </w:r>
      <w:r>
        <w:rPr>
          <w:rFonts w:hint="eastAsia" w:ascii="Times New Roman" w:hAnsi="Times New Roman" w:eastAsia="Times New Roman" w:cs="Times New Roman"/>
          <w:color w:val="auto"/>
          <w:spacing w:val="0"/>
          <w:w w:val="100"/>
          <w:position w:val="0"/>
          <w:sz w:val="21"/>
          <w:szCs w:val="21"/>
          <w:highlight w:val="none"/>
          <w:lang w:val="en-US" w:eastAsia="zh-CN"/>
        </w:rPr>
        <w:t xml:space="preserve">项、第 </w:t>
      </w:r>
      <w:r>
        <w:rPr>
          <w:rFonts w:hint="default" w:ascii="Times New Roman" w:hAnsi="Times New Roman" w:eastAsia="Times New Roman" w:cs="Times New Roman"/>
          <w:color w:val="auto"/>
          <w:spacing w:val="0"/>
          <w:w w:val="100"/>
          <w:position w:val="0"/>
          <w:sz w:val="21"/>
          <w:szCs w:val="21"/>
          <w:highlight w:val="none"/>
          <w:lang w:val="en-US" w:eastAsia="zh-CN"/>
        </w:rPr>
        <w:t xml:space="preserve">2.1.3 </w:t>
      </w:r>
      <w:r>
        <w:rPr>
          <w:rFonts w:hint="eastAsia" w:ascii="Times New Roman" w:hAnsi="Times New Roman" w:eastAsia="Times New Roman" w:cs="Times New Roman"/>
          <w:color w:val="auto"/>
          <w:spacing w:val="0"/>
          <w:w w:val="100"/>
          <w:position w:val="0"/>
          <w:sz w:val="21"/>
          <w:szCs w:val="21"/>
          <w:highlight w:val="none"/>
          <w:lang w:val="en-US" w:eastAsia="zh-CN"/>
        </w:rPr>
        <w:t>项规定的评审标准对投标文件第二个信封（报价文件）进行初步评审。有一项不符合评审标准的，评标委员会应否决其投标</w:t>
      </w:r>
      <w:r>
        <w:rPr>
          <w:rFonts w:ascii="Times New Roman" w:hAnsi="Times New Roman" w:eastAsia="Times New Roman" w:cs="Times New Roman"/>
          <w:color w:val="auto"/>
          <w:spacing w:val="0"/>
          <w:w w:val="100"/>
          <w:position w:val="0"/>
          <w:sz w:val="21"/>
          <w:szCs w:val="21"/>
          <w:highlight w:val="none"/>
        </w:rPr>
        <w:t>。</w:t>
      </w:r>
    </w:p>
    <w:p w14:paraId="2875868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3.4.2 投标报价有算术错误的，评标委员会按以下原则对投标报价进行修正，修正的价格经投标人书面确认后具有约束力。投标人不接受修正价格的，评标委员会应否决其投标。</w:t>
      </w:r>
    </w:p>
    <w:p w14:paraId="36C9492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（1）投标文件中的大写金额与小写金额不一致的，以大写金额为准；</w:t>
      </w:r>
    </w:p>
    <w:p w14:paraId="03BFCF1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（2）总价金额与依据单价计算出的结果不一致的，以单价金额为准修正总价，但单价金额小数点有明显错误的除外；</w:t>
      </w:r>
    </w:p>
    <w:p w14:paraId="6C7E512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（3）当单价与数量相乘不等于合价时，以单价计算为准，如果单价有明显的小数点位置差错，应以标出的合价为准，同时对单价予以修正；</w:t>
      </w:r>
    </w:p>
    <w:p w14:paraId="15F42E9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（4）当各子目的合价累计不等于总价时，应以各子目合价累计数为准，修正总价。</w:t>
      </w:r>
    </w:p>
    <w:p w14:paraId="008950C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3.4.3 修正后的最终投标报价若超过最高投标限价（如有），评标委员会应否决其投标。</w:t>
      </w:r>
    </w:p>
    <w:p w14:paraId="0BD8113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3.4.4 修正后的最终投标报价仅作为签订合同的一个依据，不参与评标价得分的计算。</w:t>
      </w:r>
    </w:p>
    <w:p w14:paraId="4BA33699">
      <w:pPr>
        <w:pStyle w:val="6"/>
        <w:spacing w:before="271" w:line="233" w:lineRule="auto"/>
        <w:ind w:left="32"/>
        <w:outlineLvl w:val="3"/>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3.5 </w:t>
      </w:r>
      <w:r>
        <w:rPr>
          <w:b/>
          <w:bCs/>
          <w:color w:val="auto"/>
          <w:spacing w:val="0"/>
          <w:w w:val="100"/>
          <w:position w:val="0"/>
          <w:sz w:val="24"/>
          <w:szCs w:val="24"/>
          <w:highlight w:val="none"/>
        </w:rPr>
        <w:t>第二个信封详细评审</w:t>
      </w:r>
    </w:p>
    <w:p w14:paraId="362E8E5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3.5.1 评标委员会按本章第 2.2.4 项（3）目规定的评审因素和分值对评标价计算出得分C。评标价得分分值计算保留小数点后两位，小数点后第三位“ 四舍五入 ”。</w:t>
      </w:r>
    </w:p>
    <w:p w14:paraId="0165799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3.5.2 投标人综合得分=投标人的商务和技术得分+C。</w:t>
      </w:r>
    </w:p>
    <w:p w14:paraId="19488027">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3.5.3 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14:paraId="7CDBEF97">
      <w:pPr>
        <w:pStyle w:val="6"/>
        <w:spacing w:before="285" w:line="233" w:lineRule="auto"/>
        <w:ind w:left="32"/>
        <w:outlineLvl w:val="3"/>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3.6 </w:t>
      </w:r>
      <w:r>
        <w:rPr>
          <w:b/>
          <w:bCs/>
          <w:color w:val="auto"/>
          <w:spacing w:val="0"/>
          <w:w w:val="100"/>
          <w:position w:val="0"/>
          <w:sz w:val="24"/>
          <w:szCs w:val="24"/>
          <w:highlight w:val="none"/>
        </w:rPr>
        <w:t>投标文件相关信息的核查</w:t>
      </w:r>
    </w:p>
    <w:p w14:paraId="0A0DC9A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3.6.1 在评标过程中，评标委员会应查询交通运输主管部门“公路建设市场信用信息管理系统”，对投标人的资质、业绩、主要人员资历和目前在岗情况、信用等级等信息进行核实。若投标文件载明的信息与交通运输主管部门“公路建设市场信用信息管理系统”发布的信息不符，使得投标人的资格条件不符合招标文件规定的，评标委员会应否决其投标。</w:t>
      </w:r>
    </w:p>
    <w:p w14:paraId="534B6E0D">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3.6.2 评标委员会应对在评标过程中发现的投标人与投标人之间、投标人与招标人之间存在的串通投标的情形进行评审和认定。投标人存在串通投标、弄虚作假、行贿等违法行为的，评标委员会应否决其投标。</w:t>
      </w:r>
    </w:p>
    <w:p w14:paraId="2A440D3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（1）有下列情形之一的，属于投标人相互串通投标：</w:t>
      </w:r>
    </w:p>
    <w:p w14:paraId="77EC63F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a.投标人之间协商投标报价等投标文件的实质性内容；</w:t>
      </w:r>
    </w:p>
    <w:p w14:paraId="563EDEC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b.投标人之间约定中标人；</w:t>
      </w:r>
    </w:p>
    <w:p w14:paraId="616A9EB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c.投标人之间约定部分投标人放弃投标或中标；</w:t>
      </w:r>
    </w:p>
    <w:p w14:paraId="2524C08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d.属于同一集团、协会、商会等组织成员的投标人按照该组织要求协同投标；</w:t>
      </w:r>
    </w:p>
    <w:p w14:paraId="42A335B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e.投标人之间为谋取中标或排斥特定投标人而采取的其他联合行动。</w:t>
      </w:r>
    </w:p>
    <w:p w14:paraId="3E3766B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（2）有下列情形之一的，视为投标人相互串通投标：</w:t>
      </w:r>
    </w:p>
    <w:p w14:paraId="24B880F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a.不同投标人的投标文件由同一单位或个人编制；</w:t>
      </w:r>
    </w:p>
    <w:p w14:paraId="70CD022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b.不同投标人委托同一单位或个人办理投标事宜；</w:t>
      </w:r>
    </w:p>
    <w:p w14:paraId="5A4AE2E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c.不同投标人的投标文件载明的项目管理成员为同一人；</w:t>
      </w:r>
    </w:p>
    <w:p w14:paraId="23A8F7B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d.不同投标人的投标文件异常一致或投标报价呈规律性差异；</w:t>
      </w:r>
    </w:p>
    <w:p w14:paraId="255F810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e.不同投标人的投标文件相互混装；</w:t>
      </w:r>
    </w:p>
    <w:p w14:paraId="4887267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f.不同投标人的投标保证金从同一单位或个人的账户转出。</w:t>
      </w:r>
    </w:p>
    <w:p w14:paraId="7C93F82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（3）有下列情形之一的，属于招标人与投标人串通投标：</w:t>
      </w:r>
    </w:p>
    <w:p w14:paraId="23E39B8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a.招标人在开标前开启投标文件并将有关信息泄露给其他投标人；</w:t>
      </w:r>
    </w:p>
    <w:p w14:paraId="0D8DD62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b.招标人直接或间接向投标人泄露标底、评标委员会成员等信息；</w:t>
      </w:r>
    </w:p>
    <w:p w14:paraId="7EFC32C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c.招标人明示或暗示投标人压低或抬高投标报价；</w:t>
      </w:r>
    </w:p>
    <w:p w14:paraId="7353CF5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d.招标人授意投标人撤换、修改投标文件；</w:t>
      </w:r>
    </w:p>
    <w:p w14:paraId="46924F14">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e.招标人明示或暗示投标人为特定投标人中标提供方便；</w:t>
      </w:r>
    </w:p>
    <w:p w14:paraId="5C7FE04E">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f.招标人与投标人为谋求特定投标人中标而采取的其他串通行为。</w:t>
      </w:r>
    </w:p>
    <w:p w14:paraId="7B83ED05">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（4）投标人有下列情形之一的，属于弄虚作假的行为：</w:t>
      </w:r>
    </w:p>
    <w:p w14:paraId="5E8256BC">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a.使用通过受让或租借等方式获取的资格、资质证书投标；</w:t>
      </w:r>
    </w:p>
    <w:p w14:paraId="4ADB612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b.使用伪造、变造的许可证件；</w:t>
      </w:r>
    </w:p>
    <w:p w14:paraId="67AA8A50">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c.提供虚假的业绩；</w:t>
      </w:r>
    </w:p>
    <w:p w14:paraId="2CE6A32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d.提供虚假的项目负责人或主要技术人员简历、劳动关系证明；</w:t>
      </w:r>
    </w:p>
    <w:p w14:paraId="5DB3C798">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e.提供虚假的信用状况；</w:t>
      </w:r>
    </w:p>
    <w:p w14:paraId="21DF9B6F">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f.其他弄虚作假的行为。</w:t>
      </w:r>
    </w:p>
    <w:p w14:paraId="2960B07A">
      <w:pPr>
        <w:pStyle w:val="6"/>
        <w:spacing w:before="268" w:line="232" w:lineRule="auto"/>
        <w:ind w:left="32"/>
        <w:outlineLvl w:val="3"/>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3.7 </w:t>
      </w:r>
      <w:r>
        <w:rPr>
          <w:b/>
          <w:bCs/>
          <w:color w:val="auto"/>
          <w:spacing w:val="0"/>
          <w:w w:val="100"/>
          <w:position w:val="0"/>
          <w:sz w:val="24"/>
          <w:szCs w:val="24"/>
          <w:highlight w:val="none"/>
        </w:rPr>
        <w:t>投标文件的澄清和说明</w:t>
      </w:r>
    </w:p>
    <w:p w14:paraId="3A2071E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499DC866">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3.7.2 澄清和说明不得超出投标文件的范围或改变投标文件的实质性内容（算术性错误的修正除外）。投标人的书面澄清、说明属于投标文件的组成部分。</w:t>
      </w:r>
    </w:p>
    <w:p w14:paraId="7A5364A3">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3.7.3 评标委员会不得暗示或诱导投标人作出澄清、说明， 对投标人提交的澄清、说明有疑问的，可以要求投标人进一步澄清或说明，直至满足评标委员会的要求。</w:t>
      </w:r>
    </w:p>
    <w:p w14:paraId="679DAD99">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3.7.4 凡超出招标文件规定的或给发包人带来未曾要求的利益的变化、偏差或其他因素在评标时不予考虑。</w:t>
      </w:r>
    </w:p>
    <w:p w14:paraId="411A0D50">
      <w:pPr>
        <w:pStyle w:val="6"/>
        <w:spacing w:before="286" w:line="233" w:lineRule="auto"/>
        <w:ind w:left="32"/>
        <w:outlineLvl w:val="3"/>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3.8 </w:t>
      </w:r>
      <w:r>
        <w:rPr>
          <w:b/>
          <w:bCs/>
          <w:color w:val="auto"/>
          <w:spacing w:val="0"/>
          <w:w w:val="100"/>
          <w:position w:val="0"/>
          <w:sz w:val="24"/>
          <w:szCs w:val="24"/>
          <w:highlight w:val="none"/>
        </w:rPr>
        <w:t>不得否决投标的情形</w:t>
      </w:r>
    </w:p>
    <w:p w14:paraId="642712EA">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投标文件存在第二章“投标人须知”第 1.12.3 项所列情形的，均视为细微偏差，评标委员会不得否决投标人的投标，应按照第二章“投标人须知 ”第 1.12.4 项规定的原则处理。</w:t>
      </w:r>
    </w:p>
    <w:p w14:paraId="4AAAF947">
      <w:pPr>
        <w:pStyle w:val="6"/>
        <w:spacing w:before="125" w:line="233" w:lineRule="auto"/>
        <w:ind w:left="32"/>
        <w:outlineLvl w:val="3"/>
        <w:rPr>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3.9 </w:t>
      </w:r>
      <w:r>
        <w:rPr>
          <w:b/>
          <w:bCs/>
          <w:color w:val="auto"/>
          <w:spacing w:val="0"/>
          <w:w w:val="100"/>
          <w:position w:val="0"/>
          <w:sz w:val="24"/>
          <w:szCs w:val="24"/>
          <w:highlight w:val="none"/>
        </w:rPr>
        <w:t>评标结果</w:t>
      </w:r>
    </w:p>
    <w:p w14:paraId="7EB01DD2">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3.9.1 除第二章“投标人须知”前附表授权直接确定中标人外，评标委员会按照得分由高到低的顺序推荐中标候选人，并标明排序。</w:t>
      </w:r>
    </w:p>
    <w:p w14:paraId="41EB3A21">
      <w:pPr>
        <w:keepNext w:val="0"/>
        <w:keepLines w:val="0"/>
        <w:pageBreakBefore w:val="0"/>
        <w:widowControl/>
        <w:kinsoku w:val="0"/>
        <w:wordWrap/>
        <w:overflowPunct/>
        <w:topLinePunct w:val="0"/>
        <w:autoSpaceDE w:val="0"/>
        <w:autoSpaceDN w:val="0"/>
        <w:bidi w:val="0"/>
        <w:adjustRightInd w:val="0"/>
        <w:snapToGrid w:val="0"/>
        <w:spacing w:line="480" w:lineRule="exact"/>
        <w:ind w:left="0" w:right="0" w:firstLine="420" w:firstLineChars="200"/>
        <w:textAlignment w:val="baseline"/>
        <w:rPr>
          <w:rFonts w:ascii="Times New Roman" w:hAnsi="Times New Roman" w:eastAsia="Times New Roman" w:cs="Times New Roman"/>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3.9.2 评标委员会完成评标后，应向招标人提交书面评标报告。</w:t>
      </w:r>
    </w:p>
    <w:p w14:paraId="3AB8F05A">
      <w:pPr>
        <w:spacing w:line="233" w:lineRule="auto"/>
        <w:rPr>
          <w:rFonts w:ascii="宋体" w:hAnsi="宋体" w:eastAsia="宋体" w:cs="宋体"/>
          <w:color w:val="auto"/>
          <w:spacing w:val="0"/>
          <w:w w:val="100"/>
          <w:position w:val="0"/>
          <w:sz w:val="21"/>
          <w:szCs w:val="21"/>
          <w:highlight w:val="none"/>
        </w:rPr>
        <w:sectPr>
          <w:headerReference r:id="rId28" w:type="default"/>
          <w:footerReference r:id="rId29" w:type="default"/>
          <w:pgSz w:w="11900" w:h="16843"/>
          <w:pgMar w:top="1378" w:right="1417" w:bottom="1208" w:left="1417" w:header="1366" w:footer="1003" w:gutter="0"/>
          <w:pgNumType w:fmt="decimal"/>
          <w:cols w:space="0" w:num="1"/>
          <w:rtlGutter w:val="0"/>
          <w:docGrid w:linePitch="0" w:charSpace="0"/>
        </w:sectPr>
      </w:pPr>
    </w:p>
    <w:p w14:paraId="7A2E7062">
      <w:pPr>
        <w:spacing w:line="248" w:lineRule="auto"/>
        <w:rPr>
          <w:rFonts w:ascii="Arial"/>
          <w:color w:val="auto"/>
          <w:spacing w:val="0"/>
          <w:w w:val="100"/>
          <w:position w:val="0"/>
          <w:sz w:val="21"/>
          <w:highlight w:val="none"/>
        </w:rPr>
      </w:pPr>
    </w:p>
    <w:p w14:paraId="5CABEB8B">
      <w:pPr>
        <w:spacing w:line="248" w:lineRule="auto"/>
        <w:rPr>
          <w:rFonts w:ascii="Arial"/>
          <w:color w:val="auto"/>
          <w:spacing w:val="0"/>
          <w:w w:val="100"/>
          <w:position w:val="0"/>
          <w:sz w:val="21"/>
          <w:highlight w:val="none"/>
        </w:rPr>
      </w:pPr>
    </w:p>
    <w:p w14:paraId="225A669E">
      <w:pPr>
        <w:spacing w:line="248" w:lineRule="auto"/>
        <w:rPr>
          <w:rFonts w:ascii="Arial"/>
          <w:color w:val="auto"/>
          <w:spacing w:val="0"/>
          <w:w w:val="100"/>
          <w:position w:val="0"/>
          <w:sz w:val="21"/>
          <w:highlight w:val="none"/>
        </w:rPr>
      </w:pPr>
    </w:p>
    <w:p w14:paraId="260F5AD3">
      <w:pPr>
        <w:spacing w:line="248" w:lineRule="auto"/>
        <w:rPr>
          <w:rFonts w:ascii="Arial"/>
          <w:color w:val="auto"/>
          <w:spacing w:val="0"/>
          <w:w w:val="100"/>
          <w:position w:val="0"/>
          <w:sz w:val="21"/>
          <w:highlight w:val="none"/>
        </w:rPr>
      </w:pPr>
    </w:p>
    <w:p w14:paraId="6F07F3B0">
      <w:pPr>
        <w:spacing w:line="248" w:lineRule="auto"/>
        <w:rPr>
          <w:rFonts w:ascii="Arial"/>
          <w:color w:val="auto"/>
          <w:spacing w:val="0"/>
          <w:w w:val="100"/>
          <w:position w:val="0"/>
          <w:sz w:val="21"/>
          <w:highlight w:val="none"/>
        </w:rPr>
      </w:pPr>
    </w:p>
    <w:p w14:paraId="389F139B">
      <w:pPr>
        <w:spacing w:line="248" w:lineRule="auto"/>
        <w:rPr>
          <w:rFonts w:ascii="Arial"/>
          <w:color w:val="auto"/>
          <w:spacing w:val="0"/>
          <w:w w:val="100"/>
          <w:position w:val="0"/>
          <w:sz w:val="21"/>
          <w:highlight w:val="none"/>
        </w:rPr>
      </w:pPr>
    </w:p>
    <w:p w14:paraId="63234A60">
      <w:pPr>
        <w:spacing w:line="248" w:lineRule="auto"/>
        <w:rPr>
          <w:rFonts w:ascii="Arial"/>
          <w:color w:val="auto"/>
          <w:spacing w:val="0"/>
          <w:w w:val="100"/>
          <w:position w:val="0"/>
          <w:sz w:val="21"/>
          <w:highlight w:val="none"/>
        </w:rPr>
      </w:pPr>
    </w:p>
    <w:p w14:paraId="700CA3CE">
      <w:pPr>
        <w:spacing w:line="249" w:lineRule="auto"/>
        <w:rPr>
          <w:rFonts w:ascii="Arial"/>
          <w:color w:val="auto"/>
          <w:spacing w:val="0"/>
          <w:w w:val="100"/>
          <w:position w:val="0"/>
          <w:sz w:val="21"/>
          <w:highlight w:val="none"/>
        </w:rPr>
      </w:pPr>
    </w:p>
    <w:p w14:paraId="1203D4A0">
      <w:pPr>
        <w:spacing w:line="249" w:lineRule="auto"/>
        <w:rPr>
          <w:rFonts w:ascii="Arial"/>
          <w:color w:val="auto"/>
          <w:spacing w:val="0"/>
          <w:w w:val="100"/>
          <w:position w:val="0"/>
          <w:sz w:val="21"/>
          <w:highlight w:val="none"/>
        </w:rPr>
      </w:pPr>
    </w:p>
    <w:p w14:paraId="2A35AF76">
      <w:pPr>
        <w:spacing w:line="249" w:lineRule="auto"/>
        <w:rPr>
          <w:rFonts w:ascii="Arial"/>
          <w:color w:val="auto"/>
          <w:spacing w:val="0"/>
          <w:w w:val="100"/>
          <w:position w:val="0"/>
          <w:sz w:val="21"/>
          <w:highlight w:val="none"/>
        </w:rPr>
      </w:pPr>
    </w:p>
    <w:p w14:paraId="082630B5">
      <w:pPr>
        <w:spacing w:line="249" w:lineRule="auto"/>
        <w:rPr>
          <w:rFonts w:ascii="Arial"/>
          <w:color w:val="auto"/>
          <w:spacing w:val="0"/>
          <w:w w:val="100"/>
          <w:position w:val="0"/>
          <w:sz w:val="21"/>
          <w:highlight w:val="none"/>
        </w:rPr>
      </w:pPr>
    </w:p>
    <w:p w14:paraId="1032875E">
      <w:pPr>
        <w:spacing w:line="249" w:lineRule="auto"/>
        <w:rPr>
          <w:rFonts w:ascii="Arial"/>
          <w:color w:val="auto"/>
          <w:spacing w:val="0"/>
          <w:w w:val="100"/>
          <w:position w:val="0"/>
          <w:sz w:val="21"/>
          <w:highlight w:val="none"/>
        </w:rPr>
      </w:pPr>
    </w:p>
    <w:p w14:paraId="14D32C91">
      <w:pPr>
        <w:spacing w:line="249" w:lineRule="auto"/>
        <w:rPr>
          <w:rFonts w:ascii="Arial"/>
          <w:color w:val="auto"/>
          <w:spacing w:val="0"/>
          <w:w w:val="100"/>
          <w:position w:val="0"/>
          <w:sz w:val="21"/>
          <w:highlight w:val="none"/>
        </w:rPr>
      </w:pPr>
    </w:p>
    <w:p w14:paraId="1983CCBE">
      <w:pPr>
        <w:spacing w:line="249" w:lineRule="auto"/>
        <w:rPr>
          <w:rFonts w:ascii="Arial"/>
          <w:color w:val="auto"/>
          <w:spacing w:val="0"/>
          <w:w w:val="100"/>
          <w:position w:val="0"/>
          <w:sz w:val="21"/>
          <w:highlight w:val="none"/>
        </w:rPr>
      </w:pPr>
    </w:p>
    <w:p w14:paraId="68DA64D7">
      <w:pPr>
        <w:spacing w:line="249" w:lineRule="auto"/>
        <w:rPr>
          <w:rFonts w:ascii="Arial"/>
          <w:color w:val="auto"/>
          <w:spacing w:val="0"/>
          <w:w w:val="100"/>
          <w:position w:val="0"/>
          <w:sz w:val="21"/>
          <w:highlight w:val="none"/>
        </w:rPr>
      </w:pPr>
    </w:p>
    <w:p w14:paraId="74418089">
      <w:pPr>
        <w:spacing w:line="249" w:lineRule="auto"/>
        <w:rPr>
          <w:rFonts w:ascii="Arial"/>
          <w:color w:val="auto"/>
          <w:spacing w:val="0"/>
          <w:w w:val="100"/>
          <w:position w:val="0"/>
          <w:sz w:val="21"/>
          <w:highlight w:val="none"/>
        </w:rPr>
      </w:pPr>
    </w:p>
    <w:p w14:paraId="6A6A945C">
      <w:pPr>
        <w:spacing w:line="249" w:lineRule="auto"/>
        <w:rPr>
          <w:rFonts w:ascii="Arial"/>
          <w:color w:val="auto"/>
          <w:spacing w:val="0"/>
          <w:w w:val="100"/>
          <w:position w:val="0"/>
          <w:sz w:val="21"/>
          <w:highlight w:val="none"/>
        </w:rPr>
      </w:pPr>
    </w:p>
    <w:p w14:paraId="40712BAF">
      <w:pPr>
        <w:spacing w:line="249" w:lineRule="auto"/>
        <w:rPr>
          <w:rFonts w:ascii="Arial"/>
          <w:color w:val="auto"/>
          <w:spacing w:val="0"/>
          <w:w w:val="100"/>
          <w:position w:val="0"/>
          <w:sz w:val="21"/>
          <w:highlight w:val="none"/>
        </w:rPr>
      </w:pPr>
    </w:p>
    <w:p w14:paraId="35DA7124">
      <w:pPr>
        <w:spacing w:line="249" w:lineRule="auto"/>
        <w:rPr>
          <w:rFonts w:ascii="Arial"/>
          <w:color w:val="auto"/>
          <w:spacing w:val="0"/>
          <w:w w:val="100"/>
          <w:position w:val="0"/>
          <w:sz w:val="21"/>
          <w:highlight w:val="none"/>
        </w:rPr>
      </w:pPr>
    </w:p>
    <w:p w14:paraId="09AE1437">
      <w:pPr>
        <w:pStyle w:val="6"/>
        <w:spacing w:before="169" w:line="219" w:lineRule="auto"/>
        <w:ind w:left="1330"/>
        <w:outlineLvl w:val="0"/>
        <w:rPr>
          <w:color w:val="auto"/>
          <w:spacing w:val="0"/>
          <w:w w:val="100"/>
          <w:position w:val="0"/>
          <w:sz w:val="52"/>
          <w:szCs w:val="52"/>
          <w:highlight w:val="none"/>
        </w:rPr>
      </w:pPr>
      <w:bookmarkStart w:id="16" w:name="bookmark21"/>
      <w:bookmarkEnd w:id="16"/>
      <w:bookmarkStart w:id="17" w:name="bookmark4"/>
      <w:bookmarkEnd w:id="17"/>
      <w:bookmarkStart w:id="18" w:name="bookmark5"/>
      <w:bookmarkEnd w:id="18"/>
      <w:r>
        <w:rPr>
          <w:b/>
          <w:bCs/>
          <w:color w:val="auto"/>
          <w:spacing w:val="0"/>
          <w:w w:val="100"/>
          <w:position w:val="0"/>
          <w:sz w:val="52"/>
          <w:szCs w:val="52"/>
          <w:highlight w:val="none"/>
        </w:rPr>
        <w:t>第四章</w:t>
      </w:r>
      <w:r>
        <w:rPr>
          <w:color w:val="auto"/>
          <w:spacing w:val="0"/>
          <w:w w:val="100"/>
          <w:position w:val="0"/>
          <w:sz w:val="52"/>
          <w:szCs w:val="52"/>
          <w:highlight w:val="none"/>
        </w:rPr>
        <w:t xml:space="preserve">  </w:t>
      </w:r>
      <w:r>
        <w:rPr>
          <w:b/>
          <w:bCs/>
          <w:color w:val="auto"/>
          <w:spacing w:val="0"/>
          <w:w w:val="100"/>
          <w:position w:val="0"/>
          <w:sz w:val="52"/>
          <w:szCs w:val="52"/>
          <w:highlight w:val="none"/>
        </w:rPr>
        <w:t>合同条款及格式</w:t>
      </w:r>
    </w:p>
    <w:p w14:paraId="6B9A3FD1">
      <w:pPr>
        <w:spacing w:line="219" w:lineRule="auto"/>
        <w:rPr>
          <w:color w:val="auto"/>
          <w:spacing w:val="0"/>
          <w:w w:val="100"/>
          <w:position w:val="0"/>
          <w:sz w:val="52"/>
          <w:szCs w:val="52"/>
          <w:highlight w:val="none"/>
        </w:rPr>
        <w:sectPr>
          <w:headerReference r:id="rId30" w:type="default"/>
          <w:footerReference r:id="rId31" w:type="default"/>
          <w:pgSz w:w="11900" w:h="16843"/>
          <w:pgMar w:top="1378" w:right="1417" w:bottom="1208" w:left="1417" w:header="1366" w:footer="1003" w:gutter="0"/>
          <w:pgNumType w:fmt="decimal"/>
          <w:cols w:space="0" w:num="1"/>
          <w:rtlGutter w:val="0"/>
          <w:docGrid w:linePitch="0" w:charSpace="0"/>
        </w:sectPr>
      </w:pPr>
    </w:p>
    <w:p w14:paraId="78644A4E">
      <w:pPr>
        <w:spacing w:line="286" w:lineRule="auto"/>
        <w:rPr>
          <w:rFonts w:ascii="Arial"/>
          <w:color w:val="auto"/>
          <w:spacing w:val="0"/>
          <w:w w:val="100"/>
          <w:position w:val="0"/>
          <w:sz w:val="21"/>
          <w:highlight w:val="none"/>
        </w:rPr>
      </w:pPr>
    </w:p>
    <w:p w14:paraId="3374C882">
      <w:pPr>
        <w:spacing w:line="287" w:lineRule="auto"/>
        <w:rPr>
          <w:rFonts w:ascii="Arial"/>
          <w:color w:val="auto"/>
          <w:spacing w:val="0"/>
          <w:w w:val="100"/>
          <w:position w:val="0"/>
          <w:sz w:val="21"/>
          <w:highlight w:val="none"/>
        </w:rPr>
      </w:pPr>
    </w:p>
    <w:p w14:paraId="57475E11">
      <w:pPr>
        <w:spacing w:line="287" w:lineRule="auto"/>
        <w:rPr>
          <w:rFonts w:ascii="Arial"/>
          <w:color w:val="auto"/>
          <w:spacing w:val="0"/>
          <w:w w:val="100"/>
          <w:position w:val="0"/>
          <w:sz w:val="21"/>
          <w:highlight w:val="none"/>
        </w:rPr>
      </w:pPr>
    </w:p>
    <w:p w14:paraId="50740B81">
      <w:pPr>
        <w:spacing w:line="287" w:lineRule="auto"/>
        <w:rPr>
          <w:rFonts w:ascii="Arial"/>
          <w:color w:val="auto"/>
          <w:spacing w:val="0"/>
          <w:w w:val="100"/>
          <w:position w:val="0"/>
          <w:sz w:val="21"/>
          <w:highlight w:val="none"/>
        </w:rPr>
      </w:pPr>
    </w:p>
    <w:p w14:paraId="2C2421E2">
      <w:pPr>
        <w:spacing w:line="287" w:lineRule="auto"/>
        <w:rPr>
          <w:rFonts w:ascii="Arial"/>
          <w:color w:val="auto"/>
          <w:spacing w:val="0"/>
          <w:w w:val="100"/>
          <w:position w:val="0"/>
          <w:sz w:val="21"/>
          <w:highlight w:val="none"/>
        </w:rPr>
      </w:pPr>
    </w:p>
    <w:p w14:paraId="20B5435F">
      <w:pPr>
        <w:pStyle w:val="6"/>
        <w:spacing w:before="169" w:line="219" w:lineRule="auto"/>
        <w:ind w:left="1330"/>
        <w:outlineLvl w:val="1"/>
        <w:rPr>
          <w:color w:val="auto"/>
          <w:spacing w:val="0"/>
          <w:w w:val="100"/>
          <w:position w:val="0"/>
          <w:sz w:val="52"/>
          <w:szCs w:val="52"/>
          <w:highlight w:val="none"/>
        </w:rPr>
      </w:pPr>
      <w:bookmarkStart w:id="19" w:name="bookmark22"/>
      <w:bookmarkEnd w:id="19"/>
      <w:bookmarkStart w:id="20" w:name="bookmark5"/>
      <w:bookmarkEnd w:id="20"/>
      <w:r>
        <w:rPr>
          <w:b/>
          <w:bCs/>
          <w:color w:val="auto"/>
          <w:spacing w:val="0"/>
          <w:w w:val="100"/>
          <w:position w:val="0"/>
          <w:sz w:val="52"/>
          <w:szCs w:val="52"/>
          <w:highlight w:val="none"/>
        </w:rPr>
        <w:t>第四章</w:t>
      </w:r>
      <w:r>
        <w:rPr>
          <w:color w:val="auto"/>
          <w:spacing w:val="0"/>
          <w:w w:val="100"/>
          <w:position w:val="0"/>
          <w:sz w:val="52"/>
          <w:szCs w:val="52"/>
          <w:highlight w:val="none"/>
        </w:rPr>
        <w:t xml:space="preserve">  </w:t>
      </w:r>
      <w:r>
        <w:rPr>
          <w:b/>
          <w:bCs/>
          <w:color w:val="auto"/>
          <w:spacing w:val="0"/>
          <w:w w:val="100"/>
          <w:position w:val="0"/>
          <w:sz w:val="52"/>
          <w:szCs w:val="52"/>
          <w:highlight w:val="none"/>
        </w:rPr>
        <w:t>合同条款及格式</w:t>
      </w:r>
    </w:p>
    <w:p w14:paraId="3E202785">
      <w:pPr>
        <w:spacing w:line="359" w:lineRule="auto"/>
        <w:rPr>
          <w:rFonts w:ascii="Arial"/>
          <w:color w:val="auto"/>
          <w:spacing w:val="0"/>
          <w:w w:val="100"/>
          <w:position w:val="0"/>
          <w:sz w:val="21"/>
          <w:highlight w:val="none"/>
        </w:rPr>
      </w:pPr>
    </w:p>
    <w:p w14:paraId="6A3B0669">
      <w:pPr>
        <w:spacing w:line="360" w:lineRule="auto"/>
        <w:rPr>
          <w:rFonts w:ascii="Arial"/>
          <w:color w:val="auto"/>
          <w:spacing w:val="0"/>
          <w:w w:val="100"/>
          <w:position w:val="0"/>
          <w:sz w:val="21"/>
          <w:highlight w:val="none"/>
        </w:rPr>
      </w:pPr>
    </w:p>
    <w:p w14:paraId="2ECD5F50">
      <w:pPr>
        <w:pStyle w:val="6"/>
        <w:spacing w:before="100" w:line="224" w:lineRule="auto"/>
        <w:ind w:left="2588"/>
        <w:outlineLvl w:val="2"/>
        <w:rPr>
          <w:color w:val="auto"/>
          <w:spacing w:val="0"/>
          <w:w w:val="100"/>
          <w:position w:val="0"/>
          <w:highlight w:val="none"/>
        </w:rPr>
      </w:pPr>
      <w:r>
        <w:rPr>
          <w:b/>
          <w:bCs/>
          <w:color w:val="auto"/>
          <w:spacing w:val="0"/>
          <w:w w:val="100"/>
          <w:position w:val="0"/>
          <w:highlight w:val="none"/>
        </w:rPr>
        <w:t>第一节</w:t>
      </w:r>
      <w:r>
        <w:rPr>
          <w:color w:val="auto"/>
          <w:spacing w:val="0"/>
          <w:w w:val="100"/>
          <w:position w:val="0"/>
          <w:highlight w:val="none"/>
        </w:rPr>
        <w:t xml:space="preserve">  </w:t>
      </w:r>
      <w:r>
        <w:rPr>
          <w:b/>
          <w:bCs/>
          <w:color w:val="auto"/>
          <w:spacing w:val="0"/>
          <w:w w:val="100"/>
          <w:position w:val="0"/>
          <w:highlight w:val="none"/>
        </w:rPr>
        <w:t>通用合同条款</w:t>
      </w:r>
    </w:p>
    <w:p w14:paraId="4F82DCB8">
      <w:pPr>
        <w:spacing w:line="224" w:lineRule="auto"/>
        <w:rPr>
          <w:color w:val="auto"/>
          <w:spacing w:val="0"/>
          <w:w w:val="100"/>
          <w:position w:val="0"/>
          <w:highlight w:val="none"/>
        </w:rPr>
        <w:sectPr>
          <w:footerReference r:id="rId32" w:type="default"/>
          <w:pgSz w:w="11900" w:h="16843"/>
          <w:pgMar w:top="1378" w:right="1417" w:bottom="1208" w:left="1417" w:header="1366" w:footer="1003" w:gutter="0"/>
          <w:pgNumType w:fmt="decimal"/>
          <w:cols w:space="0" w:num="1"/>
          <w:rtlGutter w:val="0"/>
          <w:docGrid w:linePitch="0" w:charSpace="0"/>
        </w:sectPr>
      </w:pPr>
    </w:p>
    <w:p w14:paraId="59384F02">
      <w:pPr>
        <w:pStyle w:val="6"/>
        <w:spacing w:before="100" w:line="225" w:lineRule="auto"/>
        <w:ind w:left="3490"/>
        <w:rPr>
          <w:color w:val="auto"/>
          <w:spacing w:val="0"/>
          <w:w w:val="100"/>
          <w:position w:val="0"/>
          <w:highlight w:val="none"/>
        </w:rPr>
      </w:pPr>
      <w:r>
        <w:rPr>
          <w:b/>
          <w:bCs/>
          <w:color w:val="auto"/>
          <w:spacing w:val="0"/>
          <w:w w:val="100"/>
          <w:position w:val="0"/>
          <w:highlight w:val="none"/>
        </w:rPr>
        <w:t>通用合同条款</w:t>
      </w:r>
    </w:p>
    <w:p w14:paraId="6A9F1195">
      <w:pPr>
        <w:spacing w:line="266" w:lineRule="auto"/>
        <w:rPr>
          <w:rFonts w:ascii="Arial"/>
          <w:color w:val="auto"/>
          <w:spacing w:val="0"/>
          <w:w w:val="100"/>
          <w:position w:val="0"/>
          <w:sz w:val="21"/>
          <w:highlight w:val="none"/>
        </w:rPr>
      </w:pPr>
    </w:p>
    <w:p w14:paraId="457E0516">
      <w:pPr>
        <w:keepNext w:val="0"/>
        <w:keepLines w:val="0"/>
        <w:pageBreakBefore w:val="0"/>
        <w:widowControl w:val="0"/>
        <w:kinsoku w:val="0"/>
        <w:wordWrap/>
        <w:overflowPunct/>
        <w:topLinePunct w:val="0"/>
        <w:autoSpaceDE w:val="0"/>
        <w:autoSpaceDN w:val="0"/>
        <w:bidi w:val="0"/>
        <w:adjustRightInd w:val="0"/>
        <w:snapToGrid w:val="0"/>
        <w:spacing w:line="360" w:lineRule="exact"/>
        <w:ind w:right="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1.一般约定</w:t>
      </w:r>
    </w:p>
    <w:p w14:paraId="113B9C19">
      <w:pPr>
        <w:pStyle w:val="6"/>
        <w:keepNext w:val="0"/>
        <w:keepLines w:val="0"/>
        <w:pageBreakBefore w:val="0"/>
        <w:widowControl w:val="0"/>
        <w:kinsoku w:val="0"/>
        <w:wordWrap/>
        <w:overflowPunct/>
        <w:topLinePunct w:val="0"/>
        <w:autoSpaceDE w:val="0"/>
        <w:autoSpaceDN w:val="0"/>
        <w:bidi w:val="0"/>
        <w:adjustRightInd w:val="0"/>
        <w:snapToGrid w:val="0"/>
        <w:spacing w:line="360" w:lineRule="exact"/>
        <w:ind w:left="0" w:right="0" w:firstLine="402"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1.1</w:t>
      </w:r>
      <w:r>
        <w:rPr>
          <w:rFonts w:hint="eastAsia" w:ascii="宋体" w:hAnsi="宋体" w:eastAsia="宋体" w:cs="宋体"/>
          <w:b/>
          <w:bCs/>
          <w:color w:val="auto"/>
          <w:spacing w:val="6"/>
          <w:sz w:val="21"/>
          <w:szCs w:val="21"/>
          <w:highlight w:val="none"/>
        </w:rPr>
        <w:t xml:space="preserve">  </w:t>
      </w:r>
      <w:r>
        <w:rPr>
          <w:rFonts w:hint="eastAsia" w:ascii="宋体" w:hAnsi="宋体" w:eastAsia="宋体" w:cs="宋体"/>
          <w:b/>
          <w:bCs/>
          <w:color w:val="auto"/>
          <w:spacing w:val="-5"/>
          <w:sz w:val="21"/>
          <w:szCs w:val="21"/>
          <w:highlight w:val="none"/>
        </w:rPr>
        <w:t>词语定义</w:t>
      </w:r>
    </w:p>
    <w:p w14:paraId="5215B2E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通用合同条款、专用合同条款中的下列词语应具有本款所赋予的含义。</w:t>
      </w:r>
    </w:p>
    <w:p w14:paraId="52B8B96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1.1.1</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rPr>
        <w:t>合同</w:t>
      </w:r>
    </w:p>
    <w:p w14:paraId="248DAF0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 合同文件（或称合同</w:t>
      </w:r>
      <w:r>
        <w:rPr>
          <w:rFonts w:hint="eastAsia" w:ascii="宋体" w:hAnsi="宋体" w:eastAsia="宋体" w:cs="宋体"/>
          <w:color w:val="auto"/>
          <w:spacing w:val="-46"/>
          <w:sz w:val="21"/>
          <w:szCs w:val="21"/>
          <w:highlight w:val="none"/>
        </w:rPr>
        <w:t>）：</w:t>
      </w:r>
      <w:r>
        <w:rPr>
          <w:rFonts w:hint="eastAsia" w:ascii="宋体" w:hAnsi="宋体" w:eastAsia="宋体" w:cs="宋体"/>
          <w:color w:val="auto"/>
          <w:sz w:val="21"/>
          <w:szCs w:val="21"/>
          <w:highlight w:val="none"/>
        </w:rPr>
        <w:t>指合同协议书及各种合同附件、中标通知书、</w:t>
      </w:r>
      <w:r>
        <w:rPr>
          <w:rFonts w:hint="eastAsia" w:ascii="宋体" w:hAnsi="宋体" w:eastAsia="宋体" w:cs="宋体"/>
          <w:color w:val="auto"/>
          <w:spacing w:val="1"/>
          <w:sz w:val="21"/>
          <w:szCs w:val="21"/>
          <w:highlight w:val="none"/>
        </w:rPr>
        <w:t>投标函、专用合同条款、通用合同条款、发包人要</w:t>
      </w:r>
      <w:r>
        <w:rPr>
          <w:rFonts w:hint="eastAsia" w:ascii="宋体" w:hAnsi="宋体" w:eastAsia="宋体" w:cs="宋体"/>
          <w:color w:val="auto"/>
          <w:sz w:val="21"/>
          <w:szCs w:val="21"/>
          <w:highlight w:val="none"/>
        </w:rPr>
        <w:t>求、勘察设计费用清单，以及其</w:t>
      </w:r>
      <w:r>
        <w:rPr>
          <w:rFonts w:hint="eastAsia" w:ascii="宋体" w:hAnsi="宋体" w:eastAsia="宋体" w:cs="宋体"/>
          <w:color w:val="auto"/>
          <w:spacing w:val="-4"/>
          <w:sz w:val="21"/>
          <w:szCs w:val="21"/>
          <w:highlight w:val="none"/>
        </w:rPr>
        <w:t>他构成合同组成部分的文件。</w:t>
      </w:r>
    </w:p>
    <w:p w14:paraId="10CC7DD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1.1.1.2 合同协议书：指发包人和设计人共同签署的合同协议书。</w:t>
      </w:r>
    </w:p>
    <w:p w14:paraId="4B4433E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1.1.1.3</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3"/>
          <w:sz w:val="21"/>
          <w:szCs w:val="21"/>
          <w:highlight w:val="none"/>
        </w:rPr>
        <w:t>中标通知书：指发包人通知设计</w:t>
      </w:r>
      <w:r>
        <w:rPr>
          <w:rFonts w:hint="eastAsia" w:ascii="宋体" w:hAnsi="宋体" w:eastAsia="宋体" w:cs="宋体"/>
          <w:color w:val="auto"/>
          <w:spacing w:val="-4"/>
          <w:sz w:val="21"/>
          <w:szCs w:val="21"/>
          <w:highlight w:val="none"/>
        </w:rPr>
        <w:t>人中标的函件。</w:t>
      </w:r>
    </w:p>
    <w:p w14:paraId="3BD116B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1.1.1.4 投标函：指由设计人填写并签署的，名为“投标函”的函件。</w:t>
      </w:r>
    </w:p>
    <w:p w14:paraId="23062DA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1.1.1.5 发包人要求：指合同文件中名为“发包人要求”的文件。</w:t>
      </w:r>
    </w:p>
    <w:p w14:paraId="31F12E8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1.1.1.6 技术建议书：指设计人投标文件中的技术建议书。</w:t>
      </w:r>
    </w:p>
    <w:p w14:paraId="32B8EC1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1.1.1.7 勘察设计费用清单：指设计人投标文件中的勘察设计费用清单。</w:t>
      </w:r>
    </w:p>
    <w:p w14:paraId="5E98BEF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1.1.1.8 其他合同文件：指经合同双方当事人确认构成合同文件的其他文件。</w:t>
      </w:r>
    </w:p>
    <w:p w14:paraId="4171038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1.1.2  合同当事人和人员</w:t>
      </w:r>
    </w:p>
    <w:p w14:paraId="271A617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1.1.2.1 合同当事人：指发包人</w:t>
      </w:r>
      <w:r>
        <w:rPr>
          <w:rFonts w:hint="eastAsia" w:ascii="宋体" w:hAnsi="宋体" w:eastAsia="宋体" w:cs="宋体"/>
          <w:color w:val="auto"/>
          <w:spacing w:val="-3"/>
          <w:sz w:val="21"/>
          <w:szCs w:val="21"/>
          <w:highlight w:val="none"/>
        </w:rPr>
        <w:t>和（或）设计人。</w:t>
      </w:r>
    </w:p>
    <w:p w14:paraId="797D7F8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1.1.2.2 发包人：指与设计人签订合同协议书的当</w:t>
      </w:r>
      <w:r>
        <w:rPr>
          <w:rFonts w:hint="eastAsia" w:ascii="宋体" w:hAnsi="宋体" w:eastAsia="宋体" w:cs="宋体"/>
          <w:color w:val="auto"/>
          <w:spacing w:val="-2"/>
          <w:sz w:val="21"/>
          <w:szCs w:val="21"/>
          <w:highlight w:val="none"/>
        </w:rPr>
        <w:t>事人，以及取得该当事人资格</w:t>
      </w:r>
      <w:r>
        <w:rPr>
          <w:rFonts w:hint="eastAsia" w:ascii="宋体" w:hAnsi="宋体" w:eastAsia="宋体" w:cs="宋体"/>
          <w:color w:val="auto"/>
          <w:spacing w:val="-9"/>
          <w:sz w:val="21"/>
          <w:szCs w:val="21"/>
          <w:highlight w:val="none"/>
        </w:rPr>
        <w:t>的合法继承人。</w:t>
      </w:r>
    </w:p>
    <w:p w14:paraId="1EF75B7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1.1.2.3 设计人：指与发包人签订合同协议书的当</w:t>
      </w:r>
      <w:r>
        <w:rPr>
          <w:rFonts w:hint="eastAsia" w:ascii="宋体" w:hAnsi="宋体" w:eastAsia="宋体" w:cs="宋体"/>
          <w:color w:val="auto"/>
          <w:spacing w:val="-2"/>
          <w:sz w:val="21"/>
          <w:szCs w:val="21"/>
          <w:highlight w:val="none"/>
        </w:rPr>
        <w:t>事人，以及取得该当事人资格的合法继承人。若设计人为联合体，则设计人包括联合体所有成员单位。</w:t>
      </w:r>
    </w:p>
    <w:p w14:paraId="2E3B4C9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1.1.2.4 发包人代表：指由发包人任命，并在授</w:t>
      </w:r>
      <w:r>
        <w:rPr>
          <w:rFonts w:hint="eastAsia" w:ascii="宋体" w:hAnsi="宋体" w:eastAsia="宋体" w:cs="宋体"/>
          <w:color w:val="auto"/>
          <w:spacing w:val="-2"/>
          <w:sz w:val="21"/>
          <w:szCs w:val="21"/>
          <w:highlight w:val="none"/>
        </w:rPr>
        <w:t>权范围和期限内代表发包人行使</w:t>
      </w:r>
      <w:r>
        <w:rPr>
          <w:rFonts w:hint="eastAsia" w:ascii="宋体" w:hAnsi="宋体" w:eastAsia="宋体" w:cs="宋体"/>
          <w:color w:val="auto"/>
          <w:spacing w:val="-3"/>
          <w:sz w:val="21"/>
          <w:szCs w:val="21"/>
          <w:highlight w:val="none"/>
        </w:rPr>
        <w:t>权利和履行义务的全权负责人。</w:t>
      </w:r>
    </w:p>
    <w:p w14:paraId="288A589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1.1.2.5 项目负责人：指由设计人任命，代表设</w:t>
      </w:r>
      <w:r>
        <w:rPr>
          <w:rFonts w:hint="eastAsia" w:ascii="宋体" w:hAnsi="宋体" w:eastAsia="宋体" w:cs="宋体"/>
          <w:color w:val="auto"/>
          <w:spacing w:val="-2"/>
          <w:sz w:val="21"/>
          <w:szCs w:val="21"/>
          <w:highlight w:val="none"/>
        </w:rPr>
        <w:t>计人行使权利和履行义务的全权</w:t>
      </w:r>
      <w:r>
        <w:rPr>
          <w:rFonts w:hint="eastAsia" w:ascii="宋体" w:hAnsi="宋体" w:eastAsia="宋体" w:cs="宋体"/>
          <w:color w:val="auto"/>
          <w:spacing w:val="-11"/>
          <w:sz w:val="21"/>
          <w:szCs w:val="21"/>
          <w:highlight w:val="none"/>
        </w:rPr>
        <w:t>负责人。</w:t>
      </w:r>
    </w:p>
    <w:p w14:paraId="19459E2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1.1.2.6 分项负责人：指由设计人任命，并经过发包人认可的各专业负责人。</w:t>
      </w:r>
    </w:p>
    <w:p w14:paraId="14FA948E">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1.1.2.7 分包人：指从设计人处分包合同中某一</w:t>
      </w:r>
      <w:r>
        <w:rPr>
          <w:rFonts w:hint="eastAsia" w:ascii="宋体" w:hAnsi="宋体" w:eastAsia="宋体" w:cs="宋体"/>
          <w:color w:val="auto"/>
          <w:spacing w:val="-2"/>
          <w:sz w:val="21"/>
          <w:szCs w:val="21"/>
          <w:highlight w:val="none"/>
        </w:rPr>
        <w:t>部分工作，并与其签订分包合同</w:t>
      </w:r>
      <w:r>
        <w:rPr>
          <w:rFonts w:hint="eastAsia" w:ascii="宋体" w:hAnsi="宋体" w:eastAsia="宋体" w:cs="宋体"/>
          <w:color w:val="auto"/>
          <w:spacing w:val="-8"/>
          <w:sz w:val="21"/>
          <w:szCs w:val="21"/>
          <w:highlight w:val="none"/>
        </w:rPr>
        <w:t>的单位。</w:t>
      </w:r>
    </w:p>
    <w:p w14:paraId="21785E3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1.1.2.8 咨询单位：指受发包人委托对本工程勘</w:t>
      </w:r>
      <w:r>
        <w:rPr>
          <w:rFonts w:hint="eastAsia" w:ascii="宋体" w:hAnsi="宋体" w:eastAsia="宋体" w:cs="宋体"/>
          <w:color w:val="auto"/>
          <w:spacing w:val="-2"/>
          <w:sz w:val="21"/>
          <w:szCs w:val="21"/>
          <w:highlight w:val="none"/>
        </w:rPr>
        <w:t>察设计文件进行审查或提供咨询</w:t>
      </w:r>
      <w:r>
        <w:rPr>
          <w:rFonts w:hint="eastAsia" w:ascii="宋体" w:hAnsi="宋体" w:eastAsia="宋体" w:cs="宋体"/>
          <w:color w:val="auto"/>
          <w:spacing w:val="-6"/>
          <w:sz w:val="21"/>
          <w:szCs w:val="21"/>
          <w:highlight w:val="none"/>
        </w:rPr>
        <w:t>意见的咨询机构。</w:t>
      </w:r>
    </w:p>
    <w:p w14:paraId="5B7D732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1.1.3 工程和勘察设计</w:t>
      </w:r>
    </w:p>
    <w:p w14:paraId="1ED6C20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1.1.3.1 工程：指专用合同条款中指明进行勘察设计招标的工程。</w:t>
      </w:r>
    </w:p>
    <w:p w14:paraId="3E1ED08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1.1.3.2 勘察设计服务：指设计人按照合同约定履行</w:t>
      </w:r>
      <w:r>
        <w:rPr>
          <w:rFonts w:hint="eastAsia" w:ascii="宋体" w:hAnsi="宋体" w:eastAsia="宋体" w:cs="宋体"/>
          <w:color w:val="auto"/>
          <w:spacing w:val="-2"/>
          <w:sz w:val="21"/>
          <w:szCs w:val="21"/>
          <w:highlight w:val="none"/>
        </w:rPr>
        <w:t>的服务，包括制订勘察设计</w:t>
      </w:r>
      <w:r>
        <w:rPr>
          <w:rFonts w:hint="eastAsia" w:ascii="宋体" w:hAnsi="宋体" w:eastAsia="宋体" w:cs="宋体"/>
          <w:color w:val="auto"/>
          <w:spacing w:val="1"/>
          <w:sz w:val="21"/>
          <w:szCs w:val="21"/>
          <w:highlight w:val="none"/>
        </w:rPr>
        <w:t>工作大纲，进行测绘、勘探、取样和试验等</w:t>
      </w:r>
      <w:r>
        <w:rPr>
          <w:rFonts w:hint="eastAsia" w:ascii="宋体" w:hAnsi="宋体" w:eastAsia="宋体" w:cs="宋体"/>
          <w:color w:val="auto"/>
          <w:sz w:val="21"/>
          <w:szCs w:val="21"/>
          <w:highlight w:val="none"/>
        </w:rPr>
        <w:t>，查明、分析和评估地质特征和工程条</w:t>
      </w:r>
      <w:r>
        <w:rPr>
          <w:rFonts w:hint="eastAsia" w:ascii="宋体" w:hAnsi="宋体" w:eastAsia="宋体" w:cs="宋体"/>
          <w:color w:val="auto"/>
          <w:spacing w:val="1"/>
          <w:sz w:val="21"/>
          <w:szCs w:val="21"/>
          <w:highlight w:val="none"/>
        </w:rPr>
        <w:t>件，编制勘察报告；编制设计文件和设计概算、预算</w:t>
      </w:r>
      <w:r>
        <w:rPr>
          <w:rFonts w:hint="eastAsia" w:ascii="宋体" w:hAnsi="宋体" w:eastAsia="宋体" w:cs="宋体"/>
          <w:color w:val="auto"/>
          <w:sz w:val="21"/>
          <w:szCs w:val="21"/>
          <w:highlight w:val="none"/>
        </w:rPr>
        <w:t>，提供技术交底、招标与施工</w:t>
      </w:r>
      <w:r>
        <w:rPr>
          <w:rFonts w:hint="eastAsia" w:ascii="宋体" w:hAnsi="宋体" w:eastAsia="宋体" w:cs="宋体"/>
          <w:color w:val="auto"/>
          <w:spacing w:val="-2"/>
          <w:sz w:val="21"/>
          <w:szCs w:val="21"/>
          <w:highlight w:val="none"/>
        </w:rPr>
        <w:t>配合，参加交工验收、参加竣工验收或发包人委托的其他服务。</w:t>
      </w:r>
    </w:p>
    <w:p w14:paraId="610DEC2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1.1.3.3 勘察设备：指为完成合同</w:t>
      </w:r>
      <w:r>
        <w:rPr>
          <w:rFonts w:hint="eastAsia" w:ascii="宋体" w:hAnsi="宋体" w:eastAsia="宋体" w:cs="宋体"/>
          <w:color w:val="auto"/>
          <w:spacing w:val="-6"/>
          <w:sz w:val="21"/>
          <w:szCs w:val="21"/>
          <w:highlight w:val="none"/>
        </w:rPr>
        <w:t>约定的各项工作所需的设备、器具和其他物品，</w:t>
      </w:r>
      <w:r>
        <w:rPr>
          <w:rFonts w:hint="eastAsia" w:ascii="宋体" w:hAnsi="宋体" w:eastAsia="宋体" w:cs="宋体"/>
          <w:color w:val="auto"/>
          <w:spacing w:val="-4"/>
          <w:sz w:val="21"/>
          <w:szCs w:val="21"/>
          <w:highlight w:val="none"/>
        </w:rPr>
        <w:t>不包括临时工程和材料。</w:t>
      </w:r>
    </w:p>
    <w:p w14:paraId="76C2DCD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1.1.3.4 勘探场地：指用于工程勘探的场所，以</w:t>
      </w:r>
      <w:r>
        <w:rPr>
          <w:rFonts w:hint="eastAsia" w:ascii="宋体" w:hAnsi="宋体" w:eastAsia="宋体" w:cs="宋体"/>
          <w:color w:val="auto"/>
          <w:spacing w:val="-2"/>
          <w:sz w:val="21"/>
          <w:szCs w:val="21"/>
          <w:highlight w:val="none"/>
        </w:rPr>
        <w:t>及在合同中指定作为勘探场地组</w:t>
      </w:r>
      <w:r>
        <w:rPr>
          <w:rFonts w:hint="eastAsia" w:ascii="宋体" w:hAnsi="宋体" w:eastAsia="宋体" w:cs="宋体"/>
          <w:color w:val="auto"/>
          <w:spacing w:val="-6"/>
          <w:sz w:val="21"/>
          <w:szCs w:val="21"/>
          <w:highlight w:val="none"/>
        </w:rPr>
        <w:t>成的其他场所。</w:t>
      </w:r>
    </w:p>
    <w:p w14:paraId="35EABBC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1.1.3.5 勘察设计资料：指发包人按合同约定向设</w:t>
      </w:r>
      <w:r>
        <w:rPr>
          <w:rFonts w:hint="eastAsia" w:ascii="宋体" w:hAnsi="宋体" w:eastAsia="宋体" w:cs="宋体"/>
          <w:color w:val="auto"/>
          <w:spacing w:val="-2"/>
          <w:sz w:val="21"/>
          <w:szCs w:val="21"/>
          <w:highlight w:val="none"/>
        </w:rPr>
        <w:t>计人提供的、用于完成勘察设</w:t>
      </w:r>
      <w:r>
        <w:rPr>
          <w:rFonts w:hint="eastAsia" w:ascii="宋体" w:hAnsi="宋体" w:eastAsia="宋体" w:cs="宋体"/>
          <w:color w:val="auto"/>
          <w:spacing w:val="-3"/>
          <w:sz w:val="21"/>
          <w:szCs w:val="21"/>
          <w:highlight w:val="none"/>
        </w:rPr>
        <w:t>计服务范围与内容所需的资料。</w:t>
      </w:r>
    </w:p>
    <w:p w14:paraId="1A9BEAE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1.1.3.6 勘察设计文件：指设计人按合同约定向发</w:t>
      </w:r>
      <w:r>
        <w:rPr>
          <w:rFonts w:hint="eastAsia" w:ascii="宋体" w:hAnsi="宋体" w:eastAsia="宋体" w:cs="宋体"/>
          <w:color w:val="auto"/>
          <w:spacing w:val="-2"/>
          <w:sz w:val="21"/>
          <w:szCs w:val="21"/>
          <w:highlight w:val="none"/>
        </w:rPr>
        <w:t>包人提交的工程勘察报告、服</w:t>
      </w:r>
      <w:r>
        <w:rPr>
          <w:rFonts w:hint="eastAsia" w:ascii="宋体" w:hAnsi="宋体" w:eastAsia="宋体" w:cs="宋体"/>
          <w:color w:val="auto"/>
          <w:sz w:val="21"/>
          <w:szCs w:val="21"/>
          <w:highlight w:val="none"/>
        </w:rPr>
        <w:t>务大纲、勘察方案、外业指导书、进度计划，设计说明、图纸、图板、模型、计算</w:t>
      </w:r>
      <w:r>
        <w:rPr>
          <w:rFonts w:hint="eastAsia" w:ascii="宋体" w:hAnsi="宋体" w:eastAsia="宋体" w:cs="宋体"/>
          <w:color w:val="auto"/>
          <w:spacing w:val="1"/>
          <w:sz w:val="21"/>
          <w:szCs w:val="21"/>
          <w:highlight w:val="none"/>
        </w:rPr>
        <w:t>书、软件和其他文件等，包括阶段性文件和最终</w:t>
      </w:r>
      <w:r>
        <w:rPr>
          <w:rFonts w:hint="eastAsia" w:ascii="宋体" w:hAnsi="宋体" w:eastAsia="宋体" w:cs="宋体"/>
          <w:color w:val="auto"/>
          <w:sz w:val="21"/>
          <w:szCs w:val="21"/>
          <w:highlight w:val="none"/>
        </w:rPr>
        <w:t>文件，且应采用合同中双方约定的</w:t>
      </w:r>
      <w:r>
        <w:rPr>
          <w:rFonts w:hint="eastAsia" w:ascii="宋体" w:hAnsi="宋体" w:eastAsia="宋体" w:cs="宋体"/>
          <w:color w:val="auto"/>
          <w:spacing w:val="-7"/>
          <w:sz w:val="21"/>
          <w:szCs w:val="21"/>
          <w:highlight w:val="none"/>
        </w:rPr>
        <w:t>格式和载体。</w:t>
      </w:r>
    </w:p>
    <w:p w14:paraId="20FF38E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1.1.4  日期</w:t>
      </w:r>
    </w:p>
    <w:p w14:paraId="1A47053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1.1.4.1 开始勘察设计通知：指发包人按第</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1"/>
          <w:sz w:val="21"/>
          <w:szCs w:val="21"/>
          <w:highlight w:val="none"/>
        </w:rPr>
        <w:t>6.1</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1"/>
          <w:sz w:val="21"/>
          <w:szCs w:val="21"/>
          <w:highlight w:val="none"/>
        </w:rPr>
        <w:t>款通知设计人</w:t>
      </w:r>
      <w:r>
        <w:rPr>
          <w:rFonts w:hint="eastAsia" w:ascii="宋体" w:hAnsi="宋体" w:eastAsia="宋体" w:cs="宋体"/>
          <w:color w:val="auto"/>
          <w:spacing w:val="-2"/>
          <w:sz w:val="21"/>
          <w:szCs w:val="21"/>
          <w:highlight w:val="none"/>
        </w:rPr>
        <w:t>开始勘察设计的函</w:t>
      </w:r>
      <w:r>
        <w:rPr>
          <w:rFonts w:hint="eastAsia" w:ascii="宋体" w:hAnsi="宋体" w:eastAsia="宋体" w:cs="宋体"/>
          <w:color w:val="auto"/>
          <w:spacing w:val="-11"/>
          <w:sz w:val="21"/>
          <w:szCs w:val="21"/>
          <w:highlight w:val="none"/>
        </w:rPr>
        <w:t>件。</w:t>
      </w:r>
    </w:p>
    <w:p w14:paraId="3A39349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1.1.4.2 开始勘察设计日期：指发包人按第</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1"/>
          <w:sz w:val="21"/>
          <w:szCs w:val="21"/>
          <w:highlight w:val="none"/>
        </w:rPr>
        <w:t>6.1</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1"/>
          <w:sz w:val="21"/>
          <w:szCs w:val="21"/>
          <w:highlight w:val="none"/>
        </w:rPr>
        <w:t>款发出的开始</w:t>
      </w:r>
      <w:r>
        <w:rPr>
          <w:rFonts w:hint="eastAsia" w:ascii="宋体" w:hAnsi="宋体" w:eastAsia="宋体" w:cs="宋体"/>
          <w:color w:val="auto"/>
          <w:spacing w:val="-2"/>
          <w:sz w:val="21"/>
          <w:szCs w:val="21"/>
          <w:highlight w:val="none"/>
        </w:rPr>
        <w:t>勘察设计通知中写</w:t>
      </w:r>
      <w:r>
        <w:rPr>
          <w:rFonts w:hint="eastAsia" w:ascii="宋体" w:hAnsi="宋体" w:eastAsia="宋体" w:cs="宋体"/>
          <w:color w:val="auto"/>
          <w:spacing w:val="-6"/>
          <w:sz w:val="21"/>
          <w:szCs w:val="21"/>
          <w:highlight w:val="none"/>
        </w:rPr>
        <w:t>明的开始勘察设计日期。</w:t>
      </w:r>
    </w:p>
    <w:p w14:paraId="693206D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1.1.4.3 勘察设计服务期限：指设计人在投标函中承</w:t>
      </w:r>
      <w:r>
        <w:rPr>
          <w:rFonts w:hint="eastAsia" w:ascii="宋体" w:hAnsi="宋体" w:eastAsia="宋体" w:cs="宋体"/>
          <w:color w:val="auto"/>
          <w:spacing w:val="-2"/>
          <w:sz w:val="21"/>
          <w:szCs w:val="21"/>
          <w:highlight w:val="none"/>
        </w:rPr>
        <w:t>诺的完成合同勘察设计服务所需的期限，包括按第</w:t>
      </w:r>
      <w:r>
        <w:rPr>
          <w:rFonts w:hint="eastAsia" w:ascii="宋体" w:hAnsi="宋体" w:eastAsia="宋体" w:cs="宋体"/>
          <w:color w:val="auto"/>
          <w:spacing w:val="-49"/>
          <w:sz w:val="21"/>
          <w:szCs w:val="21"/>
          <w:highlight w:val="none"/>
        </w:rPr>
        <w:t xml:space="preserve"> </w:t>
      </w:r>
      <w:r>
        <w:rPr>
          <w:rFonts w:hint="eastAsia" w:ascii="宋体" w:hAnsi="宋体" w:eastAsia="宋体" w:cs="宋体"/>
          <w:color w:val="auto"/>
          <w:spacing w:val="-2"/>
          <w:sz w:val="21"/>
          <w:szCs w:val="21"/>
          <w:highlight w:val="none"/>
        </w:rPr>
        <w:t>6.2 款、第</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6.4 款、第</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2"/>
          <w:sz w:val="21"/>
          <w:szCs w:val="21"/>
          <w:highlight w:val="none"/>
        </w:rPr>
        <w:t>6.5 款和第</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6.7</w:t>
      </w:r>
      <w:r>
        <w:rPr>
          <w:rFonts w:hint="eastAsia" w:ascii="宋体" w:hAnsi="宋体" w:eastAsia="宋体" w:cs="宋体"/>
          <w:color w:val="auto"/>
          <w:spacing w:val="-3"/>
          <w:sz w:val="21"/>
          <w:szCs w:val="21"/>
          <w:highlight w:val="none"/>
        </w:rPr>
        <w:t xml:space="preserve"> 款约定所作的调整。</w:t>
      </w:r>
    </w:p>
    <w:p w14:paraId="48C923F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1.1.4.4 完成勘察设计日期：指第</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"1.1.4.3"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pacing w:val="-5"/>
          <w:sz w:val="21"/>
          <w:szCs w:val="21"/>
          <w:highlight w:val="none"/>
        </w:rPr>
        <w:t>1.1.4.3</w:t>
      </w:r>
      <w:r>
        <w:rPr>
          <w:rFonts w:hint="eastAsia" w:ascii="宋体" w:hAnsi="宋体" w:eastAsia="宋体" w:cs="宋体"/>
          <w:color w:val="auto"/>
          <w:spacing w:val="-5"/>
          <w:sz w:val="21"/>
          <w:szCs w:val="21"/>
          <w:highlight w:val="none"/>
        </w:rPr>
        <w:fldChar w:fldCharType="end"/>
      </w:r>
      <w:r>
        <w:rPr>
          <w:rFonts w:hint="eastAsia" w:ascii="宋体" w:hAnsi="宋体" w:eastAsia="宋体" w:cs="宋体"/>
          <w:color w:val="auto"/>
          <w:spacing w:val="-5"/>
          <w:sz w:val="21"/>
          <w:szCs w:val="21"/>
          <w:highlight w:val="none"/>
        </w:rPr>
        <w:t xml:space="preserve">  目约定勘察设计服务期限届满时的日期。</w:t>
      </w:r>
    </w:p>
    <w:p w14:paraId="41A6350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1.1.4.5 基准日：指投标截止时间前</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3"/>
          <w:sz w:val="21"/>
          <w:szCs w:val="21"/>
          <w:highlight w:val="none"/>
        </w:rPr>
        <w:t>28</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3"/>
          <w:sz w:val="21"/>
          <w:szCs w:val="21"/>
          <w:highlight w:val="none"/>
        </w:rPr>
        <w:t>天的日期。</w:t>
      </w:r>
    </w:p>
    <w:p w14:paraId="66473449">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1.1.4.6 天：除特别指明外，指日历天。合同中</w:t>
      </w:r>
      <w:r>
        <w:rPr>
          <w:rFonts w:hint="eastAsia" w:ascii="宋体" w:hAnsi="宋体" w:eastAsia="宋体" w:cs="宋体"/>
          <w:color w:val="auto"/>
          <w:spacing w:val="-2"/>
          <w:sz w:val="21"/>
          <w:szCs w:val="21"/>
          <w:highlight w:val="none"/>
        </w:rPr>
        <w:t>按天计算时间的，开始当天不计</w:t>
      </w:r>
      <w:r>
        <w:rPr>
          <w:rFonts w:hint="eastAsia" w:ascii="宋体" w:hAnsi="宋体" w:eastAsia="宋体" w:cs="宋体"/>
          <w:color w:val="auto"/>
          <w:spacing w:val="-1"/>
          <w:sz w:val="21"/>
          <w:szCs w:val="21"/>
          <w:highlight w:val="none"/>
        </w:rPr>
        <w:t>入，从次日开始计算。期限最后一天的截止时间为当天</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1"/>
          <w:sz w:val="21"/>
          <w:szCs w:val="21"/>
          <w:highlight w:val="none"/>
        </w:rPr>
        <w:t>24:00。</w:t>
      </w:r>
    </w:p>
    <w:p w14:paraId="5586944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1.1.5 合同价格和费用</w:t>
      </w:r>
    </w:p>
    <w:p w14:paraId="138AC84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1.1.5.1 签约合同价：指签订合同时合同协议书中写</w:t>
      </w:r>
      <w:r>
        <w:rPr>
          <w:rFonts w:hint="eastAsia" w:ascii="宋体" w:hAnsi="宋体" w:eastAsia="宋体" w:cs="宋体"/>
          <w:color w:val="auto"/>
          <w:spacing w:val="-2"/>
          <w:sz w:val="21"/>
          <w:szCs w:val="21"/>
          <w:highlight w:val="none"/>
        </w:rPr>
        <w:t>明的、包括暂列金额在内的</w:t>
      </w:r>
      <w:r>
        <w:rPr>
          <w:rFonts w:hint="eastAsia" w:ascii="宋体" w:hAnsi="宋体" w:eastAsia="宋体" w:cs="宋体"/>
          <w:color w:val="auto"/>
          <w:spacing w:val="-4"/>
          <w:sz w:val="21"/>
          <w:szCs w:val="21"/>
          <w:highlight w:val="none"/>
        </w:rPr>
        <w:t>勘察设计费用总金额。</w:t>
      </w:r>
    </w:p>
    <w:p w14:paraId="50BD407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1.1.5.2 合同价格：指设计人按合同约定完成了全</w:t>
      </w:r>
      <w:r>
        <w:rPr>
          <w:rFonts w:hint="eastAsia" w:ascii="宋体" w:hAnsi="宋体" w:eastAsia="宋体" w:cs="宋体"/>
          <w:color w:val="auto"/>
          <w:spacing w:val="-2"/>
          <w:sz w:val="21"/>
          <w:szCs w:val="21"/>
          <w:highlight w:val="none"/>
        </w:rPr>
        <w:t>部勘察设计工作后，发包人应</w:t>
      </w:r>
      <w:r>
        <w:rPr>
          <w:rFonts w:hint="eastAsia" w:ascii="宋体" w:hAnsi="宋体" w:eastAsia="宋体" w:cs="宋体"/>
          <w:color w:val="auto"/>
          <w:spacing w:val="-1"/>
          <w:sz w:val="21"/>
          <w:szCs w:val="21"/>
          <w:highlight w:val="none"/>
        </w:rPr>
        <w:t>付给设计人的金额，包括在履行合同过程中按合同</w:t>
      </w:r>
      <w:r>
        <w:rPr>
          <w:rFonts w:hint="eastAsia" w:ascii="宋体" w:hAnsi="宋体" w:eastAsia="宋体" w:cs="宋体"/>
          <w:color w:val="auto"/>
          <w:spacing w:val="-2"/>
          <w:sz w:val="21"/>
          <w:szCs w:val="21"/>
          <w:highlight w:val="none"/>
        </w:rPr>
        <w:t>约定进行的变更和调整。</w:t>
      </w:r>
    </w:p>
    <w:p w14:paraId="3436E7D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1.1.5.3 费用：指为履行合同所发生的或将要发</w:t>
      </w:r>
      <w:r>
        <w:rPr>
          <w:rFonts w:hint="eastAsia" w:ascii="宋体" w:hAnsi="宋体" w:eastAsia="宋体" w:cs="宋体"/>
          <w:color w:val="auto"/>
          <w:spacing w:val="-2"/>
          <w:sz w:val="21"/>
          <w:szCs w:val="21"/>
          <w:highlight w:val="none"/>
        </w:rPr>
        <w:t>生的所有合理开支，包括管理费</w:t>
      </w:r>
      <w:r>
        <w:rPr>
          <w:rFonts w:hint="eastAsia" w:ascii="宋体" w:hAnsi="宋体" w:eastAsia="宋体" w:cs="宋体"/>
          <w:color w:val="auto"/>
          <w:spacing w:val="-3"/>
          <w:sz w:val="21"/>
          <w:szCs w:val="21"/>
          <w:highlight w:val="none"/>
        </w:rPr>
        <w:t>和应分摊的其他费用，但不包括利润。</w:t>
      </w:r>
    </w:p>
    <w:p w14:paraId="1881E0E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1.1.5.4 暂列金额：指暂时未定的，包括在合同中，并在</w:t>
      </w:r>
      <w:r>
        <w:rPr>
          <w:rFonts w:hint="eastAsia" w:ascii="宋体" w:hAnsi="宋体" w:eastAsia="宋体" w:cs="宋体"/>
          <w:color w:val="auto"/>
          <w:spacing w:val="-2"/>
          <w:sz w:val="21"/>
          <w:szCs w:val="21"/>
          <w:highlight w:val="none"/>
        </w:rPr>
        <w:t>报价清单汇总表中以此</w:t>
      </w:r>
      <w:r>
        <w:rPr>
          <w:rFonts w:hint="eastAsia" w:ascii="宋体" w:hAnsi="宋体" w:eastAsia="宋体" w:cs="宋体"/>
          <w:color w:val="auto"/>
          <w:sz w:val="21"/>
          <w:szCs w:val="21"/>
          <w:highlight w:val="none"/>
        </w:rPr>
        <w:t>名称标明的金额，用于进行本工程可能发生的额外勘察设计工作或作为不可预见费</w:t>
      </w:r>
      <w:r>
        <w:rPr>
          <w:rFonts w:hint="eastAsia" w:ascii="宋体" w:hAnsi="宋体" w:eastAsia="宋体" w:cs="宋体"/>
          <w:color w:val="auto"/>
          <w:spacing w:val="-4"/>
          <w:sz w:val="21"/>
          <w:szCs w:val="21"/>
          <w:highlight w:val="none"/>
        </w:rPr>
        <w:t>用，按照合同条款第 12.5 款的规定使用。</w:t>
      </w:r>
    </w:p>
    <w:p w14:paraId="4ACA263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1.1.6</w:t>
      </w:r>
      <w:r>
        <w:rPr>
          <w:rFonts w:hint="eastAsia" w:ascii="宋体" w:hAnsi="宋体" w:eastAsia="宋体" w:cs="宋体"/>
          <w:color w:val="auto"/>
          <w:spacing w:val="5"/>
          <w:sz w:val="21"/>
          <w:szCs w:val="21"/>
          <w:highlight w:val="none"/>
        </w:rPr>
        <w:t xml:space="preserve"> </w:t>
      </w:r>
      <w:r>
        <w:rPr>
          <w:rFonts w:hint="eastAsia" w:ascii="宋体" w:hAnsi="宋体" w:eastAsia="宋体" w:cs="宋体"/>
          <w:color w:val="auto"/>
          <w:spacing w:val="-5"/>
          <w:sz w:val="21"/>
          <w:szCs w:val="21"/>
          <w:highlight w:val="none"/>
        </w:rPr>
        <w:t>其他</w:t>
      </w:r>
    </w:p>
    <w:p w14:paraId="7863F2B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1.1.6.1 书面形式：指合同文件、信件和数</w:t>
      </w:r>
      <w:r>
        <w:rPr>
          <w:rFonts w:hint="eastAsia" w:ascii="宋体" w:hAnsi="宋体" w:eastAsia="宋体" w:cs="宋体"/>
          <w:color w:val="auto"/>
          <w:spacing w:val="-2"/>
          <w:sz w:val="21"/>
          <w:szCs w:val="21"/>
          <w:highlight w:val="none"/>
        </w:rPr>
        <w:t>据电文（包括电报、电传、传真、电子数据交换和电子邮件）等可以有形地表现所载内容的形式。</w:t>
      </w:r>
    </w:p>
    <w:p w14:paraId="1F88BD0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1.1.6.2 勘察设计质量事故：指在缺陷责任期结束</w:t>
      </w:r>
      <w:r>
        <w:rPr>
          <w:rFonts w:hint="eastAsia" w:ascii="宋体" w:hAnsi="宋体" w:eastAsia="宋体" w:cs="宋体"/>
          <w:color w:val="auto"/>
          <w:spacing w:val="-2"/>
          <w:sz w:val="21"/>
          <w:szCs w:val="21"/>
          <w:highlight w:val="none"/>
        </w:rPr>
        <w:t>前，由于勘察设计原因使工程</w:t>
      </w:r>
      <w:r>
        <w:rPr>
          <w:rFonts w:hint="eastAsia" w:ascii="宋体" w:hAnsi="宋体" w:eastAsia="宋体" w:cs="宋体"/>
          <w:color w:val="auto"/>
          <w:spacing w:val="-1"/>
          <w:sz w:val="21"/>
          <w:szCs w:val="21"/>
          <w:highlight w:val="none"/>
        </w:rPr>
        <w:t>不满足技术标准及设计要求，并造成结构损毁或一定直接经济损失的事故。</w:t>
      </w:r>
    </w:p>
    <w:p w14:paraId="65D310D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6"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根据直接经济损失或工程结构损毁情况（自然灾害所致除外</w:t>
      </w:r>
      <w:r>
        <w:rPr>
          <w:rFonts w:hint="eastAsia" w:ascii="宋体" w:hAnsi="宋体" w:eastAsia="宋体" w:cs="宋体"/>
          <w:color w:val="auto"/>
          <w:spacing w:val="-9"/>
          <w:sz w:val="21"/>
          <w:szCs w:val="21"/>
          <w:highlight w:val="none"/>
        </w:rPr>
        <w:t>），</w:t>
      </w:r>
      <w:r>
        <w:rPr>
          <w:rFonts w:hint="eastAsia" w:ascii="宋体" w:hAnsi="宋体" w:eastAsia="宋体" w:cs="宋体"/>
          <w:color w:val="auto"/>
          <w:spacing w:val="-6"/>
          <w:sz w:val="21"/>
          <w:szCs w:val="21"/>
          <w:highlight w:val="none"/>
        </w:rPr>
        <w:t>勘察设计质量事故分为特别重大质量事故、重大质量事故、较大质量事故和一般质量事故四个等级，</w:t>
      </w:r>
      <w:r>
        <w:rPr>
          <w:rFonts w:hint="eastAsia" w:ascii="宋体" w:hAnsi="宋体" w:eastAsia="宋体" w:cs="宋体"/>
          <w:color w:val="auto"/>
          <w:spacing w:val="1"/>
          <w:sz w:val="21"/>
          <w:szCs w:val="21"/>
          <w:highlight w:val="none"/>
        </w:rPr>
        <w:t>上述质量事故的界定按交通运输部《公路水运</w:t>
      </w:r>
      <w:r>
        <w:rPr>
          <w:rFonts w:hint="eastAsia" w:ascii="宋体" w:hAnsi="宋体" w:eastAsia="宋体" w:cs="宋体"/>
          <w:color w:val="auto"/>
          <w:sz w:val="21"/>
          <w:szCs w:val="21"/>
          <w:highlight w:val="none"/>
        </w:rPr>
        <w:t>建设工程质量事故等级划分和报告制</w:t>
      </w:r>
      <w:r>
        <w:rPr>
          <w:rFonts w:hint="eastAsia" w:ascii="宋体" w:hAnsi="宋体" w:eastAsia="宋体" w:cs="宋体"/>
          <w:color w:val="auto"/>
          <w:spacing w:val="-6"/>
          <w:sz w:val="21"/>
          <w:szCs w:val="21"/>
          <w:highlight w:val="none"/>
        </w:rPr>
        <w:t>度》规定执行。</w:t>
      </w:r>
    </w:p>
    <w:p w14:paraId="515DBC4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1.2 语言文字</w:t>
      </w:r>
    </w:p>
    <w:p w14:paraId="285922E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合同使用的语言文字为中文。专用术语使用外文的，应附有中文注释。</w:t>
      </w:r>
    </w:p>
    <w:p w14:paraId="6D80029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1.3 适用法律</w:t>
      </w:r>
    </w:p>
    <w:p w14:paraId="3A143DA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适用于合同的法律包括中华人民共和国法律、行政法规、部门规章，以及工程</w:t>
      </w:r>
      <w:r>
        <w:rPr>
          <w:rFonts w:hint="eastAsia" w:ascii="宋体" w:hAnsi="宋体" w:eastAsia="宋体" w:cs="宋体"/>
          <w:color w:val="auto"/>
          <w:spacing w:val="-2"/>
          <w:sz w:val="21"/>
          <w:szCs w:val="21"/>
          <w:highlight w:val="none"/>
        </w:rPr>
        <w:t>所在地的地方</w:t>
      </w:r>
      <w:r>
        <w:rPr>
          <w:rFonts w:hint="eastAsia" w:ascii="宋体" w:hAnsi="宋体" w:eastAsia="宋体" w:cs="宋体"/>
          <w:color w:val="auto"/>
          <w:spacing w:val="-2"/>
          <w:sz w:val="21"/>
          <w:szCs w:val="21"/>
          <w:highlight w:val="none"/>
          <w:lang w:val="en-US" w:eastAsia="zh-CN"/>
        </w:rPr>
        <w:t>性</w:t>
      </w:r>
      <w:r>
        <w:rPr>
          <w:rFonts w:hint="eastAsia" w:ascii="宋体" w:hAnsi="宋体" w:eastAsia="宋体" w:cs="宋体"/>
          <w:color w:val="auto"/>
          <w:spacing w:val="-2"/>
          <w:sz w:val="21"/>
          <w:szCs w:val="21"/>
          <w:highlight w:val="none"/>
        </w:rPr>
        <w:t>法规、自治条例、单行条例和地方政府规章。</w:t>
      </w:r>
    </w:p>
    <w:p w14:paraId="5BD6506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本合同适用的其他规范性文件，可在专用合同条款中约定。</w:t>
      </w:r>
    </w:p>
    <w:p w14:paraId="003078F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1.4 合同文件的优先顺序</w:t>
      </w:r>
    </w:p>
    <w:p w14:paraId="3FEC2C36">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组成合同的各项文件应互相解释，互为说明。除专用合同条款另有约定外，解</w:t>
      </w:r>
      <w:r>
        <w:rPr>
          <w:rFonts w:hint="eastAsia" w:ascii="宋体" w:hAnsi="宋体" w:eastAsia="宋体" w:cs="宋体"/>
          <w:color w:val="auto"/>
          <w:spacing w:val="-5"/>
          <w:sz w:val="21"/>
          <w:szCs w:val="21"/>
          <w:highlight w:val="none"/>
        </w:rPr>
        <w:t>释合同文件的优先顺序如下：</w:t>
      </w:r>
    </w:p>
    <w:p w14:paraId="29B8DF2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（1）合同协议书及各种合同附件（含评标期间和合同谈判过程中的澄清文件和</w:t>
      </w:r>
      <w:r>
        <w:rPr>
          <w:rFonts w:hint="eastAsia" w:ascii="宋体" w:hAnsi="宋体" w:eastAsia="宋体" w:cs="宋体"/>
          <w:color w:val="auto"/>
          <w:spacing w:val="-1"/>
          <w:sz w:val="21"/>
          <w:szCs w:val="21"/>
          <w:highlight w:val="none"/>
        </w:rPr>
        <w:t>补充资料；设计人提交的经发包人审核通过的勘察设计详细工作大纲及进度计划、</w:t>
      </w:r>
      <w:r>
        <w:rPr>
          <w:rFonts w:hint="eastAsia" w:ascii="宋体" w:hAnsi="宋体" w:eastAsia="宋体" w:cs="宋体"/>
          <w:color w:val="auto"/>
          <w:spacing w:val="-9"/>
          <w:sz w:val="21"/>
          <w:szCs w:val="21"/>
          <w:highlight w:val="none"/>
        </w:rPr>
        <w:t>专题研究详细工作大纲等</w:t>
      </w:r>
      <w:r>
        <w:rPr>
          <w:rFonts w:hint="eastAsia" w:ascii="宋体" w:hAnsi="宋体" w:eastAsia="宋体" w:cs="宋体"/>
          <w:color w:val="auto"/>
          <w:spacing w:val="-1"/>
          <w:sz w:val="21"/>
          <w:szCs w:val="21"/>
          <w:highlight w:val="none"/>
        </w:rPr>
        <w:t>）；</w:t>
      </w:r>
    </w:p>
    <w:p w14:paraId="302EA5B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8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（2）中标通知书；</w:t>
      </w:r>
    </w:p>
    <w:p w14:paraId="1F5D1D4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8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（3）投标函；</w:t>
      </w:r>
    </w:p>
    <w:p w14:paraId="37C30B5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（4）专用合同条款；</w:t>
      </w:r>
    </w:p>
    <w:p w14:paraId="5B33B97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（5）通用合同条款；</w:t>
      </w:r>
    </w:p>
    <w:p w14:paraId="6983FA3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8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（6）发包人要求；</w:t>
      </w:r>
    </w:p>
    <w:p w14:paraId="612500D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（7）勘察设计费用清单；</w:t>
      </w:r>
    </w:p>
    <w:p w14:paraId="658C0A9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（8）设计人有关人员投入的承诺；</w:t>
      </w:r>
    </w:p>
    <w:p w14:paraId="254F39C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（9）其他合同文件。</w:t>
      </w:r>
    </w:p>
    <w:p w14:paraId="3A38348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合同当事人针对各类合同文件所作出的补充和修改亦属于合同文件的组成部分，</w:t>
      </w:r>
      <w:r>
        <w:rPr>
          <w:rFonts w:hint="eastAsia" w:ascii="宋体" w:hAnsi="宋体" w:eastAsia="宋体" w:cs="宋体"/>
          <w:color w:val="auto"/>
          <w:spacing w:val="-2"/>
          <w:sz w:val="21"/>
          <w:szCs w:val="21"/>
          <w:highlight w:val="none"/>
        </w:rPr>
        <w:t>属于同一类内容的文件，应以最新签署的为准。</w:t>
      </w:r>
    </w:p>
    <w:p w14:paraId="3BA9650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1.5 合同协议书</w:t>
      </w:r>
    </w:p>
    <w:p w14:paraId="6E0BC69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设计人按中标通知书规定的时间与发包人签订合同协议书。除法律另有规定或合同另有约定外，发包人和设计人的法定代表人或其委托代理人在合同协议书上签</w:t>
      </w:r>
      <w:r>
        <w:rPr>
          <w:rFonts w:hint="eastAsia" w:ascii="宋体" w:hAnsi="宋体" w:eastAsia="宋体" w:cs="宋体"/>
          <w:color w:val="auto"/>
          <w:spacing w:val="-4"/>
          <w:sz w:val="21"/>
          <w:szCs w:val="21"/>
          <w:highlight w:val="none"/>
        </w:rPr>
        <w:t>字并盖单位章后，合同生效。</w:t>
      </w:r>
    </w:p>
    <w:p w14:paraId="58956BD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1.6 文件的提供和照管</w:t>
      </w:r>
    </w:p>
    <w:p w14:paraId="346E6FA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1.6.1 勘察设计文件的提供</w:t>
      </w:r>
    </w:p>
    <w:p w14:paraId="6FA808B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除专用合同条款另有约定外，设计人应在合理的期限内按照合同约定的数量向</w:t>
      </w:r>
      <w:r>
        <w:rPr>
          <w:rFonts w:hint="eastAsia" w:ascii="宋体" w:hAnsi="宋体" w:eastAsia="宋体" w:cs="宋体"/>
          <w:color w:val="auto"/>
          <w:spacing w:val="1"/>
          <w:sz w:val="21"/>
          <w:szCs w:val="21"/>
          <w:highlight w:val="none"/>
        </w:rPr>
        <w:t>发包人提供勘察设计文件。合同约定勘察设计文</w:t>
      </w:r>
      <w:r>
        <w:rPr>
          <w:rFonts w:hint="eastAsia" w:ascii="宋体" w:hAnsi="宋体" w:eastAsia="宋体" w:cs="宋体"/>
          <w:color w:val="auto"/>
          <w:sz w:val="21"/>
          <w:szCs w:val="21"/>
          <w:highlight w:val="none"/>
        </w:rPr>
        <w:t>件应经发包人批复的，发包人应在</w:t>
      </w:r>
      <w:r>
        <w:rPr>
          <w:rFonts w:hint="eastAsia" w:ascii="宋体" w:hAnsi="宋体" w:eastAsia="宋体" w:cs="宋体"/>
          <w:color w:val="auto"/>
          <w:spacing w:val="-3"/>
          <w:sz w:val="21"/>
          <w:szCs w:val="21"/>
          <w:highlight w:val="none"/>
        </w:rPr>
        <w:t>合同约定的期限内批复或提出修改意见。</w:t>
      </w:r>
    </w:p>
    <w:p w14:paraId="47587E0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1.6.2 发包人提供的文件</w:t>
      </w:r>
    </w:p>
    <w:p w14:paraId="7C909A3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按专用合同条款约定由发包人提供的文件，包括基础资料</w:t>
      </w:r>
      <w:r>
        <w:rPr>
          <w:rFonts w:hint="eastAsia" w:ascii="宋体" w:hAnsi="宋体" w:eastAsia="宋体" w:cs="宋体"/>
          <w:color w:val="auto"/>
          <w:spacing w:val="-7"/>
          <w:sz w:val="21"/>
          <w:szCs w:val="21"/>
          <w:highlight w:val="none"/>
        </w:rPr>
        <w:t>、勘察设计任务书等，</w:t>
      </w:r>
      <w:r>
        <w:rPr>
          <w:rFonts w:hint="eastAsia" w:ascii="宋体" w:hAnsi="宋体" w:eastAsia="宋体" w:cs="宋体"/>
          <w:color w:val="auto"/>
          <w:spacing w:val="1"/>
          <w:sz w:val="21"/>
          <w:szCs w:val="21"/>
          <w:highlight w:val="none"/>
        </w:rPr>
        <w:t>发包人应按约定的数量和期限交给设计人。由于发</w:t>
      </w:r>
      <w:r>
        <w:rPr>
          <w:rFonts w:hint="eastAsia" w:ascii="宋体" w:hAnsi="宋体" w:eastAsia="宋体" w:cs="宋体"/>
          <w:color w:val="auto"/>
          <w:sz w:val="21"/>
          <w:szCs w:val="21"/>
          <w:highlight w:val="none"/>
        </w:rPr>
        <w:t>包人未按时提供文件造成勘察设</w:t>
      </w:r>
      <w:r>
        <w:rPr>
          <w:rFonts w:hint="eastAsia" w:ascii="宋体" w:hAnsi="宋体" w:eastAsia="宋体" w:cs="宋体"/>
          <w:color w:val="auto"/>
          <w:spacing w:val="-3"/>
          <w:sz w:val="21"/>
          <w:szCs w:val="21"/>
          <w:highlight w:val="none"/>
        </w:rPr>
        <w:t>计服务期限延误的，按第</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3"/>
          <w:sz w:val="21"/>
          <w:szCs w:val="21"/>
          <w:highlight w:val="none"/>
        </w:rPr>
        <w:t>6.2 款约定执行。</w:t>
      </w:r>
    </w:p>
    <w:p w14:paraId="1F360551">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1.6.3 文件错误的通知</w:t>
      </w:r>
    </w:p>
    <w:p w14:paraId="7AE2E62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任何一方当事人发现文件中存在的明显错误或疏忽，均应及时通</w:t>
      </w:r>
      <w:r>
        <w:rPr>
          <w:rFonts w:hint="eastAsia" w:ascii="宋体" w:hAnsi="宋体" w:eastAsia="宋体" w:cs="宋体"/>
          <w:color w:val="auto"/>
          <w:spacing w:val="-5"/>
          <w:sz w:val="21"/>
          <w:szCs w:val="21"/>
          <w:highlight w:val="none"/>
        </w:rPr>
        <w:t>知对方当事人，</w:t>
      </w:r>
      <w:r>
        <w:rPr>
          <w:rFonts w:hint="eastAsia" w:ascii="宋体" w:hAnsi="宋体" w:eastAsia="宋体" w:cs="宋体"/>
          <w:color w:val="auto"/>
          <w:spacing w:val="-3"/>
          <w:sz w:val="21"/>
          <w:szCs w:val="21"/>
          <w:highlight w:val="none"/>
        </w:rPr>
        <w:t>并应立即采取适当的措施防止损失扩大。</w:t>
      </w:r>
    </w:p>
    <w:p w14:paraId="05A470C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2"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1.7</w:t>
      </w:r>
      <w:r>
        <w:rPr>
          <w:rFonts w:hint="eastAsia" w:ascii="宋体" w:hAnsi="宋体" w:eastAsia="宋体" w:cs="宋体"/>
          <w:b/>
          <w:bCs/>
          <w:color w:val="auto"/>
          <w:spacing w:val="5"/>
          <w:sz w:val="21"/>
          <w:szCs w:val="21"/>
          <w:highlight w:val="none"/>
        </w:rPr>
        <w:t xml:space="preserve"> </w:t>
      </w:r>
      <w:r>
        <w:rPr>
          <w:rFonts w:hint="eastAsia" w:ascii="宋体" w:hAnsi="宋体" w:eastAsia="宋体" w:cs="宋体"/>
          <w:b/>
          <w:bCs/>
          <w:color w:val="auto"/>
          <w:spacing w:val="-5"/>
          <w:sz w:val="21"/>
          <w:szCs w:val="21"/>
          <w:highlight w:val="none"/>
        </w:rPr>
        <w:t>联络</w:t>
      </w:r>
    </w:p>
    <w:p w14:paraId="45AFBAF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8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1.7.1 与合同有关的通知、批准、证明、证书、指示、要求、请求、同意、意见、</w:t>
      </w:r>
      <w:r>
        <w:rPr>
          <w:rFonts w:hint="eastAsia" w:ascii="宋体" w:hAnsi="宋体" w:eastAsia="宋体" w:cs="宋体"/>
          <w:color w:val="auto"/>
          <w:spacing w:val="-3"/>
          <w:sz w:val="21"/>
          <w:szCs w:val="21"/>
          <w:highlight w:val="none"/>
        </w:rPr>
        <w:t>确定和决定等，均应采用书面形式。</w:t>
      </w:r>
    </w:p>
    <w:p w14:paraId="4B69A9A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1.7.2 上述通知、批准、证明、证书、指示、要求、请求、同意、意见、确定和</w:t>
      </w:r>
      <w:r>
        <w:rPr>
          <w:rFonts w:hint="eastAsia" w:ascii="宋体" w:hAnsi="宋体" w:eastAsia="宋体" w:cs="宋体"/>
          <w:color w:val="auto"/>
          <w:sz w:val="21"/>
          <w:szCs w:val="21"/>
          <w:highlight w:val="none"/>
        </w:rPr>
        <w:t>决定等来往函件，均应在合同约定的期限内送达指定的地点和指定的接收人，并办</w:t>
      </w:r>
      <w:r>
        <w:rPr>
          <w:rFonts w:hint="eastAsia" w:ascii="宋体" w:hAnsi="宋体" w:eastAsia="宋体" w:cs="宋体"/>
          <w:color w:val="auto"/>
          <w:spacing w:val="-7"/>
          <w:sz w:val="21"/>
          <w:szCs w:val="21"/>
          <w:highlight w:val="none"/>
        </w:rPr>
        <w:t>理签收手续。</w:t>
      </w:r>
    </w:p>
    <w:p w14:paraId="26FD0B1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2"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1.8</w:t>
      </w:r>
      <w:r>
        <w:rPr>
          <w:rFonts w:hint="eastAsia" w:ascii="宋体" w:hAnsi="宋体" w:eastAsia="宋体" w:cs="宋体"/>
          <w:b/>
          <w:bCs/>
          <w:color w:val="auto"/>
          <w:spacing w:val="5"/>
          <w:sz w:val="21"/>
          <w:szCs w:val="21"/>
          <w:highlight w:val="none"/>
        </w:rPr>
        <w:t xml:space="preserve"> </w:t>
      </w:r>
      <w:r>
        <w:rPr>
          <w:rFonts w:hint="eastAsia" w:ascii="宋体" w:hAnsi="宋体" w:eastAsia="宋体" w:cs="宋体"/>
          <w:b/>
          <w:bCs/>
          <w:color w:val="auto"/>
          <w:spacing w:val="-5"/>
          <w:sz w:val="21"/>
          <w:szCs w:val="21"/>
          <w:highlight w:val="none"/>
        </w:rPr>
        <w:t>转让</w:t>
      </w:r>
    </w:p>
    <w:p w14:paraId="1A7D1F5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除专用合同条款另有约定外，未经对方当事人同意，一方当事人不得将合同权</w:t>
      </w:r>
      <w:r>
        <w:rPr>
          <w:rFonts w:hint="eastAsia" w:ascii="宋体" w:hAnsi="宋体" w:eastAsia="宋体" w:cs="宋体"/>
          <w:color w:val="auto"/>
          <w:spacing w:val="-2"/>
          <w:sz w:val="21"/>
          <w:szCs w:val="21"/>
          <w:highlight w:val="none"/>
        </w:rPr>
        <w:t>利全部或部分转让给第三人，也不得全部或部分转移合同义务。</w:t>
      </w:r>
    </w:p>
    <w:p w14:paraId="279EBA1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1.9 严禁贿赂</w:t>
      </w:r>
    </w:p>
    <w:p w14:paraId="3686267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合同双方当事人不得以贿赂或变相贿赂的方式，谋取不当利益或损害对方权益。</w:t>
      </w:r>
      <w:r>
        <w:rPr>
          <w:rFonts w:hint="eastAsia" w:ascii="宋体" w:hAnsi="宋体" w:eastAsia="宋体" w:cs="宋体"/>
          <w:color w:val="auto"/>
          <w:spacing w:val="-2"/>
          <w:sz w:val="21"/>
          <w:szCs w:val="21"/>
          <w:highlight w:val="none"/>
        </w:rPr>
        <w:t>因贿赂造成对方当事人损失的，行为人应赔偿损失，并承担相应的法律责任。</w:t>
      </w:r>
    </w:p>
    <w:p w14:paraId="0428558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2"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1.10</w:t>
      </w:r>
      <w:r>
        <w:rPr>
          <w:rFonts w:hint="eastAsia" w:ascii="宋体" w:hAnsi="宋体" w:eastAsia="宋体" w:cs="宋体"/>
          <w:b/>
          <w:bCs/>
          <w:color w:val="auto"/>
          <w:spacing w:val="8"/>
          <w:sz w:val="21"/>
          <w:szCs w:val="21"/>
          <w:highlight w:val="none"/>
        </w:rPr>
        <w:t xml:space="preserve"> </w:t>
      </w:r>
      <w:r>
        <w:rPr>
          <w:rFonts w:hint="eastAsia" w:ascii="宋体" w:hAnsi="宋体" w:eastAsia="宋体" w:cs="宋体"/>
          <w:b/>
          <w:bCs/>
          <w:color w:val="auto"/>
          <w:spacing w:val="-5"/>
          <w:sz w:val="21"/>
          <w:szCs w:val="21"/>
          <w:highlight w:val="none"/>
        </w:rPr>
        <w:t>知识产权</w:t>
      </w:r>
    </w:p>
    <w:p w14:paraId="6AA9DAD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1.10.1 除专用合同条款另有约定外，设计人因受发包人委托进行的本项目勘察设计及专题研究而产生的成果均为双方所共同享有，其中任何一方向第三方转让时须经另一方同意，但若发包人因推进本项目的需要向第三者透露研究成果，则无须</w:t>
      </w:r>
      <w:r>
        <w:rPr>
          <w:rFonts w:hint="eastAsia" w:ascii="宋体" w:hAnsi="宋体" w:eastAsia="宋体" w:cs="宋体"/>
          <w:color w:val="auto"/>
          <w:spacing w:val="-5"/>
          <w:sz w:val="21"/>
          <w:szCs w:val="21"/>
          <w:highlight w:val="none"/>
        </w:rPr>
        <w:t>经过设计人的同意。</w:t>
      </w:r>
    </w:p>
    <w:p w14:paraId="1B4009A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1.10.2 设计人在从事勘察设计活动时，不得侵犯他人的知识产权。因侵犯专利</w:t>
      </w:r>
      <w:r>
        <w:rPr>
          <w:rFonts w:hint="eastAsia" w:ascii="宋体" w:hAnsi="宋体" w:eastAsia="宋体" w:cs="宋体"/>
          <w:color w:val="auto"/>
          <w:spacing w:val="1"/>
          <w:sz w:val="21"/>
          <w:szCs w:val="21"/>
          <w:highlight w:val="none"/>
        </w:rPr>
        <w:t>权或其他知识产权所引起的责任，由设计人自行承担</w:t>
      </w:r>
      <w:r>
        <w:rPr>
          <w:rFonts w:hint="eastAsia" w:ascii="宋体" w:hAnsi="宋体" w:eastAsia="宋体" w:cs="宋体"/>
          <w:color w:val="auto"/>
          <w:sz w:val="21"/>
          <w:szCs w:val="21"/>
          <w:highlight w:val="none"/>
        </w:rPr>
        <w:t>。因发包人提供的勘察设计资</w:t>
      </w:r>
      <w:r>
        <w:rPr>
          <w:rFonts w:hint="eastAsia" w:ascii="宋体" w:hAnsi="宋体" w:eastAsia="宋体" w:cs="宋体"/>
          <w:color w:val="auto"/>
          <w:spacing w:val="-3"/>
          <w:sz w:val="21"/>
          <w:szCs w:val="21"/>
          <w:highlight w:val="none"/>
        </w:rPr>
        <w:t>料导致侵权的，由发包人承担责任。</w:t>
      </w:r>
    </w:p>
    <w:p w14:paraId="51CA32B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1.10.3 设计人在投标文件中采用专利技术、专有技术的，相应的使用费视为已</w:t>
      </w:r>
      <w:r>
        <w:rPr>
          <w:rFonts w:hint="eastAsia" w:ascii="宋体" w:hAnsi="宋体" w:eastAsia="宋体" w:cs="宋体"/>
          <w:color w:val="auto"/>
          <w:spacing w:val="-4"/>
          <w:sz w:val="21"/>
          <w:szCs w:val="21"/>
          <w:highlight w:val="none"/>
        </w:rPr>
        <w:t>包含在投标报价之中。</w:t>
      </w:r>
    </w:p>
    <w:p w14:paraId="613AB2E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1.11 文件及信息的保密</w:t>
      </w:r>
    </w:p>
    <w:p w14:paraId="56ABE62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未经对方同意，任何一方当事人不得将有关文件、技术秘密、需要保密的资料</w:t>
      </w:r>
      <w:r>
        <w:rPr>
          <w:rFonts w:hint="eastAsia" w:ascii="宋体" w:hAnsi="宋体" w:eastAsia="宋体" w:cs="宋体"/>
          <w:color w:val="auto"/>
          <w:spacing w:val="-3"/>
          <w:sz w:val="21"/>
          <w:szCs w:val="21"/>
          <w:highlight w:val="none"/>
        </w:rPr>
        <w:t>和信息泄露给他人或公开发表与引用。</w:t>
      </w:r>
    </w:p>
    <w:p w14:paraId="1DC3D69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1.12 发包人要求</w:t>
      </w:r>
    </w:p>
    <w:p w14:paraId="1DD049B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1.12.1 设计人应认真阅读、复核发包人要求，发现错误的，应及时书面通知发</w:t>
      </w:r>
      <w:r>
        <w:rPr>
          <w:rFonts w:hint="eastAsia" w:ascii="宋体" w:hAnsi="宋体" w:eastAsia="宋体" w:cs="宋体"/>
          <w:color w:val="auto"/>
          <w:spacing w:val="-1"/>
          <w:sz w:val="21"/>
          <w:szCs w:val="21"/>
          <w:highlight w:val="none"/>
        </w:rPr>
        <w:t>包人。无论是否存在错误，发包人均有权修改发包人要求，并在修改后</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3</w:t>
      </w:r>
      <w:r>
        <w:rPr>
          <w:rFonts w:hint="eastAsia" w:ascii="宋体" w:hAnsi="宋体" w:eastAsia="宋体" w:cs="宋体"/>
          <w:color w:val="auto"/>
          <w:spacing w:val="31"/>
          <w:w w:val="101"/>
          <w:sz w:val="21"/>
          <w:szCs w:val="21"/>
          <w:highlight w:val="none"/>
        </w:rPr>
        <w:t xml:space="preserve"> </w:t>
      </w:r>
      <w:r>
        <w:rPr>
          <w:rFonts w:hint="eastAsia" w:ascii="宋体" w:hAnsi="宋体" w:eastAsia="宋体" w:cs="宋体"/>
          <w:color w:val="auto"/>
          <w:spacing w:val="-1"/>
          <w:sz w:val="21"/>
          <w:szCs w:val="21"/>
          <w:highlight w:val="none"/>
        </w:rPr>
        <w:t>天内通知</w:t>
      </w:r>
      <w:r>
        <w:rPr>
          <w:rFonts w:hint="eastAsia" w:ascii="宋体" w:hAnsi="宋体" w:eastAsia="宋体" w:cs="宋体"/>
          <w:color w:val="auto"/>
          <w:spacing w:val="1"/>
          <w:sz w:val="21"/>
          <w:szCs w:val="21"/>
          <w:highlight w:val="none"/>
        </w:rPr>
        <w:t>设计人。除专用合同条款另有约定外，由此导致设</w:t>
      </w:r>
      <w:r>
        <w:rPr>
          <w:rFonts w:hint="eastAsia" w:ascii="宋体" w:hAnsi="宋体" w:eastAsia="宋体" w:cs="宋体"/>
          <w:color w:val="auto"/>
          <w:sz w:val="21"/>
          <w:szCs w:val="21"/>
          <w:highlight w:val="none"/>
        </w:rPr>
        <w:t>计人费用增加和（或）周期延误</w:t>
      </w:r>
      <w:r>
        <w:rPr>
          <w:rFonts w:hint="eastAsia" w:ascii="宋体" w:hAnsi="宋体" w:eastAsia="宋体" w:cs="宋体"/>
          <w:color w:val="auto"/>
          <w:spacing w:val="-2"/>
          <w:sz w:val="21"/>
          <w:szCs w:val="21"/>
          <w:highlight w:val="none"/>
        </w:rPr>
        <w:t>的，发包人应当相应地增加费用和（或）延长周期。</w:t>
      </w:r>
    </w:p>
    <w:p w14:paraId="7797186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1.12.2 如果发包人要求违反法律规定，设计人应在发现后及时书</w:t>
      </w:r>
      <w:r>
        <w:rPr>
          <w:rFonts w:hint="eastAsia" w:ascii="宋体" w:hAnsi="宋体" w:eastAsia="宋体" w:cs="宋体"/>
          <w:color w:val="auto"/>
          <w:spacing w:val="-5"/>
          <w:sz w:val="21"/>
          <w:szCs w:val="21"/>
          <w:highlight w:val="none"/>
        </w:rPr>
        <w:t>面通知发包人，</w:t>
      </w:r>
      <w:r>
        <w:rPr>
          <w:rFonts w:hint="eastAsia" w:ascii="宋体" w:hAnsi="宋体" w:eastAsia="宋体" w:cs="宋体"/>
          <w:color w:val="auto"/>
          <w:sz w:val="21"/>
          <w:szCs w:val="21"/>
          <w:highlight w:val="none"/>
        </w:rPr>
        <w:t>要求其改正。发包人收到通知书后不予改正或不予答复的，设计人有权拒绝履行合</w:t>
      </w:r>
      <w:r>
        <w:rPr>
          <w:rFonts w:hint="eastAsia" w:ascii="宋体" w:hAnsi="宋体" w:eastAsia="宋体" w:cs="宋体"/>
          <w:color w:val="auto"/>
          <w:spacing w:val="-1"/>
          <w:sz w:val="21"/>
          <w:szCs w:val="21"/>
          <w:highlight w:val="none"/>
        </w:rPr>
        <w:t>同义务，直至解除合同；由此引起的设计人</w:t>
      </w:r>
      <w:r>
        <w:rPr>
          <w:rFonts w:hint="eastAsia" w:ascii="宋体" w:hAnsi="宋体" w:eastAsia="宋体" w:cs="宋体"/>
          <w:color w:val="auto"/>
          <w:spacing w:val="-2"/>
          <w:sz w:val="21"/>
          <w:szCs w:val="21"/>
          <w:highlight w:val="none"/>
        </w:rPr>
        <w:t>的全部损失由发包人承担。</w:t>
      </w:r>
    </w:p>
    <w:p w14:paraId="6B6BB6A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1.12.3 发包人要求采用国外规范和标准进行勘察设计时，应由发包人负责提供该规范和标准的外国文本和中文译本，提供的时间、份数和其他要求在专用合同条</w:t>
      </w:r>
      <w:r>
        <w:rPr>
          <w:rFonts w:hint="eastAsia" w:ascii="宋体" w:hAnsi="宋体" w:eastAsia="宋体" w:cs="宋体"/>
          <w:color w:val="auto"/>
          <w:spacing w:val="-8"/>
          <w:sz w:val="21"/>
          <w:szCs w:val="21"/>
          <w:highlight w:val="none"/>
        </w:rPr>
        <w:t>款中约定。</w:t>
      </w:r>
    </w:p>
    <w:p w14:paraId="57D1638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1.13  避免利益冲突</w:t>
      </w:r>
    </w:p>
    <w:p w14:paraId="548FDA7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除专用合同条款另有约定外，设计人及其雇员不应接受本合同规定以外的与本</w:t>
      </w:r>
      <w:r>
        <w:rPr>
          <w:rFonts w:hint="eastAsia" w:ascii="宋体" w:hAnsi="宋体" w:eastAsia="宋体" w:cs="宋体"/>
          <w:color w:val="auto"/>
          <w:spacing w:val="-1"/>
          <w:sz w:val="21"/>
          <w:szCs w:val="21"/>
          <w:highlight w:val="none"/>
        </w:rPr>
        <w:t>工程有关的利益和报酬；设计人不得参与与发包</w:t>
      </w:r>
      <w:r>
        <w:rPr>
          <w:rFonts w:hint="eastAsia" w:ascii="宋体" w:hAnsi="宋体" w:eastAsia="宋体" w:cs="宋体"/>
          <w:color w:val="auto"/>
          <w:spacing w:val="-2"/>
          <w:sz w:val="21"/>
          <w:szCs w:val="21"/>
          <w:highlight w:val="none"/>
        </w:rPr>
        <w:t>人的利益相冲突的任何活动。</w:t>
      </w:r>
    </w:p>
    <w:p w14:paraId="05548FDE">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2. 发包人义务</w:t>
      </w:r>
    </w:p>
    <w:p w14:paraId="5A53202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2.1 遵守法律</w:t>
      </w:r>
    </w:p>
    <w:p w14:paraId="23B769E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发包人在履行合同过程中应遵守法律，并保证设计人免于承担因发包人违反法</w:t>
      </w:r>
      <w:r>
        <w:rPr>
          <w:rFonts w:hint="eastAsia" w:ascii="宋体" w:hAnsi="宋体" w:eastAsia="宋体" w:cs="宋体"/>
          <w:color w:val="auto"/>
          <w:spacing w:val="-4"/>
          <w:sz w:val="21"/>
          <w:szCs w:val="21"/>
          <w:highlight w:val="none"/>
        </w:rPr>
        <w:t>律而引起的任何责任。</w:t>
      </w:r>
    </w:p>
    <w:p w14:paraId="54F5C28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2.2 发出开始勘察设计通知</w:t>
      </w:r>
    </w:p>
    <w:p w14:paraId="230B820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发包人应按第</w:t>
      </w:r>
      <w:r>
        <w:rPr>
          <w:rFonts w:hint="eastAsia" w:ascii="宋体" w:hAnsi="宋体" w:eastAsia="宋体" w:cs="宋体"/>
          <w:color w:val="auto"/>
          <w:spacing w:val="-44"/>
          <w:sz w:val="21"/>
          <w:szCs w:val="21"/>
          <w:highlight w:val="none"/>
        </w:rPr>
        <w:t xml:space="preserve"> </w:t>
      </w:r>
      <w:r>
        <w:rPr>
          <w:rFonts w:hint="eastAsia" w:ascii="宋体" w:hAnsi="宋体" w:eastAsia="宋体" w:cs="宋体"/>
          <w:color w:val="auto"/>
          <w:spacing w:val="-2"/>
          <w:sz w:val="21"/>
          <w:szCs w:val="21"/>
          <w:highlight w:val="none"/>
        </w:rPr>
        <w:t>6.1 款的约定向设计人发出开始勘察设计通知。</w:t>
      </w:r>
    </w:p>
    <w:p w14:paraId="3EB424B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2.3 办理证件和批件</w:t>
      </w:r>
    </w:p>
    <w:p w14:paraId="273F52D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法律规定和（或）合同约定由发包人负责办理的工程建设项目必须履行的各类</w:t>
      </w:r>
      <w:r>
        <w:rPr>
          <w:rFonts w:hint="eastAsia" w:ascii="宋体" w:hAnsi="宋体" w:eastAsia="宋体" w:cs="宋体"/>
          <w:color w:val="auto"/>
          <w:spacing w:val="-2"/>
          <w:sz w:val="21"/>
          <w:szCs w:val="21"/>
          <w:highlight w:val="none"/>
        </w:rPr>
        <w:t>审批、核准或备案手续，发包人应按时办理，设计人应给予必要的协助。</w:t>
      </w:r>
    </w:p>
    <w:p w14:paraId="4709EA1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法律规定和（或）合同约定由设计人负责办理的勘察设计所需的证件和批件，</w:t>
      </w:r>
      <w:r>
        <w:rPr>
          <w:rFonts w:hint="eastAsia" w:ascii="宋体" w:hAnsi="宋体" w:eastAsia="宋体" w:cs="宋体"/>
          <w:color w:val="auto"/>
          <w:spacing w:val="-4"/>
          <w:sz w:val="21"/>
          <w:szCs w:val="21"/>
          <w:highlight w:val="none"/>
        </w:rPr>
        <w:t>发包人应给予必要的协助。</w:t>
      </w:r>
    </w:p>
    <w:p w14:paraId="1A0F2FA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2.4 支付合同价款</w:t>
      </w:r>
    </w:p>
    <w:p w14:paraId="5C75E38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发包人应按合同约定向设计人及时支付合同</w:t>
      </w:r>
      <w:r>
        <w:rPr>
          <w:rFonts w:hint="eastAsia" w:ascii="宋体" w:hAnsi="宋体" w:eastAsia="宋体" w:cs="宋体"/>
          <w:color w:val="auto"/>
          <w:spacing w:val="-3"/>
          <w:sz w:val="21"/>
          <w:szCs w:val="21"/>
          <w:highlight w:val="none"/>
        </w:rPr>
        <w:t>价款。</w:t>
      </w:r>
    </w:p>
    <w:p w14:paraId="7774869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2.5 提供勘察设计资料</w:t>
      </w:r>
    </w:p>
    <w:p w14:paraId="3448819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发包人应按第</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3"/>
          <w:sz w:val="21"/>
          <w:szCs w:val="21"/>
          <w:highlight w:val="none"/>
        </w:rPr>
        <w:t>1.6.2 项的约定向设计人提供勘察设计资料。</w:t>
      </w:r>
    </w:p>
    <w:p w14:paraId="217AE31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2.6 其他义务</w:t>
      </w:r>
    </w:p>
    <w:p w14:paraId="322CB02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2.6.1 发包人应严格履行基本建设程序，根据本工程的具体情况和技术要求，确</w:t>
      </w:r>
      <w:r>
        <w:rPr>
          <w:rFonts w:hint="eastAsia" w:ascii="宋体" w:hAnsi="宋体" w:eastAsia="宋体" w:cs="宋体"/>
          <w:color w:val="auto"/>
          <w:spacing w:val="-1"/>
          <w:sz w:val="21"/>
          <w:szCs w:val="21"/>
          <w:highlight w:val="none"/>
        </w:rPr>
        <w:t>定合理的勘察设计工作量及合理的勘察设计服务期限。</w:t>
      </w:r>
    </w:p>
    <w:p w14:paraId="6BB176A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2.6.2 发包人应组织专家或委托咨询单位对勘察设计文</w:t>
      </w:r>
      <w:r>
        <w:rPr>
          <w:rFonts w:hint="eastAsia" w:ascii="宋体" w:hAnsi="宋体" w:eastAsia="宋体" w:cs="宋体"/>
          <w:color w:val="auto"/>
          <w:spacing w:val="3"/>
          <w:sz w:val="21"/>
          <w:szCs w:val="21"/>
          <w:highlight w:val="none"/>
        </w:rPr>
        <w:t>件和为了满足勘察设计</w:t>
      </w:r>
      <w:r>
        <w:rPr>
          <w:rFonts w:hint="eastAsia" w:ascii="宋体" w:hAnsi="宋体" w:eastAsia="宋体" w:cs="宋体"/>
          <w:color w:val="auto"/>
          <w:sz w:val="21"/>
          <w:szCs w:val="21"/>
          <w:highlight w:val="none"/>
        </w:rPr>
        <w:t>需要而进行的各种研究试验成果进行审查，并负责设计文件的报审工作，向设计人提供上级主管部门对设计文件进行审查后的批复意见。对设计人在贯彻落实审查意见时提出的有关问题应及时认真予以解答，但并不免除设计人根据本合同规定应负</w:t>
      </w:r>
      <w:r>
        <w:rPr>
          <w:rFonts w:hint="eastAsia" w:ascii="宋体" w:hAnsi="宋体" w:eastAsia="宋体" w:cs="宋体"/>
          <w:color w:val="auto"/>
          <w:spacing w:val="-9"/>
          <w:sz w:val="21"/>
          <w:szCs w:val="21"/>
          <w:highlight w:val="none"/>
        </w:rPr>
        <w:t>的责任。</w:t>
      </w:r>
    </w:p>
    <w:p w14:paraId="725B9C7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2.6.3 发包人不应向设计人提出不符合工程安全生产</w:t>
      </w:r>
      <w:r>
        <w:rPr>
          <w:rFonts w:hint="eastAsia" w:ascii="宋体" w:hAnsi="宋体" w:eastAsia="宋体" w:cs="宋体"/>
          <w:color w:val="auto"/>
          <w:spacing w:val="-3"/>
          <w:sz w:val="21"/>
          <w:szCs w:val="21"/>
          <w:highlight w:val="none"/>
        </w:rPr>
        <w:t>法律、法规和工程建设强制</w:t>
      </w:r>
      <w:r>
        <w:rPr>
          <w:rFonts w:hint="eastAsia" w:ascii="宋体" w:hAnsi="宋体" w:eastAsia="宋体" w:cs="宋体"/>
          <w:color w:val="auto"/>
          <w:spacing w:val="-5"/>
          <w:sz w:val="21"/>
          <w:szCs w:val="21"/>
          <w:highlight w:val="none"/>
        </w:rPr>
        <w:t>性标准规定的要求。</w:t>
      </w:r>
    </w:p>
    <w:p w14:paraId="1F2C669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3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2.6.4</w:t>
      </w:r>
      <w:r>
        <w:rPr>
          <w:rFonts w:hint="eastAsia" w:ascii="宋体" w:hAnsi="宋体" w:eastAsia="宋体" w:cs="宋体"/>
          <w:color w:val="auto"/>
          <w:spacing w:val="21"/>
          <w:w w:val="101"/>
          <w:sz w:val="21"/>
          <w:szCs w:val="21"/>
          <w:highlight w:val="none"/>
        </w:rPr>
        <w:t xml:space="preserve"> </w:t>
      </w:r>
      <w:r>
        <w:rPr>
          <w:rFonts w:hint="eastAsia" w:ascii="宋体" w:hAnsi="宋体" w:eastAsia="宋体" w:cs="宋体"/>
          <w:color w:val="auto"/>
          <w:spacing w:val="3"/>
          <w:sz w:val="21"/>
          <w:szCs w:val="21"/>
          <w:highlight w:val="none"/>
        </w:rPr>
        <w:t>由于执行发包人的书面指令而造成的勘察设计质量</w:t>
      </w:r>
      <w:r>
        <w:rPr>
          <w:rFonts w:hint="eastAsia" w:ascii="宋体" w:hAnsi="宋体" w:eastAsia="宋体" w:cs="宋体"/>
          <w:color w:val="auto"/>
          <w:spacing w:val="2"/>
          <w:sz w:val="21"/>
          <w:szCs w:val="21"/>
          <w:highlight w:val="none"/>
        </w:rPr>
        <w:t>事故应由发包人承担</w:t>
      </w:r>
      <w:r>
        <w:rPr>
          <w:rFonts w:hint="eastAsia" w:ascii="宋体" w:hAnsi="宋体" w:eastAsia="宋体" w:cs="宋体"/>
          <w:color w:val="auto"/>
          <w:spacing w:val="-12"/>
          <w:sz w:val="21"/>
          <w:szCs w:val="21"/>
          <w:highlight w:val="none"/>
        </w:rPr>
        <w:t>责任。</w:t>
      </w:r>
    </w:p>
    <w:p w14:paraId="6DA5284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2.6.5 发包人应履行专用合同条款约定的其他义务。</w:t>
      </w:r>
    </w:p>
    <w:p w14:paraId="45753FF2">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3. 发包人管理</w:t>
      </w:r>
    </w:p>
    <w:p w14:paraId="3C3023B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3.1 发包人代表</w:t>
      </w:r>
    </w:p>
    <w:p w14:paraId="7361DB9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3.1.1</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除专用合同条款另有约定外，发包人应在合同签订后 14</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2"/>
          <w:sz w:val="21"/>
          <w:szCs w:val="21"/>
          <w:highlight w:val="none"/>
        </w:rPr>
        <w:t>天内，将发包人</w:t>
      </w:r>
      <w:r>
        <w:rPr>
          <w:rFonts w:hint="eastAsia" w:ascii="宋体" w:hAnsi="宋体" w:eastAsia="宋体" w:cs="宋体"/>
          <w:color w:val="auto"/>
          <w:sz w:val="21"/>
          <w:szCs w:val="21"/>
          <w:highlight w:val="none"/>
        </w:rPr>
        <w:t>代表的姓名、职务、联系方式、授权范围和授权期限书面通知设计人，由发包人代表在其授权范围和授权期限内，代表发包人行使权利、履行义务和处理合同履行中</w:t>
      </w:r>
      <w:r>
        <w:rPr>
          <w:rFonts w:hint="eastAsia" w:ascii="宋体" w:hAnsi="宋体" w:eastAsia="宋体" w:cs="宋体"/>
          <w:color w:val="auto"/>
          <w:spacing w:val="-1"/>
          <w:sz w:val="21"/>
          <w:szCs w:val="21"/>
          <w:highlight w:val="none"/>
        </w:rPr>
        <w:t>的具体事宜。发包人代表在授权范围内的行</w:t>
      </w:r>
      <w:r>
        <w:rPr>
          <w:rFonts w:hint="eastAsia" w:ascii="宋体" w:hAnsi="宋体" w:eastAsia="宋体" w:cs="宋体"/>
          <w:color w:val="auto"/>
          <w:spacing w:val="-2"/>
          <w:sz w:val="21"/>
          <w:szCs w:val="21"/>
          <w:highlight w:val="none"/>
        </w:rPr>
        <w:t>为由发包人承担法律责任。</w:t>
      </w:r>
    </w:p>
    <w:p w14:paraId="5DBCC5F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3.1.2 发包人代表违反法律法规、违背职业道德守则或不按合同约定履行职责及</w:t>
      </w:r>
      <w:r>
        <w:rPr>
          <w:rFonts w:hint="eastAsia" w:ascii="宋体" w:hAnsi="宋体" w:eastAsia="宋体" w:cs="宋体"/>
          <w:color w:val="auto"/>
          <w:sz w:val="21"/>
          <w:szCs w:val="21"/>
          <w:highlight w:val="none"/>
        </w:rPr>
        <w:t>义务，导致合同无法继续正常履行的，设计人有权通知发包人更换发包人代表。发</w:t>
      </w:r>
      <w:r>
        <w:rPr>
          <w:rFonts w:hint="eastAsia" w:ascii="宋体" w:hAnsi="宋体" w:eastAsia="宋体" w:cs="宋体"/>
          <w:color w:val="auto"/>
          <w:spacing w:val="-2"/>
          <w:sz w:val="21"/>
          <w:szCs w:val="21"/>
          <w:highlight w:val="none"/>
        </w:rPr>
        <w:t>包人收到通知后</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2"/>
          <w:sz w:val="21"/>
          <w:szCs w:val="21"/>
          <w:highlight w:val="none"/>
        </w:rPr>
        <w:t>7 天内，应核实完毕并将处理结果通知设计人。</w:t>
      </w:r>
    </w:p>
    <w:p w14:paraId="3A1F724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3.1.3 发包人更换发包人代表的，应提前 14</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2"/>
          <w:sz w:val="21"/>
          <w:szCs w:val="21"/>
          <w:highlight w:val="none"/>
        </w:rPr>
        <w:t>天将更换人员的姓名、职务、联系</w:t>
      </w:r>
      <w:r>
        <w:rPr>
          <w:rFonts w:hint="eastAsia" w:ascii="宋体" w:hAnsi="宋体" w:eastAsia="宋体" w:cs="宋体"/>
          <w:color w:val="auto"/>
          <w:spacing w:val="-3"/>
          <w:sz w:val="21"/>
          <w:szCs w:val="21"/>
          <w:highlight w:val="none"/>
        </w:rPr>
        <w:t>方式、授权范围和授权期限书面通知设计人。</w:t>
      </w:r>
    </w:p>
    <w:p w14:paraId="0B00C97F">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3.1.4 发包人代表可以授权发包人的其他人</w:t>
      </w:r>
      <w:r>
        <w:rPr>
          <w:rFonts w:hint="eastAsia" w:ascii="宋体" w:hAnsi="宋体" w:eastAsia="宋体" w:cs="宋体"/>
          <w:color w:val="auto"/>
          <w:spacing w:val="3"/>
          <w:sz w:val="21"/>
          <w:szCs w:val="21"/>
          <w:highlight w:val="none"/>
        </w:rPr>
        <w:t>员负责执行其指派的一项或多项工</w:t>
      </w:r>
      <w:r>
        <w:rPr>
          <w:rFonts w:hint="eastAsia" w:ascii="宋体" w:hAnsi="宋体" w:eastAsia="宋体" w:cs="宋体"/>
          <w:color w:val="auto"/>
          <w:sz w:val="21"/>
          <w:szCs w:val="21"/>
          <w:highlight w:val="none"/>
        </w:rPr>
        <w:t>作。发包人代表应将被授权人员的姓名及其授权范围通知设计人。被授权人员在授权范围内发出的指示视为已得到发包人代表的同意，与发包人代表发出的指示具有</w:t>
      </w:r>
      <w:r>
        <w:rPr>
          <w:rFonts w:hint="eastAsia" w:ascii="宋体" w:hAnsi="宋体" w:eastAsia="宋体" w:cs="宋体"/>
          <w:color w:val="auto"/>
          <w:spacing w:val="-11"/>
          <w:sz w:val="21"/>
          <w:szCs w:val="21"/>
          <w:highlight w:val="none"/>
        </w:rPr>
        <w:t>同等效力。</w:t>
      </w:r>
    </w:p>
    <w:p w14:paraId="40CC37F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3.2</w:t>
      </w:r>
      <w:r>
        <w:rPr>
          <w:rFonts w:hint="eastAsia" w:ascii="宋体" w:hAnsi="宋体" w:eastAsia="宋体" w:cs="宋体"/>
          <w:b/>
          <w:bCs/>
          <w:color w:val="auto"/>
          <w:spacing w:val="6"/>
          <w:sz w:val="21"/>
          <w:szCs w:val="21"/>
          <w:highlight w:val="none"/>
        </w:rPr>
        <w:t xml:space="preserve"> </w:t>
      </w:r>
      <w:r>
        <w:rPr>
          <w:rFonts w:hint="eastAsia" w:ascii="宋体" w:hAnsi="宋体" w:eastAsia="宋体" w:cs="宋体"/>
          <w:b/>
          <w:bCs/>
          <w:color w:val="auto"/>
          <w:spacing w:val="-4"/>
          <w:sz w:val="21"/>
          <w:szCs w:val="21"/>
          <w:highlight w:val="none"/>
        </w:rPr>
        <w:t>监理人</w:t>
      </w:r>
    </w:p>
    <w:p w14:paraId="10797BB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3.2.1 发包人可以根据工程建设需要确定是</w:t>
      </w:r>
      <w:r>
        <w:rPr>
          <w:rFonts w:hint="eastAsia" w:ascii="宋体" w:hAnsi="宋体" w:eastAsia="宋体" w:cs="宋体"/>
          <w:color w:val="auto"/>
          <w:spacing w:val="-3"/>
          <w:sz w:val="21"/>
          <w:szCs w:val="21"/>
          <w:highlight w:val="none"/>
        </w:rPr>
        <w:t>否委托监理人进行勘察设计监理。如</w:t>
      </w:r>
      <w:r>
        <w:rPr>
          <w:rFonts w:hint="eastAsia" w:ascii="宋体" w:hAnsi="宋体" w:eastAsia="宋体" w:cs="宋体"/>
          <w:color w:val="auto"/>
          <w:sz w:val="21"/>
          <w:szCs w:val="21"/>
          <w:highlight w:val="none"/>
        </w:rPr>
        <w:t>果委托监理，则监理人享有合同约定的权力，其所发出的任何指示应视为已得到发包人的批准。监理人的监理范围、职责权限和总监理工程师信息，应在专用合同条</w:t>
      </w:r>
      <w:r>
        <w:rPr>
          <w:rFonts w:hint="eastAsia" w:ascii="宋体" w:hAnsi="宋体" w:eastAsia="宋体" w:cs="宋体"/>
          <w:color w:val="auto"/>
          <w:spacing w:val="-2"/>
          <w:sz w:val="21"/>
          <w:szCs w:val="21"/>
          <w:highlight w:val="none"/>
        </w:rPr>
        <w:t>款中指明。未经发包人批准，监理人无权修改合同。</w:t>
      </w:r>
    </w:p>
    <w:p w14:paraId="39BBAF8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3.2.2 合同约定应由设计人承担的义务和</w:t>
      </w:r>
      <w:r>
        <w:rPr>
          <w:rFonts w:hint="eastAsia" w:ascii="宋体" w:hAnsi="宋体" w:eastAsia="宋体" w:cs="宋体"/>
          <w:color w:val="auto"/>
          <w:spacing w:val="-3"/>
          <w:sz w:val="21"/>
          <w:szCs w:val="21"/>
          <w:highlight w:val="none"/>
        </w:rPr>
        <w:t>责任，不因监理人对设计文件的审查或</w:t>
      </w:r>
      <w:r>
        <w:rPr>
          <w:rFonts w:hint="eastAsia" w:ascii="宋体" w:hAnsi="宋体" w:eastAsia="宋体" w:cs="宋体"/>
          <w:color w:val="auto"/>
          <w:spacing w:val="-2"/>
          <w:sz w:val="21"/>
          <w:szCs w:val="21"/>
          <w:highlight w:val="none"/>
        </w:rPr>
        <w:t>批准，以及为实施监理作出的指示等职务行为而减轻或解除。</w:t>
      </w:r>
    </w:p>
    <w:p w14:paraId="7B26548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3.3 发包人的指示</w:t>
      </w:r>
    </w:p>
    <w:p w14:paraId="690547F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3.3.1 发包人应按合同约定向设计人发出</w:t>
      </w:r>
      <w:r>
        <w:rPr>
          <w:rFonts w:hint="eastAsia" w:ascii="宋体" w:hAnsi="宋体" w:eastAsia="宋体" w:cs="宋体"/>
          <w:color w:val="auto"/>
          <w:spacing w:val="-3"/>
          <w:sz w:val="21"/>
          <w:szCs w:val="21"/>
          <w:highlight w:val="none"/>
        </w:rPr>
        <w:t>指示，发包人的指示应盖有发包人单位章，并由发包人代表签字确认。</w:t>
      </w:r>
    </w:p>
    <w:p w14:paraId="35D76BE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3.3.2 设计人收到发包人作出的指示后应遵</w:t>
      </w:r>
      <w:r>
        <w:rPr>
          <w:rFonts w:hint="eastAsia" w:ascii="宋体" w:hAnsi="宋体" w:eastAsia="宋体" w:cs="宋体"/>
          <w:color w:val="auto"/>
          <w:spacing w:val="3"/>
          <w:sz w:val="21"/>
          <w:szCs w:val="21"/>
          <w:highlight w:val="none"/>
        </w:rPr>
        <w:t>照执行。指示构成变更的，应按第</w:t>
      </w:r>
      <w:r>
        <w:rPr>
          <w:rFonts w:hint="eastAsia" w:ascii="宋体" w:hAnsi="宋体" w:eastAsia="宋体" w:cs="宋体"/>
          <w:color w:val="auto"/>
          <w:spacing w:val="-13"/>
          <w:sz w:val="21"/>
          <w:szCs w:val="21"/>
          <w:highlight w:val="none"/>
        </w:rPr>
        <w:t>11</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13"/>
          <w:sz w:val="21"/>
          <w:szCs w:val="21"/>
          <w:highlight w:val="none"/>
        </w:rPr>
        <w:t>条执行。</w:t>
      </w:r>
    </w:p>
    <w:p w14:paraId="36B87D5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3.3.3 在紧急情况下，发包人代表</w:t>
      </w:r>
      <w:r>
        <w:rPr>
          <w:rFonts w:hint="eastAsia" w:ascii="宋体" w:hAnsi="宋体" w:eastAsia="宋体" w:cs="宋体"/>
          <w:color w:val="auto"/>
          <w:spacing w:val="-3"/>
          <w:sz w:val="21"/>
          <w:szCs w:val="21"/>
          <w:highlight w:val="none"/>
        </w:rPr>
        <w:t>或其授权人员可以当场签发临时书面指示，设</w:t>
      </w:r>
      <w:r>
        <w:rPr>
          <w:rFonts w:hint="eastAsia" w:ascii="宋体" w:hAnsi="宋体" w:eastAsia="宋体" w:cs="宋体"/>
          <w:color w:val="auto"/>
          <w:spacing w:val="-2"/>
          <w:sz w:val="21"/>
          <w:szCs w:val="21"/>
          <w:highlight w:val="none"/>
        </w:rPr>
        <w:t>计人应遵照执行。发包人代表应在临时书面指示发出后</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24</w:t>
      </w:r>
      <w:r>
        <w:rPr>
          <w:rFonts w:hint="eastAsia" w:ascii="宋体" w:hAnsi="宋体" w:eastAsia="宋体" w:cs="宋体"/>
          <w:color w:val="auto"/>
          <w:spacing w:val="32"/>
          <w:w w:val="101"/>
          <w:sz w:val="21"/>
          <w:szCs w:val="21"/>
          <w:highlight w:val="none"/>
        </w:rPr>
        <w:t xml:space="preserve"> </w:t>
      </w:r>
      <w:r>
        <w:rPr>
          <w:rFonts w:hint="eastAsia" w:ascii="宋体" w:hAnsi="宋体" w:eastAsia="宋体" w:cs="宋体"/>
          <w:color w:val="auto"/>
          <w:spacing w:val="-2"/>
          <w:sz w:val="21"/>
          <w:szCs w:val="21"/>
          <w:highlight w:val="none"/>
        </w:rPr>
        <w:t>小时内发</w:t>
      </w:r>
      <w:r>
        <w:rPr>
          <w:rFonts w:hint="eastAsia" w:ascii="宋体" w:hAnsi="宋体" w:eastAsia="宋体" w:cs="宋体"/>
          <w:color w:val="auto"/>
          <w:spacing w:val="-3"/>
          <w:sz w:val="21"/>
          <w:szCs w:val="21"/>
          <w:highlight w:val="none"/>
        </w:rPr>
        <w:t>出书面确认函，</w:t>
      </w:r>
      <w:r>
        <w:rPr>
          <w:rFonts w:hint="eastAsia" w:ascii="宋体" w:hAnsi="宋体" w:eastAsia="宋体" w:cs="宋体"/>
          <w:color w:val="auto"/>
          <w:spacing w:val="-1"/>
          <w:sz w:val="21"/>
          <w:szCs w:val="21"/>
          <w:highlight w:val="none"/>
        </w:rPr>
        <w:t>逾期未发出书面确认函的，该临时书面指示应被视</w:t>
      </w:r>
      <w:r>
        <w:rPr>
          <w:rFonts w:hint="eastAsia" w:ascii="宋体" w:hAnsi="宋体" w:eastAsia="宋体" w:cs="宋体"/>
          <w:color w:val="auto"/>
          <w:spacing w:val="-2"/>
          <w:sz w:val="21"/>
          <w:szCs w:val="21"/>
          <w:highlight w:val="none"/>
        </w:rPr>
        <w:t>为发包人的正式指示。</w:t>
      </w:r>
    </w:p>
    <w:p w14:paraId="77C9809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3.3.4  除专用合同条款另有约定外，设计人只从发包人代表或按第</w:t>
      </w:r>
      <w:r>
        <w:rPr>
          <w:rFonts w:hint="eastAsia" w:ascii="宋体" w:hAnsi="宋体" w:eastAsia="宋体" w:cs="宋体"/>
          <w:color w:val="auto"/>
          <w:spacing w:val="-25"/>
          <w:sz w:val="21"/>
          <w:szCs w:val="21"/>
          <w:highlight w:val="none"/>
        </w:rPr>
        <w:t xml:space="preserve"> </w:t>
      </w:r>
      <w:r>
        <w:rPr>
          <w:rFonts w:hint="eastAsia" w:ascii="宋体" w:hAnsi="宋体" w:eastAsia="宋体" w:cs="宋体"/>
          <w:color w:val="auto"/>
          <w:spacing w:val="-1"/>
          <w:sz w:val="21"/>
          <w:szCs w:val="21"/>
          <w:highlight w:val="none"/>
        </w:rPr>
        <w:t>3.1.4</w:t>
      </w:r>
      <w:r>
        <w:rPr>
          <w:rFonts w:hint="eastAsia" w:ascii="宋体" w:hAnsi="宋体" w:eastAsia="宋体" w:cs="宋体"/>
          <w:color w:val="auto"/>
          <w:spacing w:val="30"/>
          <w:sz w:val="21"/>
          <w:szCs w:val="21"/>
          <w:highlight w:val="none"/>
        </w:rPr>
        <w:t xml:space="preserve"> </w:t>
      </w:r>
      <w:r>
        <w:rPr>
          <w:rFonts w:hint="eastAsia" w:ascii="宋体" w:hAnsi="宋体" w:eastAsia="宋体" w:cs="宋体"/>
          <w:color w:val="auto"/>
          <w:spacing w:val="-1"/>
          <w:sz w:val="21"/>
          <w:szCs w:val="21"/>
          <w:highlight w:val="none"/>
        </w:rPr>
        <w:t>项约定</w:t>
      </w:r>
      <w:r>
        <w:rPr>
          <w:rFonts w:hint="eastAsia" w:ascii="宋体" w:hAnsi="宋体" w:eastAsia="宋体" w:cs="宋体"/>
          <w:color w:val="auto"/>
          <w:spacing w:val="-5"/>
          <w:sz w:val="21"/>
          <w:szCs w:val="21"/>
          <w:highlight w:val="none"/>
        </w:rPr>
        <w:t>的被授权人员处取得指示。</w:t>
      </w:r>
    </w:p>
    <w:p w14:paraId="4C33B5F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3.3.5</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4"/>
          <w:sz w:val="21"/>
          <w:szCs w:val="21"/>
          <w:highlight w:val="none"/>
        </w:rPr>
        <w:t>由于发包人未能按合同约定发出指示、指示延误或指示错误而导致设计人</w:t>
      </w:r>
      <w:r>
        <w:rPr>
          <w:rFonts w:hint="eastAsia" w:ascii="宋体" w:hAnsi="宋体" w:eastAsia="宋体" w:cs="宋体"/>
          <w:color w:val="auto"/>
          <w:spacing w:val="-2"/>
          <w:sz w:val="21"/>
          <w:szCs w:val="21"/>
          <w:highlight w:val="none"/>
        </w:rPr>
        <w:t>费用增加和（或）周期延误的，发包人应承担由此增加的费用和（或）周期延误。</w:t>
      </w:r>
    </w:p>
    <w:p w14:paraId="17D239B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3.4</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4"/>
          <w:sz w:val="21"/>
          <w:szCs w:val="21"/>
          <w:highlight w:val="none"/>
        </w:rPr>
        <w:t>决定或答复</w:t>
      </w:r>
    </w:p>
    <w:p w14:paraId="6B48974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3.4.1  发包人在法律允许的范围内有权</w:t>
      </w:r>
      <w:r>
        <w:rPr>
          <w:rFonts w:hint="eastAsia" w:ascii="宋体" w:hAnsi="宋体" w:eastAsia="宋体" w:cs="宋体"/>
          <w:color w:val="auto"/>
          <w:spacing w:val="-3"/>
          <w:sz w:val="21"/>
          <w:szCs w:val="21"/>
          <w:highlight w:val="none"/>
        </w:rPr>
        <w:t>对设计人的勘察设计工作和（或）勘察设</w:t>
      </w:r>
      <w:r>
        <w:rPr>
          <w:rFonts w:hint="eastAsia" w:ascii="宋体" w:hAnsi="宋体" w:eastAsia="宋体" w:cs="宋体"/>
          <w:color w:val="auto"/>
          <w:spacing w:val="1"/>
          <w:sz w:val="21"/>
          <w:szCs w:val="21"/>
          <w:highlight w:val="none"/>
        </w:rPr>
        <w:t>计文件作出处理决定，设计人应按照发包人的决定</w:t>
      </w:r>
      <w:r>
        <w:rPr>
          <w:rFonts w:hint="eastAsia" w:ascii="宋体" w:hAnsi="宋体" w:eastAsia="宋体" w:cs="宋体"/>
          <w:color w:val="auto"/>
          <w:sz w:val="21"/>
          <w:szCs w:val="21"/>
          <w:highlight w:val="none"/>
        </w:rPr>
        <w:t>执行，涉及勘察设计服务期限或</w:t>
      </w:r>
      <w:r>
        <w:rPr>
          <w:rFonts w:hint="eastAsia" w:ascii="宋体" w:hAnsi="宋体" w:eastAsia="宋体" w:cs="宋体"/>
          <w:color w:val="auto"/>
          <w:spacing w:val="-4"/>
          <w:sz w:val="21"/>
          <w:szCs w:val="21"/>
          <w:highlight w:val="none"/>
        </w:rPr>
        <w:t>勘察设计费用等问题按第</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4"/>
          <w:sz w:val="21"/>
          <w:szCs w:val="21"/>
          <w:highlight w:val="none"/>
        </w:rPr>
        <w:t>11 条的约定处理。</w:t>
      </w:r>
    </w:p>
    <w:p w14:paraId="54561CB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3.4.2  发包人应在专用合同条款约定的时</w:t>
      </w:r>
      <w:r>
        <w:rPr>
          <w:rFonts w:hint="eastAsia" w:ascii="宋体" w:hAnsi="宋体" w:eastAsia="宋体" w:cs="宋体"/>
          <w:color w:val="auto"/>
          <w:spacing w:val="-3"/>
          <w:sz w:val="21"/>
          <w:szCs w:val="21"/>
          <w:highlight w:val="none"/>
        </w:rPr>
        <w:t>间之内，对设计人书面提出的事项作出</w:t>
      </w:r>
      <w:r>
        <w:rPr>
          <w:rFonts w:hint="eastAsia" w:ascii="宋体" w:hAnsi="宋体" w:eastAsia="宋体" w:cs="宋体"/>
          <w:color w:val="auto"/>
          <w:spacing w:val="-2"/>
          <w:sz w:val="21"/>
          <w:szCs w:val="21"/>
          <w:highlight w:val="none"/>
        </w:rPr>
        <w:t>书面答复；逾期没有作出答复的，视为已获得发包人的批准。</w:t>
      </w:r>
    </w:p>
    <w:p w14:paraId="7A9E6A4E">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  设计人义务</w:t>
      </w:r>
    </w:p>
    <w:p w14:paraId="704625C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4.1  设计人的一般义务</w:t>
      </w:r>
    </w:p>
    <w:p w14:paraId="4D5B57A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4.1.1  遵守法律</w:t>
      </w:r>
    </w:p>
    <w:p w14:paraId="7A0403B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设计人在履行合同过程中应遵守法律，并保证发包人免于承担因设计人违反法</w:t>
      </w:r>
      <w:r>
        <w:rPr>
          <w:rFonts w:hint="eastAsia" w:ascii="宋体" w:hAnsi="宋体" w:eastAsia="宋体" w:cs="宋体"/>
          <w:color w:val="auto"/>
          <w:spacing w:val="-4"/>
          <w:sz w:val="21"/>
          <w:szCs w:val="21"/>
          <w:highlight w:val="none"/>
        </w:rPr>
        <w:t>律而引起的任何责任。</w:t>
      </w:r>
    </w:p>
    <w:p w14:paraId="4294A70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4.1.2  依法纳税</w:t>
      </w:r>
    </w:p>
    <w:p w14:paraId="7C8EB70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设计人应按有关法律规定纳税，应缴纳的税金（含增值税）包括在合同价格之</w:t>
      </w:r>
      <w:r>
        <w:rPr>
          <w:rFonts w:hint="eastAsia" w:ascii="宋体" w:hAnsi="宋体" w:eastAsia="宋体" w:cs="宋体"/>
          <w:color w:val="auto"/>
          <w:spacing w:val="-17"/>
          <w:sz w:val="21"/>
          <w:szCs w:val="21"/>
          <w:highlight w:val="none"/>
        </w:rPr>
        <w:t>中。</w:t>
      </w:r>
    </w:p>
    <w:p w14:paraId="4D59351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4.1.3  完成全部勘察设计工作</w:t>
      </w:r>
    </w:p>
    <w:p w14:paraId="6A88D86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设计人应按合同约定以及发包人要求，完成合同约定的全部工作，并对工作中</w:t>
      </w:r>
      <w:r>
        <w:rPr>
          <w:rFonts w:hint="eastAsia" w:ascii="宋体" w:hAnsi="宋体" w:eastAsia="宋体" w:cs="宋体"/>
          <w:color w:val="auto"/>
          <w:spacing w:val="1"/>
          <w:sz w:val="21"/>
          <w:szCs w:val="21"/>
          <w:highlight w:val="none"/>
        </w:rPr>
        <w:t>的任何缺陷进行整改、完善和修补，使其满</w:t>
      </w:r>
      <w:r>
        <w:rPr>
          <w:rFonts w:hint="eastAsia" w:ascii="宋体" w:hAnsi="宋体" w:eastAsia="宋体" w:cs="宋体"/>
          <w:color w:val="auto"/>
          <w:sz w:val="21"/>
          <w:szCs w:val="21"/>
          <w:highlight w:val="none"/>
        </w:rPr>
        <w:t>足合同约定的目的。设计人应按合同约定提供勘察设计文件和相关服务，以及为完成勘察设计服务所需的劳务、材料、勘</w:t>
      </w:r>
      <w:r>
        <w:rPr>
          <w:rFonts w:hint="eastAsia" w:ascii="宋体" w:hAnsi="宋体" w:eastAsia="宋体" w:cs="宋体"/>
          <w:color w:val="auto"/>
          <w:spacing w:val="-7"/>
          <w:sz w:val="21"/>
          <w:szCs w:val="21"/>
          <w:highlight w:val="none"/>
        </w:rPr>
        <w:t>察设备、试验设施等，并应自行承担勘探场地临时设施的搭设、维护、管理和拆除。</w:t>
      </w:r>
    </w:p>
    <w:p w14:paraId="05A9589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4.1.4  保证勘察作业规范、安全和环保</w:t>
      </w:r>
    </w:p>
    <w:p w14:paraId="37AB2ED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设计人应按法律、规范标准和发包人要求，采取各项有效措施，确保勘察作业</w:t>
      </w:r>
      <w:r>
        <w:rPr>
          <w:rFonts w:hint="eastAsia" w:ascii="宋体" w:hAnsi="宋体" w:eastAsia="宋体" w:cs="宋体"/>
          <w:color w:val="auto"/>
          <w:spacing w:val="1"/>
          <w:sz w:val="21"/>
          <w:szCs w:val="21"/>
          <w:highlight w:val="none"/>
        </w:rPr>
        <w:t>操作规范、安全、文明和环保，在风险性较大的环</w:t>
      </w:r>
      <w:r>
        <w:rPr>
          <w:rFonts w:hint="eastAsia" w:ascii="宋体" w:hAnsi="宋体" w:eastAsia="宋体" w:cs="宋体"/>
          <w:color w:val="auto"/>
          <w:sz w:val="21"/>
          <w:szCs w:val="21"/>
          <w:highlight w:val="none"/>
        </w:rPr>
        <w:t>境中作业时应编制安全防护方案</w:t>
      </w:r>
      <w:r>
        <w:rPr>
          <w:rFonts w:hint="eastAsia" w:ascii="宋体" w:hAnsi="宋体" w:eastAsia="宋体" w:cs="宋体"/>
          <w:color w:val="auto"/>
          <w:spacing w:val="-2"/>
          <w:sz w:val="21"/>
          <w:szCs w:val="21"/>
          <w:highlight w:val="none"/>
        </w:rPr>
        <w:t>并制定应急预案，防止因勘察作业造成的人身伤害和财产损失。</w:t>
      </w:r>
    </w:p>
    <w:p w14:paraId="1E5E5D7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对于设计人在勘察设计过程中发生的人员伤亡或</w:t>
      </w:r>
      <w:r>
        <w:rPr>
          <w:rFonts w:hint="eastAsia" w:ascii="宋体" w:hAnsi="宋体" w:eastAsia="宋体" w:cs="宋体"/>
          <w:color w:val="auto"/>
          <w:sz w:val="21"/>
          <w:szCs w:val="21"/>
          <w:highlight w:val="none"/>
        </w:rPr>
        <w:t>财产损失，或造成第三方的人</w:t>
      </w:r>
      <w:r>
        <w:rPr>
          <w:rFonts w:hint="eastAsia" w:ascii="宋体" w:hAnsi="宋体" w:eastAsia="宋体" w:cs="宋体"/>
          <w:color w:val="auto"/>
          <w:spacing w:val="-1"/>
          <w:sz w:val="21"/>
          <w:szCs w:val="21"/>
          <w:highlight w:val="none"/>
        </w:rPr>
        <w:t>员伤亡、财产损失，或由此而引起的其他一</w:t>
      </w:r>
      <w:r>
        <w:rPr>
          <w:rFonts w:hint="eastAsia" w:ascii="宋体" w:hAnsi="宋体" w:eastAsia="宋体" w:cs="宋体"/>
          <w:color w:val="auto"/>
          <w:spacing w:val="-2"/>
          <w:sz w:val="21"/>
          <w:szCs w:val="21"/>
          <w:highlight w:val="none"/>
        </w:rPr>
        <w:t>切损害和损失，发包人均不承担责任。</w:t>
      </w:r>
    </w:p>
    <w:p w14:paraId="22E32CD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4.1.5  避免勘探对公众与他人的利</w:t>
      </w:r>
      <w:r>
        <w:rPr>
          <w:rFonts w:hint="eastAsia" w:ascii="宋体" w:hAnsi="宋体" w:eastAsia="宋体" w:cs="宋体"/>
          <w:color w:val="auto"/>
          <w:spacing w:val="-1"/>
          <w:sz w:val="21"/>
          <w:szCs w:val="21"/>
          <w:highlight w:val="none"/>
        </w:rPr>
        <w:t>益造成损害</w:t>
      </w:r>
    </w:p>
    <w:p w14:paraId="2183252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设计人在进行合同约定的各项工作时，不得侵害发包人与他人使用公用道路、</w:t>
      </w:r>
      <w:r>
        <w:rPr>
          <w:rFonts w:hint="eastAsia" w:ascii="宋体" w:hAnsi="宋体" w:eastAsia="宋体" w:cs="宋体"/>
          <w:color w:val="auto"/>
          <w:spacing w:val="1"/>
          <w:sz w:val="21"/>
          <w:szCs w:val="21"/>
          <w:highlight w:val="none"/>
        </w:rPr>
        <w:t>水源、市政管网等公共设施的权利，避免对邻近的</w:t>
      </w:r>
      <w:r>
        <w:rPr>
          <w:rFonts w:hint="eastAsia" w:ascii="宋体" w:hAnsi="宋体" w:eastAsia="宋体" w:cs="宋体"/>
          <w:color w:val="auto"/>
          <w:sz w:val="21"/>
          <w:szCs w:val="21"/>
          <w:highlight w:val="none"/>
        </w:rPr>
        <w:t>公共设施产生干扰，保证勘探场地的周边设施、建构筑物、地下管线、架空线和其他物体的安全运行。设计人占用</w:t>
      </w:r>
      <w:r>
        <w:rPr>
          <w:rFonts w:hint="eastAsia" w:ascii="宋体" w:hAnsi="宋体" w:eastAsia="宋体" w:cs="宋体"/>
          <w:color w:val="auto"/>
          <w:spacing w:val="-2"/>
          <w:sz w:val="21"/>
          <w:szCs w:val="21"/>
          <w:highlight w:val="none"/>
        </w:rPr>
        <w:t>或使用他人的施工场地，影响他人作业或生活的，应承担相应责任。</w:t>
      </w:r>
    </w:p>
    <w:p w14:paraId="6745983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4.1.6  其他义务</w:t>
      </w:r>
    </w:p>
    <w:p w14:paraId="5F67085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4.1.6.1  设计人对本合同工程勘察设计质量承担设计使用年限内的终</w:t>
      </w:r>
      <w:r>
        <w:rPr>
          <w:rFonts w:hint="eastAsia" w:ascii="宋体" w:hAnsi="宋体" w:eastAsia="宋体" w:cs="宋体"/>
          <w:color w:val="auto"/>
          <w:spacing w:val="-1"/>
          <w:sz w:val="21"/>
          <w:szCs w:val="21"/>
          <w:highlight w:val="none"/>
        </w:rPr>
        <w:t>身责任。</w:t>
      </w:r>
    </w:p>
    <w:p w14:paraId="70AEC0C4">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4.1.6.2  在勘察设计过程中，设计人应与本项目相干扰的铁路、航道、水利、管</w:t>
      </w:r>
      <w:r>
        <w:rPr>
          <w:rFonts w:hint="eastAsia" w:ascii="宋体" w:hAnsi="宋体" w:eastAsia="宋体" w:cs="宋体"/>
          <w:color w:val="auto"/>
          <w:sz w:val="21"/>
          <w:szCs w:val="21"/>
          <w:highlight w:val="none"/>
        </w:rPr>
        <w:t>线、电力电信及其他相关建筑设施或特殊保护区域的主管部门进行协商，获得项目</w:t>
      </w:r>
      <w:r>
        <w:rPr>
          <w:rFonts w:hint="eastAsia" w:ascii="宋体" w:hAnsi="宋体" w:eastAsia="宋体" w:cs="宋体"/>
          <w:color w:val="auto"/>
          <w:spacing w:val="1"/>
          <w:sz w:val="21"/>
          <w:szCs w:val="21"/>
          <w:highlight w:val="none"/>
        </w:rPr>
        <w:t>相干扰部门对推荐路线的认同意见、协议、批准</w:t>
      </w:r>
      <w:r>
        <w:rPr>
          <w:rFonts w:hint="eastAsia" w:ascii="宋体" w:hAnsi="宋体" w:eastAsia="宋体" w:cs="宋体"/>
          <w:color w:val="auto"/>
          <w:sz w:val="21"/>
          <w:szCs w:val="21"/>
          <w:highlight w:val="none"/>
        </w:rPr>
        <w:t>文件或纪要等，以确保本项目顺利</w:t>
      </w:r>
      <w:r>
        <w:rPr>
          <w:rFonts w:hint="eastAsia" w:ascii="宋体" w:hAnsi="宋体" w:eastAsia="宋体" w:cs="宋体"/>
          <w:color w:val="auto"/>
          <w:spacing w:val="-12"/>
          <w:sz w:val="21"/>
          <w:szCs w:val="21"/>
          <w:highlight w:val="none"/>
        </w:rPr>
        <w:t>实施。</w:t>
      </w:r>
    </w:p>
    <w:p w14:paraId="2E886C3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4.1.6.3  设计人的勘察设计文件应接受发包人、咨询单位及发包人的上级主管部</w:t>
      </w:r>
      <w:r>
        <w:rPr>
          <w:rFonts w:hint="eastAsia" w:ascii="宋体" w:hAnsi="宋体" w:eastAsia="宋体" w:cs="宋体"/>
          <w:color w:val="auto"/>
          <w:sz w:val="21"/>
          <w:szCs w:val="21"/>
          <w:highlight w:val="none"/>
        </w:rPr>
        <w:t>门的审查，凡审查意见中提出的问题，设计人应逐条给予认真贯彻落实，提交</w:t>
      </w:r>
      <w:r>
        <w:rPr>
          <w:rFonts w:hint="eastAsia" w:ascii="宋体" w:hAnsi="宋体" w:eastAsia="宋体" w:cs="宋体"/>
          <w:color w:val="auto"/>
          <w:spacing w:val="-1"/>
          <w:sz w:val="21"/>
          <w:szCs w:val="21"/>
          <w:highlight w:val="none"/>
        </w:rPr>
        <w:t>书面</w:t>
      </w:r>
      <w:r>
        <w:rPr>
          <w:rFonts w:hint="eastAsia" w:ascii="宋体" w:hAnsi="宋体" w:eastAsia="宋体" w:cs="宋体"/>
          <w:color w:val="auto"/>
          <w:spacing w:val="-4"/>
          <w:sz w:val="21"/>
          <w:szCs w:val="21"/>
          <w:highlight w:val="none"/>
        </w:rPr>
        <w:t>的反馈意见并免费修改勘察设计文件。</w:t>
      </w:r>
    </w:p>
    <w:p w14:paraId="58F8AAC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4.1.6.4  设计人应按发包人要求的数量（符合规范要求）提供所有为完成勘察设</w:t>
      </w:r>
      <w:r>
        <w:rPr>
          <w:rFonts w:hint="eastAsia" w:ascii="宋体" w:hAnsi="宋体" w:eastAsia="宋体" w:cs="宋体"/>
          <w:color w:val="auto"/>
          <w:sz w:val="21"/>
          <w:szCs w:val="21"/>
          <w:highlight w:val="none"/>
        </w:rPr>
        <w:t>计所必需的研究试验阶段性或成果性报告，接受发包人或上级主管部门的审查，并</w:t>
      </w:r>
      <w:r>
        <w:rPr>
          <w:rFonts w:hint="eastAsia" w:ascii="宋体" w:hAnsi="宋体" w:eastAsia="宋体" w:cs="宋体"/>
          <w:color w:val="auto"/>
          <w:spacing w:val="-4"/>
          <w:sz w:val="21"/>
          <w:szCs w:val="21"/>
          <w:highlight w:val="none"/>
        </w:rPr>
        <w:t>对相关问题作出澄清和解答。</w:t>
      </w:r>
    </w:p>
    <w:p w14:paraId="22868DB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4.1.6.5  设计人应根据设计需要开展专题研究工作，提交相应专题研究报告，并</w:t>
      </w:r>
      <w:r>
        <w:rPr>
          <w:rFonts w:hint="eastAsia" w:ascii="宋体" w:hAnsi="宋体" w:eastAsia="宋体" w:cs="宋体"/>
          <w:color w:val="auto"/>
          <w:spacing w:val="-3"/>
          <w:sz w:val="21"/>
          <w:szCs w:val="21"/>
          <w:highlight w:val="none"/>
        </w:rPr>
        <w:t>通过发包人或上级主管部门的审查。</w:t>
      </w:r>
    </w:p>
    <w:p w14:paraId="5966F46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4.1.6.6  设计人应履行合同约定的其他义务。</w:t>
      </w:r>
    </w:p>
    <w:p w14:paraId="754A81B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4.2  履约保证金</w:t>
      </w:r>
    </w:p>
    <w:p w14:paraId="488FC9F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4.2.1  除专用合同条款另有约定外，履约保证金自合</w:t>
      </w:r>
      <w:r>
        <w:rPr>
          <w:rFonts w:hint="eastAsia" w:ascii="宋体" w:hAnsi="宋体" w:eastAsia="宋体" w:cs="宋体"/>
          <w:color w:val="auto"/>
          <w:spacing w:val="-3"/>
          <w:sz w:val="21"/>
          <w:szCs w:val="21"/>
          <w:highlight w:val="none"/>
        </w:rPr>
        <w:t>同生效之日起生效，在最后</w:t>
      </w:r>
      <w:r>
        <w:rPr>
          <w:rFonts w:hint="eastAsia" w:ascii="宋体" w:hAnsi="宋体" w:eastAsia="宋体" w:cs="宋体"/>
          <w:color w:val="auto"/>
          <w:sz w:val="21"/>
          <w:szCs w:val="21"/>
          <w:highlight w:val="none"/>
        </w:rPr>
        <w:t>一批勘察设计成果文件经上级主管部门批复且设计人按照合同约定缴纳质量保证金</w:t>
      </w:r>
      <w:r>
        <w:rPr>
          <w:rFonts w:hint="eastAsia" w:ascii="宋体" w:hAnsi="宋体" w:eastAsia="宋体" w:cs="宋体"/>
          <w:color w:val="auto"/>
          <w:spacing w:val="-2"/>
          <w:sz w:val="21"/>
          <w:szCs w:val="21"/>
          <w:highlight w:val="none"/>
        </w:rPr>
        <w:t>之日起28 天后失效。如果设计人不履行合同约定的义务或</w:t>
      </w:r>
      <w:r>
        <w:rPr>
          <w:rFonts w:hint="eastAsia" w:ascii="宋体" w:hAnsi="宋体" w:eastAsia="宋体" w:cs="宋体"/>
          <w:color w:val="auto"/>
          <w:spacing w:val="-3"/>
          <w:sz w:val="21"/>
          <w:szCs w:val="21"/>
          <w:highlight w:val="none"/>
        </w:rPr>
        <w:t>其履行不符合合同的约定，发包人有权扣划相应金额的履约保证金。</w:t>
      </w:r>
    </w:p>
    <w:p w14:paraId="29CB97D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4.2.2  发包人应在收到设计人缴纳的质量保证金后</w:t>
      </w:r>
      <w:r>
        <w:rPr>
          <w:rFonts w:hint="eastAsia" w:ascii="宋体" w:hAnsi="宋体" w:eastAsia="宋体" w:cs="宋体"/>
          <w:color w:val="auto"/>
          <w:spacing w:val="-20"/>
          <w:sz w:val="21"/>
          <w:szCs w:val="21"/>
          <w:highlight w:val="none"/>
        </w:rPr>
        <w:t xml:space="preserve"> </w:t>
      </w:r>
      <w:r>
        <w:rPr>
          <w:rFonts w:hint="eastAsia" w:ascii="宋体" w:hAnsi="宋体" w:eastAsia="宋体" w:cs="宋体"/>
          <w:color w:val="auto"/>
          <w:spacing w:val="-1"/>
          <w:sz w:val="21"/>
          <w:szCs w:val="21"/>
          <w:highlight w:val="none"/>
        </w:rPr>
        <w:t>28</w:t>
      </w:r>
      <w:r>
        <w:rPr>
          <w:rFonts w:hint="eastAsia" w:ascii="宋体" w:hAnsi="宋体" w:eastAsia="宋体" w:cs="宋体"/>
          <w:color w:val="auto"/>
          <w:spacing w:val="31"/>
          <w:w w:val="101"/>
          <w:sz w:val="21"/>
          <w:szCs w:val="21"/>
          <w:highlight w:val="none"/>
        </w:rPr>
        <w:t xml:space="preserve"> </w:t>
      </w:r>
      <w:r>
        <w:rPr>
          <w:rFonts w:hint="eastAsia" w:ascii="宋体" w:hAnsi="宋体" w:eastAsia="宋体" w:cs="宋体"/>
          <w:color w:val="auto"/>
          <w:spacing w:val="-1"/>
          <w:sz w:val="21"/>
          <w:szCs w:val="21"/>
          <w:highlight w:val="none"/>
        </w:rPr>
        <w:t>天内将履约保证金退还给</w:t>
      </w:r>
      <w:r>
        <w:rPr>
          <w:rFonts w:hint="eastAsia" w:ascii="宋体" w:hAnsi="宋体" w:eastAsia="宋体" w:cs="宋体"/>
          <w:color w:val="auto"/>
          <w:sz w:val="21"/>
          <w:szCs w:val="21"/>
          <w:highlight w:val="none"/>
        </w:rPr>
        <w:t>设计人。设计人拒绝按照本合同约定缴纳质量保证金的，发包人有权从勘察设计费</w:t>
      </w:r>
      <w:r>
        <w:rPr>
          <w:rFonts w:hint="eastAsia" w:ascii="宋体" w:hAnsi="宋体" w:eastAsia="宋体" w:cs="宋体"/>
          <w:color w:val="auto"/>
          <w:spacing w:val="-3"/>
          <w:sz w:val="21"/>
          <w:szCs w:val="21"/>
          <w:highlight w:val="none"/>
        </w:rPr>
        <w:t>中扣留相应金额作为质量保证金。</w:t>
      </w:r>
    </w:p>
    <w:p w14:paraId="17D682F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4.2.3  发包人对履约保证金提出的任何索赔要求，均应在</w:t>
      </w:r>
      <w:r>
        <w:rPr>
          <w:rFonts w:hint="eastAsia" w:ascii="宋体" w:hAnsi="宋体" w:eastAsia="宋体" w:cs="宋体"/>
          <w:color w:val="auto"/>
          <w:spacing w:val="-3"/>
          <w:sz w:val="21"/>
          <w:szCs w:val="21"/>
          <w:highlight w:val="none"/>
        </w:rPr>
        <w:t>履约保证金有效期内提</w:t>
      </w:r>
      <w:r>
        <w:rPr>
          <w:rFonts w:hint="eastAsia" w:ascii="宋体" w:hAnsi="宋体" w:eastAsia="宋体" w:cs="宋体"/>
          <w:color w:val="auto"/>
          <w:spacing w:val="-17"/>
          <w:sz w:val="21"/>
          <w:szCs w:val="21"/>
          <w:highlight w:val="none"/>
        </w:rPr>
        <w:t>出。</w:t>
      </w:r>
    </w:p>
    <w:p w14:paraId="1D28D13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4.3  分包和不得转包</w:t>
      </w:r>
    </w:p>
    <w:p w14:paraId="18B5FDC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4.3.1  设计人不得将其勘察设计的全部工作</w:t>
      </w:r>
      <w:r>
        <w:rPr>
          <w:rFonts w:hint="eastAsia" w:ascii="宋体" w:hAnsi="宋体" w:eastAsia="宋体" w:cs="宋体"/>
          <w:color w:val="auto"/>
          <w:spacing w:val="-2"/>
          <w:sz w:val="21"/>
          <w:szCs w:val="21"/>
          <w:highlight w:val="none"/>
        </w:rPr>
        <w:t>转包给第三人。</w:t>
      </w:r>
    </w:p>
    <w:p w14:paraId="4416481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4.3.2  设计人不得将勘察设计的主体、关键性工作</w:t>
      </w:r>
      <w:r>
        <w:rPr>
          <w:rFonts w:hint="eastAsia" w:ascii="宋体" w:hAnsi="宋体" w:eastAsia="宋体" w:cs="宋体"/>
          <w:color w:val="auto"/>
          <w:spacing w:val="-3"/>
          <w:sz w:val="21"/>
          <w:szCs w:val="21"/>
          <w:highlight w:val="none"/>
        </w:rPr>
        <w:t>分包给第三人。除专用合同条</w:t>
      </w:r>
      <w:r>
        <w:rPr>
          <w:rFonts w:hint="eastAsia" w:ascii="宋体" w:hAnsi="宋体" w:eastAsia="宋体" w:cs="宋体"/>
          <w:color w:val="auto"/>
          <w:spacing w:val="-7"/>
          <w:sz w:val="21"/>
          <w:szCs w:val="21"/>
          <w:highlight w:val="none"/>
        </w:rPr>
        <w:t>款另有约定外，经发包人同意，设计人可将工程设计中跨专业或有特殊要求的勘察、</w:t>
      </w:r>
      <w:r>
        <w:rPr>
          <w:rFonts w:hint="eastAsia" w:ascii="宋体" w:hAnsi="宋体" w:eastAsia="宋体" w:cs="宋体"/>
          <w:color w:val="auto"/>
          <w:spacing w:val="-1"/>
          <w:sz w:val="21"/>
          <w:szCs w:val="21"/>
          <w:highlight w:val="none"/>
        </w:rPr>
        <w:t>设计工作进行分包。未列入投标文件的勘察设计工作，</w:t>
      </w:r>
      <w:r>
        <w:rPr>
          <w:rFonts w:hint="eastAsia" w:ascii="宋体" w:hAnsi="宋体" w:eastAsia="宋体" w:cs="宋体"/>
          <w:color w:val="auto"/>
          <w:spacing w:val="-2"/>
          <w:sz w:val="21"/>
          <w:szCs w:val="21"/>
          <w:highlight w:val="none"/>
        </w:rPr>
        <w:t>设计人不得分包。</w:t>
      </w:r>
    </w:p>
    <w:p w14:paraId="3373DB3B">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4.3.3  发包人同意设计人分包工作的，设计人应在分包合同签订之日起</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rPr>
        <w:t>7</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3"/>
          <w:sz w:val="21"/>
          <w:szCs w:val="21"/>
          <w:highlight w:val="none"/>
        </w:rPr>
        <w:t>天内向</w:t>
      </w:r>
      <w:r>
        <w:rPr>
          <w:rFonts w:hint="eastAsia" w:ascii="宋体" w:hAnsi="宋体" w:eastAsia="宋体" w:cs="宋体"/>
          <w:color w:val="auto"/>
          <w:spacing w:val="-2"/>
          <w:sz w:val="21"/>
          <w:szCs w:val="21"/>
          <w:highlight w:val="none"/>
        </w:rPr>
        <w:t>发包人提交 1</w:t>
      </w:r>
      <w:r>
        <w:rPr>
          <w:rFonts w:hint="eastAsia" w:ascii="宋体" w:hAnsi="宋体" w:eastAsia="宋体" w:cs="宋体"/>
          <w:color w:val="auto"/>
          <w:spacing w:val="35"/>
          <w:sz w:val="21"/>
          <w:szCs w:val="21"/>
          <w:highlight w:val="none"/>
        </w:rPr>
        <w:t xml:space="preserve"> </w:t>
      </w:r>
      <w:r>
        <w:rPr>
          <w:rFonts w:hint="eastAsia" w:ascii="宋体" w:hAnsi="宋体" w:eastAsia="宋体" w:cs="宋体"/>
          <w:color w:val="auto"/>
          <w:spacing w:val="-2"/>
          <w:sz w:val="21"/>
          <w:szCs w:val="21"/>
          <w:highlight w:val="none"/>
        </w:rPr>
        <w:t>份分包合同副本，并对分包工作质量承担连带责任。除专用合同条款另有约定外，分包人的勘察设计费用由设计人向分包人自行支付。</w:t>
      </w:r>
    </w:p>
    <w:p w14:paraId="67F643E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4.3.4  分包人的资格能力应与其分包工作的标准和规模</w:t>
      </w:r>
      <w:r>
        <w:rPr>
          <w:rFonts w:hint="eastAsia" w:ascii="宋体" w:hAnsi="宋体" w:eastAsia="宋体" w:cs="宋体"/>
          <w:color w:val="auto"/>
          <w:spacing w:val="-3"/>
          <w:sz w:val="21"/>
          <w:szCs w:val="21"/>
          <w:highlight w:val="none"/>
        </w:rPr>
        <w:t>相适应，包括必要的企业</w:t>
      </w:r>
      <w:r>
        <w:rPr>
          <w:rFonts w:hint="eastAsia" w:ascii="宋体" w:hAnsi="宋体" w:eastAsia="宋体" w:cs="宋体"/>
          <w:color w:val="auto"/>
          <w:spacing w:val="-2"/>
          <w:sz w:val="21"/>
          <w:szCs w:val="21"/>
          <w:highlight w:val="none"/>
        </w:rPr>
        <w:t>资质、人员、设备和类似业绩等。分包人不得将分包项目再次分包或转包。</w:t>
      </w:r>
    </w:p>
    <w:p w14:paraId="21D845A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3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4.3.5  发包人对设计人与各分包人之间的法律和经济纠纷</w:t>
      </w:r>
      <w:r>
        <w:rPr>
          <w:rFonts w:hint="eastAsia" w:ascii="宋体" w:hAnsi="宋体" w:eastAsia="宋体" w:cs="宋体"/>
          <w:color w:val="auto"/>
          <w:spacing w:val="3"/>
          <w:sz w:val="21"/>
          <w:szCs w:val="21"/>
          <w:highlight w:val="none"/>
        </w:rPr>
        <w:t>不承担任何责任和义</w:t>
      </w:r>
      <w:r>
        <w:rPr>
          <w:rFonts w:hint="eastAsia" w:ascii="宋体" w:hAnsi="宋体" w:eastAsia="宋体" w:cs="宋体"/>
          <w:color w:val="auto"/>
          <w:spacing w:val="-12"/>
          <w:sz w:val="21"/>
          <w:szCs w:val="21"/>
          <w:highlight w:val="none"/>
        </w:rPr>
        <w:t>务。</w:t>
      </w:r>
    </w:p>
    <w:p w14:paraId="6D09345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4.4</w:t>
      </w:r>
      <w:r>
        <w:rPr>
          <w:rFonts w:hint="eastAsia" w:ascii="宋体" w:hAnsi="宋体" w:eastAsia="宋体" w:cs="宋体"/>
          <w:b/>
          <w:bCs/>
          <w:color w:val="auto"/>
          <w:spacing w:val="5"/>
          <w:sz w:val="21"/>
          <w:szCs w:val="21"/>
          <w:highlight w:val="none"/>
        </w:rPr>
        <w:t xml:space="preserve">  </w:t>
      </w:r>
      <w:r>
        <w:rPr>
          <w:rFonts w:hint="eastAsia" w:ascii="宋体" w:hAnsi="宋体" w:eastAsia="宋体" w:cs="宋体"/>
          <w:b/>
          <w:bCs/>
          <w:color w:val="auto"/>
          <w:spacing w:val="-4"/>
          <w:sz w:val="21"/>
          <w:szCs w:val="21"/>
          <w:highlight w:val="none"/>
        </w:rPr>
        <w:t>联合体</w:t>
      </w:r>
    </w:p>
    <w:p w14:paraId="793499E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4.4.1  联合体各方应共同与发包人签订合同。联合体各</w:t>
      </w:r>
      <w:r>
        <w:rPr>
          <w:rFonts w:hint="eastAsia" w:ascii="宋体" w:hAnsi="宋体" w:eastAsia="宋体" w:cs="宋体"/>
          <w:color w:val="auto"/>
          <w:spacing w:val="-3"/>
          <w:sz w:val="21"/>
          <w:szCs w:val="21"/>
          <w:highlight w:val="none"/>
        </w:rPr>
        <w:t>方应为履行合同承担连带</w:t>
      </w:r>
      <w:r>
        <w:rPr>
          <w:rFonts w:hint="eastAsia" w:ascii="宋体" w:hAnsi="宋体" w:eastAsia="宋体" w:cs="宋体"/>
          <w:color w:val="auto"/>
          <w:spacing w:val="-12"/>
          <w:sz w:val="21"/>
          <w:szCs w:val="21"/>
          <w:highlight w:val="none"/>
        </w:rPr>
        <w:t>责任。</w:t>
      </w:r>
    </w:p>
    <w:p w14:paraId="58C1417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4.4.2  联合体协议经发包人确认后作为合</w:t>
      </w:r>
      <w:r>
        <w:rPr>
          <w:rFonts w:hint="eastAsia" w:ascii="宋体" w:hAnsi="宋体" w:eastAsia="宋体" w:cs="宋体"/>
          <w:color w:val="auto"/>
          <w:spacing w:val="-5"/>
          <w:sz w:val="21"/>
          <w:szCs w:val="21"/>
          <w:highlight w:val="none"/>
        </w:rPr>
        <w:t>同附件。在履行合同过程中，</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5"/>
          <w:sz w:val="21"/>
          <w:szCs w:val="21"/>
          <w:highlight w:val="none"/>
        </w:rPr>
        <w:t>未经发包</w:t>
      </w:r>
      <w:r>
        <w:rPr>
          <w:rFonts w:hint="eastAsia" w:ascii="宋体" w:hAnsi="宋体" w:eastAsia="宋体" w:cs="宋体"/>
          <w:color w:val="auto"/>
          <w:spacing w:val="-4"/>
          <w:sz w:val="21"/>
          <w:szCs w:val="21"/>
          <w:highlight w:val="none"/>
        </w:rPr>
        <w:t>人同意，不得修改联合体协议。</w:t>
      </w:r>
    </w:p>
    <w:p w14:paraId="6E21852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4.4.3  联合体牵头人负责与发包人联系并接受指示，负</w:t>
      </w:r>
      <w:r>
        <w:rPr>
          <w:rFonts w:hint="eastAsia" w:ascii="宋体" w:hAnsi="宋体" w:eastAsia="宋体" w:cs="宋体"/>
          <w:color w:val="auto"/>
          <w:spacing w:val="-3"/>
          <w:sz w:val="21"/>
          <w:szCs w:val="21"/>
          <w:highlight w:val="none"/>
        </w:rPr>
        <w:t>责组织联合体各成员全面</w:t>
      </w:r>
      <w:r>
        <w:rPr>
          <w:rFonts w:hint="eastAsia" w:ascii="宋体" w:hAnsi="宋体" w:eastAsia="宋体" w:cs="宋体"/>
          <w:color w:val="auto"/>
          <w:sz w:val="21"/>
          <w:szCs w:val="21"/>
          <w:highlight w:val="none"/>
        </w:rPr>
        <w:t>履行合同。发包人就本合同工程向联合体牵头人发布的任何指令、指示、通知等均</w:t>
      </w:r>
      <w:r>
        <w:rPr>
          <w:rFonts w:hint="eastAsia" w:ascii="宋体" w:hAnsi="宋体" w:eastAsia="宋体" w:cs="宋体"/>
          <w:color w:val="auto"/>
          <w:spacing w:val="-3"/>
          <w:sz w:val="21"/>
          <w:szCs w:val="21"/>
          <w:highlight w:val="none"/>
        </w:rPr>
        <w:t>对联合体其他成员具有同等效力。</w:t>
      </w:r>
    </w:p>
    <w:p w14:paraId="1875CF4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4.4.4  未经发包人同意，联合体的组成、结构与业务分工均不得</w:t>
      </w:r>
      <w:r>
        <w:rPr>
          <w:rFonts w:hint="eastAsia" w:ascii="宋体" w:hAnsi="宋体" w:eastAsia="宋体" w:cs="宋体"/>
          <w:color w:val="auto"/>
          <w:spacing w:val="-2"/>
          <w:sz w:val="21"/>
          <w:szCs w:val="21"/>
          <w:highlight w:val="none"/>
        </w:rPr>
        <w:t>变动。</w:t>
      </w:r>
    </w:p>
    <w:p w14:paraId="6614D8E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4.5  项目负责人</w:t>
      </w:r>
    </w:p>
    <w:p w14:paraId="1FBD49F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4.5.1  设计人应按合同协议书的约定指派项目负责人，并在约</w:t>
      </w:r>
      <w:r>
        <w:rPr>
          <w:rFonts w:hint="eastAsia" w:ascii="宋体" w:hAnsi="宋体" w:eastAsia="宋体" w:cs="宋体"/>
          <w:color w:val="auto"/>
          <w:spacing w:val="-1"/>
          <w:sz w:val="21"/>
          <w:szCs w:val="21"/>
          <w:highlight w:val="none"/>
        </w:rPr>
        <w:t>定的期限内到职。</w:t>
      </w:r>
      <w:r>
        <w:rPr>
          <w:rFonts w:hint="eastAsia" w:ascii="宋体" w:hAnsi="宋体" w:eastAsia="宋体" w:cs="宋体"/>
          <w:color w:val="auto"/>
          <w:spacing w:val="-4"/>
          <w:sz w:val="21"/>
          <w:szCs w:val="21"/>
          <w:highlight w:val="none"/>
        </w:rPr>
        <w:t>设计人更换项目负责人应事先征得发包人同意，并应在更换</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4"/>
          <w:sz w:val="21"/>
          <w:szCs w:val="21"/>
          <w:highlight w:val="none"/>
        </w:rPr>
        <w:t>14</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4"/>
          <w:sz w:val="21"/>
          <w:szCs w:val="21"/>
          <w:highlight w:val="none"/>
        </w:rPr>
        <w:t>天前将拟更换的项目</w:t>
      </w:r>
      <w:r>
        <w:rPr>
          <w:rFonts w:hint="eastAsia" w:ascii="宋体" w:hAnsi="宋体" w:eastAsia="宋体" w:cs="宋体"/>
          <w:color w:val="auto"/>
          <w:spacing w:val="1"/>
          <w:sz w:val="21"/>
          <w:szCs w:val="21"/>
          <w:highlight w:val="none"/>
        </w:rPr>
        <w:t>负责人姓名和详细资料提交发包人，拟更换的</w:t>
      </w:r>
      <w:r>
        <w:rPr>
          <w:rFonts w:hint="eastAsia" w:ascii="宋体" w:hAnsi="宋体" w:eastAsia="宋体" w:cs="宋体"/>
          <w:color w:val="auto"/>
          <w:sz w:val="21"/>
          <w:szCs w:val="21"/>
          <w:highlight w:val="none"/>
        </w:rPr>
        <w:t>项目负责人资历应不低于原项目负责</w:t>
      </w:r>
      <w:r>
        <w:rPr>
          <w:rFonts w:hint="eastAsia" w:ascii="宋体" w:hAnsi="宋体" w:eastAsia="宋体" w:cs="宋体"/>
          <w:color w:val="auto"/>
          <w:spacing w:val="-1"/>
          <w:sz w:val="21"/>
          <w:szCs w:val="21"/>
          <w:highlight w:val="none"/>
        </w:rPr>
        <w:t>人。项目负责人</w:t>
      </w:r>
      <w:r>
        <w:rPr>
          <w:rFonts w:hint="eastAsia" w:ascii="宋体" w:hAnsi="宋体" w:eastAsia="宋体" w:cs="宋体"/>
          <w:color w:val="auto"/>
          <w:spacing w:val="-28"/>
          <w:sz w:val="21"/>
          <w:szCs w:val="21"/>
          <w:highlight w:val="none"/>
        </w:rPr>
        <w:t xml:space="preserve"> </w:t>
      </w:r>
      <w:r>
        <w:rPr>
          <w:rFonts w:hint="eastAsia" w:ascii="宋体" w:hAnsi="宋体" w:eastAsia="宋体" w:cs="宋体"/>
          <w:color w:val="auto"/>
          <w:spacing w:val="-1"/>
          <w:sz w:val="21"/>
          <w:szCs w:val="21"/>
          <w:highlight w:val="none"/>
        </w:rPr>
        <w:t>2</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1"/>
          <w:sz w:val="21"/>
          <w:szCs w:val="21"/>
          <w:highlight w:val="none"/>
        </w:rPr>
        <w:t>天内不能履行职责的，应事先征得发包人同意，并委派代</w:t>
      </w:r>
      <w:r>
        <w:rPr>
          <w:rFonts w:hint="eastAsia" w:ascii="宋体" w:hAnsi="宋体" w:eastAsia="宋体" w:cs="宋体"/>
          <w:color w:val="auto"/>
          <w:spacing w:val="-2"/>
          <w:sz w:val="21"/>
          <w:szCs w:val="21"/>
          <w:highlight w:val="none"/>
        </w:rPr>
        <w:t>表代行</w:t>
      </w:r>
      <w:r>
        <w:rPr>
          <w:rFonts w:hint="eastAsia" w:ascii="宋体" w:hAnsi="宋体" w:eastAsia="宋体" w:cs="宋体"/>
          <w:color w:val="auto"/>
          <w:spacing w:val="-9"/>
          <w:sz w:val="21"/>
          <w:szCs w:val="21"/>
          <w:highlight w:val="none"/>
        </w:rPr>
        <w:t>其职责。</w:t>
      </w:r>
    </w:p>
    <w:p w14:paraId="661DB8C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4.5.2 项目负责人应按合同约定以及发包人要求，负责组织合同工作的实施。在</w:t>
      </w:r>
      <w:r>
        <w:rPr>
          <w:rFonts w:hint="eastAsia" w:ascii="宋体" w:hAnsi="宋体" w:eastAsia="宋体" w:cs="宋体"/>
          <w:color w:val="auto"/>
          <w:sz w:val="21"/>
          <w:szCs w:val="21"/>
          <w:highlight w:val="none"/>
        </w:rPr>
        <w:t>情况紧急且无法与发包人取得联系时，可采取保证工程和人员生命财产安全的紧急</w:t>
      </w:r>
      <w:r>
        <w:rPr>
          <w:rFonts w:hint="eastAsia" w:ascii="宋体" w:hAnsi="宋体" w:eastAsia="宋体" w:cs="宋体"/>
          <w:color w:val="auto"/>
          <w:spacing w:val="-3"/>
          <w:sz w:val="21"/>
          <w:szCs w:val="21"/>
          <w:highlight w:val="none"/>
        </w:rPr>
        <w:t>措施，并在采取措施后</w:t>
      </w:r>
      <w:r>
        <w:rPr>
          <w:rFonts w:hint="eastAsia" w:ascii="宋体" w:hAnsi="宋体" w:eastAsia="宋体" w:cs="宋体"/>
          <w:color w:val="auto"/>
          <w:spacing w:val="-39"/>
          <w:sz w:val="21"/>
          <w:szCs w:val="21"/>
          <w:highlight w:val="none"/>
        </w:rPr>
        <w:t xml:space="preserve"> </w:t>
      </w:r>
      <w:r>
        <w:rPr>
          <w:rFonts w:hint="eastAsia" w:ascii="宋体" w:hAnsi="宋体" w:eastAsia="宋体" w:cs="宋体"/>
          <w:color w:val="auto"/>
          <w:spacing w:val="-3"/>
          <w:sz w:val="21"/>
          <w:szCs w:val="21"/>
          <w:highlight w:val="none"/>
        </w:rPr>
        <w:t>24</w:t>
      </w:r>
      <w:r>
        <w:rPr>
          <w:rFonts w:hint="eastAsia" w:ascii="宋体" w:hAnsi="宋体" w:eastAsia="宋体" w:cs="宋体"/>
          <w:color w:val="auto"/>
          <w:spacing w:val="15"/>
          <w:w w:val="101"/>
          <w:sz w:val="21"/>
          <w:szCs w:val="21"/>
          <w:highlight w:val="none"/>
        </w:rPr>
        <w:t xml:space="preserve"> </w:t>
      </w:r>
      <w:r>
        <w:rPr>
          <w:rFonts w:hint="eastAsia" w:ascii="宋体" w:hAnsi="宋体" w:eastAsia="宋体" w:cs="宋体"/>
          <w:color w:val="auto"/>
          <w:spacing w:val="-3"/>
          <w:sz w:val="21"/>
          <w:szCs w:val="21"/>
          <w:highlight w:val="none"/>
        </w:rPr>
        <w:t>小时内向发包人提交书面报告。</w:t>
      </w:r>
    </w:p>
    <w:p w14:paraId="2BAB364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4.5.3  设计人为履行合同发出的一切函件均应盖有设计</w:t>
      </w:r>
      <w:r>
        <w:rPr>
          <w:rFonts w:hint="eastAsia" w:ascii="宋体" w:hAnsi="宋体" w:eastAsia="宋体" w:cs="宋体"/>
          <w:color w:val="auto"/>
          <w:spacing w:val="-3"/>
          <w:sz w:val="21"/>
          <w:szCs w:val="21"/>
          <w:highlight w:val="none"/>
        </w:rPr>
        <w:t>人单位</w:t>
      </w:r>
      <w:r>
        <w:rPr>
          <w:rFonts w:hint="eastAsia" w:ascii="宋体" w:hAnsi="宋体" w:eastAsia="宋体" w:cs="宋体"/>
          <w:color w:val="auto"/>
          <w:spacing w:val="-3"/>
          <w:sz w:val="21"/>
          <w:szCs w:val="21"/>
          <w:highlight w:val="none"/>
          <w:lang w:val="en-US" w:eastAsia="zh-CN"/>
        </w:rPr>
        <w:t>公</w:t>
      </w:r>
      <w:r>
        <w:rPr>
          <w:rFonts w:hint="eastAsia" w:ascii="宋体" w:hAnsi="宋体" w:eastAsia="宋体" w:cs="宋体"/>
          <w:color w:val="auto"/>
          <w:spacing w:val="-3"/>
          <w:sz w:val="21"/>
          <w:szCs w:val="21"/>
          <w:highlight w:val="none"/>
        </w:rPr>
        <w:t>章，并由设计人的</w:t>
      </w:r>
      <w:r>
        <w:rPr>
          <w:rFonts w:hint="eastAsia" w:ascii="宋体" w:hAnsi="宋体" w:eastAsia="宋体" w:cs="宋体"/>
          <w:color w:val="auto"/>
          <w:spacing w:val="-5"/>
          <w:sz w:val="21"/>
          <w:szCs w:val="21"/>
          <w:highlight w:val="none"/>
        </w:rPr>
        <w:t>项目负责人签字确认。</w:t>
      </w:r>
    </w:p>
    <w:p w14:paraId="74EEB1E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4.5.4  按照专用合同条款约定，项目负责人可以授权其下属人员履行其某项职责，</w:t>
      </w:r>
      <w:r>
        <w:rPr>
          <w:rFonts w:hint="eastAsia" w:ascii="宋体" w:hAnsi="宋体" w:eastAsia="宋体" w:cs="宋体"/>
          <w:color w:val="auto"/>
          <w:spacing w:val="-1"/>
          <w:sz w:val="21"/>
          <w:szCs w:val="21"/>
          <w:highlight w:val="none"/>
        </w:rPr>
        <w:t>但事先应将这些人员的姓名和授权范围书面通知发包人。</w:t>
      </w:r>
    </w:p>
    <w:p w14:paraId="7BDF304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4.6  勘察设计人员的管理</w:t>
      </w:r>
    </w:p>
    <w:p w14:paraId="522436D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4.6.1  设计人应在接到开始勘察设计通知之日起</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3"/>
          <w:sz w:val="21"/>
          <w:szCs w:val="21"/>
          <w:highlight w:val="none"/>
        </w:rPr>
        <w:t>7</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3"/>
          <w:sz w:val="21"/>
          <w:szCs w:val="21"/>
          <w:highlight w:val="none"/>
        </w:rPr>
        <w:t>天内，向发包人提交勘察设计</w:t>
      </w:r>
      <w:r>
        <w:rPr>
          <w:rFonts w:hint="eastAsia" w:ascii="宋体" w:hAnsi="宋体" w:eastAsia="宋体" w:cs="宋体"/>
          <w:color w:val="auto"/>
          <w:spacing w:val="1"/>
          <w:sz w:val="21"/>
          <w:szCs w:val="21"/>
          <w:highlight w:val="none"/>
        </w:rPr>
        <w:t>项目机构以及人员安排的报告，其内容应包括项</w:t>
      </w:r>
      <w:r>
        <w:rPr>
          <w:rFonts w:hint="eastAsia" w:ascii="宋体" w:hAnsi="宋体" w:eastAsia="宋体" w:cs="宋体"/>
          <w:color w:val="auto"/>
          <w:sz w:val="21"/>
          <w:szCs w:val="21"/>
          <w:highlight w:val="none"/>
        </w:rPr>
        <w:t>目机构设置、主要勘察设计人员和</w:t>
      </w:r>
      <w:r>
        <w:rPr>
          <w:rFonts w:hint="eastAsia" w:ascii="宋体" w:hAnsi="宋体" w:eastAsia="宋体" w:cs="宋体"/>
          <w:color w:val="auto"/>
          <w:spacing w:val="1"/>
          <w:sz w:val="21"/>
          <w:szCs w:val="21"/>
          <w:highlight w:val="none"/>
        </w:rPr>
        <w:t>其他人员的名单及资格条件。主要勘察设计人员</w:t>
      </w:r>
      <w:r>
        <w:rPr>
          <w:rFonts w:hint="eastAsia" w:ascii="宋体" w:hAnsi="宋体" w:eastAsia="宋体" w:cs="宋体"/>
          <w:color w:val="auto"/>
          <w:sz w:val="21"/>
          <w:szCs w:val="21"/>
          <w:highlight w:val="none"/>
        </w:rPr>
        <w:t>应相对稳定，更换主要勘察设计人</w:t>
      </w:r>
      <w:r>
        <w:rPr>
          <w:rFonts w:hint="eastAsia" w:ascii="宋体" w:hAnsi="宋体" w:eastAsia="宋体" w:cs="宋体"/>
          <w:color w:val="auto"/>
          <w:spacing w:val="1"/>
          <w:sz w:val="21"/>
          <w:szCs w:val="21"/>
          <w:highlight w:val="none"/>
        </w:rPr>
        <w:t>员的，应取得发包人的同意，并向发包人提交继任人员的资</w:t>
      </w:r>
      <w:r>
        <w:rPr>
          <w:rFonts w:hint="eastAsia" w:ascii="宋体" w:hAnsi="宋体" w:eastAsia="宋体" w:cs="宋体"/>
          <w:color w:val="auto"/>
          <w:sz w:val="21"/>
          <w:szCs w:val="21"/>
          <w:highlight w:val="none"/>
        </w:rPr>
        <w:t>格、管理经验等资料，</w:t>
      </w:r>
      <w:r>
        <w:rPr>
          <w:rFonts w:hint="eastAsia" w:ascii="宋体" w:hAnsi="宋体" w:eastAsia="宋体" w:cs="宋体"/>
          <w:color w:val="auto"/>
          <w:spacing w:val="-4"/>
          <w:sz w:val="21"/>
          <w:szCs w:val="21"/>
          <w:highlight w:val="none"/>
        </w:rPr>
        <w:t>继任人员的资历应不低于原设计人员。项目负责</w:t>
      </w:r>
      <w:r>
        <w:rPr>
          <w:rFonts w:hint="eastAsia" w:ascii="宋体" w:hAnsi="宋体" w:eastAsia="宋体" w:cs="宋体"/>
          <w:color w:val="auto"/>
          <w:spacing w:val="-5"/>
          <w:sz w:val="21"/>
          <w:szCs w:val="21"/>
          <w:highlight w:val="none"/>
        </w:rPr>
        <w:t>人的更换，</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5"/>
          <w:sz w:val="21"/>
          <w:szCs w:val="21"/>
          <w:highlight w:val="none"/>
        </w:rPr>
        <w:t>应按照本章第</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5"/>
          <w:sz w:val="21"/>
          <w:szCs w:val="21"/>
          <w:highlight w:val="none"/>
        </w:rPr>
        <w:t>4.5.1 项规</w:t>
      </w:r>
      <w:r>
        <w:rPr>
          <w:rFonts w:hint="eastAsia" w:ascii="宋体" w:hAnsi="宋体" w:eastAsia="宋体" w:cs="宋体"/>
          <w:color w:val="auto"/>
          <w:spacing w:val="-9"/>
          <w:sz w:val="21"/>
          <w:szCs w:val="21"/>
          <w:highlight w:val="none"/>
        </w:rPr>
        <w:t>定执行。</w:t>
      </w:r>
    </w:p>
    <w:p w14:paraId="594BB28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4.6.2  除专用合同条款另有约定外，主要勘察设计</w:t>
      </w:r>
      <w:r>
        <w:rPr>
          <w:rFonts w:hint="eastAsia" w:ascii="宋体" w:hAnsi="宋体" w:eastAsia="宋体" w:cs="宋体"/>
          <w:color w:val="auto"/>
          <w:spacing w:val="-3"/>
          <w:sz w:val="21"/>
          <w:szCs w:val="21"/>
          <w:highlight w:val="none"/>
        </w:rPr>
        <w:t>人员包括项目负责人、专业负</w:t>
      </w:r>
      <w:r>
        <w:rPr>
          <w:rFonts w:hint="eastAsia" w:ascii="宋体" w:hAnsi="宋体" w:eastAsia="宋体" w:cs="宋体"/>
          <w:color w:val="auto"/>
          <w:sz w:val="21"/>
          <w:szCs w:val="21"/>
          <w:highlight w:val="none"/>
        </w:rPr>
        <w:t>责人、审核人、审定人等；其他人员包括勘察作业人员、各专业的设计人员、管理</w:t>
      </w:r>
      <w:r>
        <w:rPr>
          <w:rFonts w:hint="eastAsia" w:ascii="宋体" w:hAnsi="宋体" w:eastAsia="宋体" w:cs="宋体"/>
          <w:color w:val="auto"/>
          <w:spacing w:val="-9"/>
          <w:sz w:val="21"/>
          <w:szCs w:val="21"/>
          <w:highlight w:val="none"/>
        </w:rPr>
        <w:t>人员等。</w:t>
      </w:r>
    </w:p>
    <w:p w14:paraId="090831F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8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4.6.3 设计人应保证其主要勘察设计人员（含分包人）在合</w:t>
      </w:r>
      <w:r>
        <w:rPr>
          <w:rFonts w:hint="eastAsia" w:ascii="宋体" w:hAnsi="宋体" w:eastAsia="宋体" w:cs="宋体"/>
          <w:color w:val="auto"/>
          <w:spacing w:val="-9"/>
          <w:sz w:val="21"/>
          <w:szCs w:val="21"/>
          <w:highlight w:val="none"/>
        </w:rPr>
        <w:t>同期限内的任何时候，</w:t>
      </w:r>
      <w:r>
        <w:rPr>
          <w:rFonts w:hint="eastAsia" w:ascii="宋体" w:hAnsi="宋体" w:eastAsia="宋体" w:cs="宋体"/>
          <w:color w:val="auto"/>
          <w:spacing w:val="-3"/>
          <w:sz w:val="21"/>
          <w:szCs w:val="21"/>
          <w:highlight w:val="none"/>
        </w:rPr>
        <w:t>都能按时参加发包人组织的工作会议。</w:t>
      </w:r>
    </w:p>
    <w:p w14:paraId="37D8E8B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4.6.4</w:t>
      </w:r>
      <w:r>
        <w:rPr>
          <w:rFonts w:hint="eastAsia" w:ascii="宋体" w:hAnsi="宋体" w:eastAsia="宋体" w:cs="宋体"/>
          <w:color w:val="auto"/>
          <w:spacing w:val="16"/>
          <w:sz w:val="21"/>
          <w:szCs w:val="21"/>
          <w:highlight w:val="none"/>
        </w:rPr>
        <w:t xml:space="preserve">  </w:t>
      </w:r>
      <w:r>
        <w:rPr>
          <w:rFonts w:hint="eastAsia" w:ascii="宋体" w:hAnsi="宋体" w:eastAsia="宋体" w:cs="宋体"/>
          <w:color w:val="auto"/>
          <w:spacing w:val="-3"/>
          <w:sz w:val="21"/>
          <w:szCs w:val="21"/>
          <w:highlight w:val="none"/>
        </w:rPr>
        <w:t>国家规定应当持证上岗的工作人员均应持有相应</w:t>
      </w:r>
      <w:r>
        <w:rPr>
          <w:rFonts w:hint="eastAsia" w:ascii="宋体" w:hAnsi="宋体" w:eastAsia="宋体" w:cs="宋体"/>
          <w:color w:val="auto"/>
          <w:spacing w:val="-4"/>
          <w:sz w:val="21"/>
          <w:szCs w:val="21"/>
          <w:highlight w:val="none"/>
        </w:rPr>
        <w:t>的资格证明，发包人有权</w:t>
      </w:r>
      <w:r>
        <w:rPr>
          <w:rFonts w:hint="eastAsia" w:ascii="宋体" w:hAnsi="宋体" w:eastAsia="宋体" w:cs="宋体"/>
          <w:color w:val="auto"/>
          <w:spacing w:val="-3"/>
          <w:sz w:val="21"/>
          <w:szCs w:val="21"/>
          <w:highlight w:val="none"/>
        </w:rPr>
        <w:t>随时检查。发包人认为有必要时，可以进行现场考核。</w:t>
      </w:r>
    </w:p>
    <w:p w14:paraId="13949C8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4.6.5  设计人的工作进度未达到设计人投标文件中承诺</w:t>
      </w:r>
      <w:r>
        <w:rPr>
          <w:rFonts w:hint="eastAsia" w:ascii="宋体" w:hAnsi="宋体" w:eastAsia="宋体" w:cs="宋体"/>
          <w:color w:val="auto"/>
          <w:spacing w:val="-3"/>
          <w:sz w:val="21"/>
          <w:szCs w:val="21"/>
          <w:highlight w:val="none"/>
        </w:rPr>
        <w:t>的进度计划时，发包人有</w:t>
      </w:r>
      <w:r>
        <w:rPr>
          <w:rFonts w:hint="eastAsia" w:ascii="宋体" w:hAnsi="宋体" w:eastAsia="宋体" w:cs="宋体"/>
          <w:color w:val="auto"/>
          <w:spacing w:val="1"/>
          <w:sz w:val="21"/>
          <w:szCs w:val="21"/>
          <w:highlight w:val="none"/>
        </w:rPr>
        <w:t>权要求设计人增加勘察设计人员，设计人应立即安</w:t>
      </w:r>
      <w:r>
        <w:rPr>
          <w:rFonts w:hint="eastAsia" w:ascii="宋体" w:hAnsi="宋体" w:eastAsia="宋体" w:cs="宋体"/>
          <w:color w:val="auto"/>
          <w:sz w:val="21"/>
          <w:szCs w:val="21"/>
          <w:highlight w:val="none"/>
        </w:rPr>
        <w:t>排，其费用视为已包含在合同价</w:t>
      </w:r>
      <w:r>
        <w:rPr>
          <w:rFonts w:hint="eastAsia" w:ascii="宋体" w:hAnsi="宋体" w:eastAsia="宋体" w:cs="宋体"/>
          <w:color w:val="auto"/>
          <w:spacing w:val="-10"/>
          <w:sz w:val="21"/>
          <w:szCs w:val="21"/>
          <w:highlight w:val="none"/>
        </w:rPr>
        <w:t>格中。</w:t>
      </w:r>
    </w:p>
    <w:p w14:paraId="17E5E5A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4.7  撤换项目负责人和其他人员</w:t>
      </w:r>
    </w:p>
    <w:p w14:paraId="033A144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设计人应对其项目负责人和其他人员进行有效管理。发包人要求撤换不能胜任</w:t>
      </w:r>
      <w:r>
        <w:rPr>
          <w:rFonts w:hint="eastAsia" w:ascii="宋体" w:hAnsi="宋体" w:eastAsia="宋体" w:cs="宋体"/>
          <w:color w:val="auto"/>
          <w:spacing w:val="-1"/>
          <w:sz w:val="21"/>
          <w:szCs w:val="21"/>
          <w:highlight w:val="none"/>
        </w:rPr>
        <w:t>本职工作、行为不端或玩忽职守的项目负责人和其他人员的，设计人应予</w:t>
      </w:r>
      <w:r>
        <w:rPr>
          <w:rFonts w:hint="eastAsia" w:ascii="宋体" w:hAnsi="宋体" w:eastAsia="宋体" w:cs="宋体"/>
          <w:color w:val="auto"/>
          <w:spacing w:val="-2"/>
          <w:sz w:val="21"/>
          <w:szCs w:val="21"/>
          <w:highlight w:val="none"/>
        </w:rPr>
        <w:t>以撤换。</w:t>
      </w:r>
    </w:p>
    <w:p w14:paraId="492139E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4.8  保障人员的合法权益</w:t>
      </w:r>
    </w:p>
    <w:p w14:paraId="0DAF93F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4.8.1  设计人应与其</w:t>
      </w:r>
      <w:r>
        <w:rPr>
          <w:rFonts w:hint="eastAsia" w:ascii="宋体" w:hAnsi="宋体" w:eastAsia="宋体" w:cs="宋体"/>
          <w:color w:val="auto"/>
          <w:spacing w:val="-1"/>
          <w:sz w:val="21"/>
          <w:szCs w:val="21"/>
          <w:highlight w:val="none"/>
          <w:lang w:eastAsia="zh-CN"/>
        </w:rPr>
        <w:t>雇佣</w:t>
      </w:r>
      <w:r>
        <w:rPr>
          <w:rFonts w:hint="eastAsia" w:ascii="宋体" w:hAnsi="宋体" w:eastAsia="宋体" w:cs="宋体"/>
          <w:color w:val="auto"/>
          <w:spacing w:val="-1"/>
          <w:sz w:val="21"/>
          <w:szCs w:val="21"/>
          <w:highlight w:val="none"/>
        </w:rPr>
        <w:t>的人员签订劳动合同，并按时</w:t>
      </w:r>
      <w:r>
        <w:rPr>
          <w:rFonts w:hint="eastAsia" w:ascii="宋体" w:hAnsi="宋体" w:eastAsia="宋体" w:cs="宋体"/>
          <w:color w:val="auto"/>
          <w:spacing w:val="-2"/>
          <w:sz w:val="21"/>
          <w:szCs w:val="21"/>
          <w:highlight w:val="none"/>
        </w:rPr>
        <w:t>发放工资。</w:t>
      </w:r>
    </w:p>
    <w:p w14:paraId="479FD45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4.8.2  设计人应按劳动法的规定安排工作时间，保证其</w:t>
      </w:r>
      <w:r>
        <w:rPr>
          <w:rFonts w:hint="eastAsia" w:ascii="宋体" w:hAnsi="宋体" w:eastAsia="宋体" w:cs="宋体"/>
          <w:color w:val="auto"/>
          <w:spacing w:val="-2"/>
          <w:sz w:val="21"/>
          <w:szCs w:val="21"/>
          <w:highlight w:val="none"/>
          <w:lang w:eastAsia="zh-CN"/>
        </w:rPr>
        <w:t>雇佣</w:t>
      </w:r>
      <w:r>
        <w:rPr>
          <w:rFonts w:hint="eastAsia" w:ascii="宋体" w:hAnsi="宋体" w:eastAsia="宋体" w:cs="宋体"/>
          <w:color w:val="auto"/>
          <w:spacing w:val="-3"/>
          <w:sz w:val="21"/>
          <w:szCs w:val="21"/>
          <w:highlight w:val="none"/>
        </w:rPr>
        <w:t>人员享有休息和休假</w:t>
      </w:r>
      <w:r>
        <w:rPr>
          <w:rFonts w:hint="eastAsia" w:ascii="宋体" w:hAnsi="宋体" w:eastAsia="宋体" w:cs="宋体"/>
          <w:color w:val="auto"/>
          <w:spacing w:val="-6"/>
          <w:sz w:val="21"/>
          <w:szCs w:val="21"/>
          <w:highlight w:val="none"/>
        </w:rPr>
        <w:t>的权利。因勘察设计需要占用休假日或延长工作时间的，应不超过法律规定的限度，</w:t>
      </w:r>
      <w:r>
        <w:rPr>
          <w:rFonts w:hint="eastAsia" w:ascii="宋体" w:hAnsi="宋体" w:eastAsia="宋体" w:cs="宋体"/>
          <w:color w:val="auto"/>
          <w:spacing w:val="-4"/>
          <w:sz w:val="21"/>
          <w:szCs w:val="21"/>
          <w:highlight w:val="none"/>
        </w:rPr>
        <w:t>并按法律规定给予补休或付酬。</w:t>
      </w:r>
    </w:p>
    <w:p w14:paraId="7C4C8AA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4.8.3  设计人应为其现场人员提供必要的食宿条件，以</w:t>
      </w:r>
      <w:r>
        <w:rPr>
          <w:rFonts w:hint="eastAsia" w:ascii="宋体" w:hAnsi="宋体" w:eastAsia="宋体" w:cs="宋体"/>
          <w:color w:val="auto"/>
          <w:spacing w:val="-3"/>
          <w:sz w:val="21"/>
          <w:szCs w:val="21"/>
          <w:highlight w:val="none"/>
        </w:rPr>
        <w:t>及符合环境保护和卫生要</w:t>
      </w:r>
      <w:r>
        <w:rPr>
          <w:rFonts w:hint="eastAsia" w:ascii="宋体" w:hAnsi="宋体" w:eastAsia="宋体" w:cs="宋体"/>
          <w:color w:val="auto"/>
          <w:spacing w:val="-1"/>
          <w:sz w:val="21"/>
          <w:szCs w:val="21"/>
          <w:highlight w:val="none"/>
        </w:rPr>
        <w:t>求的生活环境，在远离城镇的勘探场地，还应配备必要</w:t>
      </w:r>
      <w:r>
        <w:rPr>
          <w:rFonts w:hint="eastAsia" w:ascii="宋体" w:hAnsi="宋体" w:eastAsia="宋体" w:cs="宋体"/>
          <w:color w:val="auto"/>
          <w:spacing w:val="-2"/>
          <w:sz w:val="21"/>
          <w:szCs w:val="21"/>
          <w:highlight w:val="none"/>
        </w:rPr>
        <w:t>的伤病防治和急救设施。</w:t>
      </w:r>
    </w:p>
    <w:p w14:paraId="61BCDE6A">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4.8.4  设计人应按国家有关劳动保护的规定，采取有效的防止</w:t>
      </w:r>
      <w:r>
        <w:rPr>
          <w:rFonts w:hint="eastAsia" w:ascii="宋体" w:hAnsi="宋体" w:eastAsia="宋体" w:cs="宋体"/>
          <w:color w:val="auto"/>
          <w:spacing w:val="-1"/>
          <w:sz w:val="21"/>
          <w:szCs w:val="21"/>
          <w:highlight w:val="none"/>
        </w:rPr>
        <w:t>粉尘、降低噪声、</w:t>
      </w:r>
      <w:r>
        <w:rPr>
          <w:rFonts w:hint="eastAsia" w:ascii="宋体" w:hAnsi="宋体" w:eastAsia="宋体" w:cs="宋体"/>
          <w:color w:val="auto"/>
          <w:spacing w:val="1"/>
          <w:sz w:val="21"/>
          <w:szCs w:val="21"/>
          <w:highlight w:val="none"/>
        </w:rPr>
        <w:t>控制有害气体和保障高温、高寒、高空作业安全等劳</w:t>
      </w:r>
      <w:r>
        <w:rPr>
          <w:rFonts w:hint="eastAsia" w:ascii="宋体" w:hAnsi="宋体" w:eastAsia="宋体" w:cs="宋体"/>
          <w:color w:val="auto"/>
          <w:sz w:val="21"/>
          <w:szCs w:val="21"/>
          <w:highlight w:val="none"/>
        </w:rPr>
        <w:t>动保护措施。其</w:t>
      </w:r>
      <w:r>
        <w:rPr>
          <w:rFonts w:hint="eastAsia" w:ascii="宋体" w:hAnsi="宋体" w:eastAsia="宋体" w:cs="宋体"/>
          <w:color w:val="auto"/>
          <w:sz w:val="21"/>
          <w:szCs w:val="21"/>
          <w:highlight w:val="none"/>
          <w:lang w:eastAsia="zh-CN"/>
        </w:rPr>
        <w:t>雇佣</w:t>
      </w:r>
      <w:r>
        <w:rPr>
          <w:rFonts w:hint="eastAsia" w:ascii="宋体" w:hAnsi="宋体" w:eastAsia="宋体" w:cs="宋体"/>
          <w:color w:val="auto"/>
          <w:sz w:val="21"/>
          <w:szCs w:val="21"/>
          <w:highlight w:val="none"/>
        </w:rPr>
        <w:t>人员在勘</w:t>
      </w:r>
      <w:r>
        <w:rPr>
          <w:rFonts w:hint="eastAsia" w:ascii="宋体" w:hAnsi="宋体" w:eastAsia="宋体" w:cs="宋体"/>
          <w:color w:val="auto"/>
          <w:spacing w:val="-2"/>
          <w:sz w:val="21"/>
          <w:szCs w:val="21"/>
          <w:highlight w:val="none"/>
        </w:rPr>
        <w:t>探作业中受到伤害的，设计人应立即采取有效措施进行抢救和治疗。</w:t>
      </w:r>
    </w:p>
    <w:p w14:paraId="2E9F2AD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4.8.5  设计人应按有关法律规定和合同约定，为其</w:t>
      </w:r>
      <w:r>
        <w:rPr>
          <w:rFonts w:hint="eastAsia" w:ascii="宋体" w:hAnsi="宋体" w:eastAsia="宋体" w:cs="宋体"/>
          <w:color w:val="auto"/>
          <w:spacing w:val="-1"/>
          <w:sz w:val="21"/>
          <w:szCs w:val="21"/>
          <w:highlight w:val="none"/>
          <w:lang w:eastAsia="zh-CN"/>
        </w:rPr>
        <w:t>雇佣</w:t>
      </w:r>
      <w:r>
        <w:rPr>
          <w:rFonts w:hint="eastAsia" w:ascii="宋体" w:hAnsi="宋体" w:eastAsia="宋体" w:cs="宋体"/>
          <w:color w:val="auto"/>
          <w:spacing w:val="-1"/>
          <w:sz w:val="21"/>
          <w:szCs w:val="21"/>
          <w:highlight w:val="none"/>
        </w:rPr>
        <w:t>人员办理保险。</w:t>
      </w:r>
    </w:p>
    <w:p w14:paraId="4A702ED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4.9  合同价款应专款专用</w:t>
      </w:r>
    </w:p>
    <w:p w14:paraId="321BD94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发包人按合同约定支付给设计人的各项价款，应专用于</w:t>
      </w:r>
      <w:r>
        <w:rPr>
          <w:rFonts w:hint="eastAsia" w:ascii="宋体" w:hAnsi="宋体" w:eastAsia="宋体" w:cs="宋体"/>
          <w:color w:val="auto"/>
          <w:spacing w:val="-2"/>
          <w:sz w:val="21"/>
          <w:szCs w:val="21"/>
          <w:highlight w:val="none"/>
        </w:rPr>
        <w:t>合同勘察设计工作。</w:t>
      </w:r>
    </w:p>
    <w:p w14:paraId="2223A84B">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  勘察设计要求</w:t>
      </w:r>
    </w:p>
    <w:p w14:paraId="7B6B56B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5.1</w:t>
      </w:r>
      <w:r>
        <w:rPr>
          <w:rFonts w:hint="eastAsia" w:ascii="宋体" w:hAnsi="宋体" w:eastAsia="宋体" w:cs="宋体"/>
          <w:b/>
          <w:bCs/>
          <w:color w:val="auto"/>
          <w:spacing w:val="6"/>
          <w:sz w:val="21"/>
          <w:szCs w:val="21"/>
          <w:highlight w:val="none"/>
        </w:rPr>
        <w:t xml:space="preserve">  </w:t>
      </w:r>
      <w:r>
        <w:rPr>
          <w:rFonts w:hint="eastAsia" w:ascii="宋体" w:hAnsi="宋体" w:eastAsia="宋体" w:cs="宋体"/>
          <w:b/>
          <w:bCs/>
          <w:color w:val="auto"/>
          <w:spacing w:val="-4"/>
          <w:sz w:val="21"/>
          <w:szCs w:val="21"/>
          <w:highlight w:val="none"/>
        </w:rPr>
        <w:t>一般要求</w:t>
      </w:r>
    </w:p>
    <w:p w14:paraId="6D52E3C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5.1.1  发包人应遵守法律和规范标准</w:t>
      </w:r>
      <w:r>
        <w:rPr>
          <w:rFonts w:hint="eastAsia" w:ascii="宋体" w:hAnsi="宋体" w:eastAsia="宋体" w:cs="宋体"/>
          <w:color w:val="auto"/>
          <w:spacing w:val="-3"/>
          <w:sz w:val="21"/>
          <w:szCs w:val="21"/>
          <w:highlight w:val="none"/>
        </w:rPr>
        <w:t>，不得以任何理由要求设计人违反法律和工</w:t>
      </w:r>
      <w:r>
        <w:rPr>
          <w:rFonts w:hint="eastAsia" w:ascii="宋体" w:hAnsi="宋体" w:eastAsia="宋体" w:cs="宋体"/>
          <w:color w:val="auto"/>
          <w:spacing w:val="-2"/>
          <w:sz w:val="21"/>
          <w:szCs w:val="21"/>
          <w:highlight w:val="none"/>
        </w:rPr>
        <w:t>程质量、安全标准进行勘察设计服务，降低工程质量。</w:t>
      </w:r>
    </w:p>
    <w:p w14:paraId="45AD52B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5.1.2  设计人应按照法律规定，以及国家</w:t>
      </w:r>
      <w:r>
        <w:rPr>
          <w:rFonts w:hint="eastAsia" w:ascii="宋体" w:hAnsi="宋体" w:eastAsia="宋体" w:cs="宋体"/>
          <w:color w:val="auto"/>
          <w:spacing w:val="-3"/>
          <w:sz w:val="21"/>
          <w:szCs w:val="21"/>
          <w:highlight w:val="none"/>
        </w:rPr>
        <w:t>、行业和地方的规范和标准完成勘察设</w:t>
      </w:r>
      <w:r>
        <w:rPr>
          <w:rFonts w:hint="eastAsia" w:ascii="宋体" w:hAnsi="宋体" w:eastAsia="宋体" w:cs="宋体"/>
          <w:color w:val="auto"/>
          <w:sz w:val="21"/>
          <w:szCs w:val="21"/>
          <w:highlight w:val="none"/>
        </w:rPr>
        <w:t>计工作，并应符合发包人要求。各项规范、标准和发包人要求之间如对同一内容的</w:t>
      </w:r>
      <w:r>
        <w:rPr>
          <w:rFonts w:hint="eastAsia" w:ascii="宋体" w:hAnsi="宋体" w:eastAsia="宋体" w:cs="宋体"/>
          <w:color w:val="auto"/>
          <w:spacing w:val="-2"/>
          <w:sz w:val="21"/>
          <w:szCs w:val="21"/>
          <w:highlight w:val="none"/>
        </w:rPr>
        <w:t>描述不一致时，应以描述更为严格的内容为</w:t>
      </w:r>
      <w:r>
        <w:rPr>
          <w:rFonts w:hint="eastAsia" w:ascii="宋体" w:hAnsi="宋体" w:eastAsia="宋体" w:cs="宋体"/>
          <w:color w:val="auto"/>
          <w:spacing w:val="-3"/>
          <w:sz w:val="21"/>
          <w:szCs w:val="21"/>
          <w:highlight w:val="none"/>
        </w:rPr>
        <w:t>准。</w:t>
      </w:r>
    </w:p>
    <w:p w14:paraId="242AB55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5.1.3  除专用合同条款另有约定外，设</w:t>
      </w:r>
      <w:r>
        <w:rPr>
          <w:rFonts w:hint="eastAsia" w:ascii="宋体" w:hAnsi="宋体" w:eastAsia="宋体" w:cs="宋体"/>
          <w:color w:val="auto"/>
          <w:spacing w:val="-3"/>
          <w:sz w:val="21"/>
          <w:szCs w:val="21"/>
          <w:highlight w:val="none"/>
        </w:rPr>
        <w:t>计人完成勘察设计工作所应遵守的法律规</w:t>
      </w:r>
      <w:r>
        <w:rPr>
          <w:rFonts w:hint="eastAsia" w:ascii="宋体" w:hAnsi="宋体" w:eastAsia="宋体" w:cs="宋体"/>
          <w:color w:val="auto"/>
          <w:sz w:val="21"/>
          <w:szCs w:val="21"/>
          <w:highlight w:val="none"/>
        </w:rPr>
        <w:t>定，以及国家、行业和地方的规范和标准，均应视为在基准日适用的版本。基准日之后，前述版本发生重大变化，或者有新的法律，以及国家、行业和地方的规范和</w:t>
      </w:r>
      <w:r>
        <w:rPr>
          <w:rFonts w:hint="eastAsia" w:ascii="宋体" w:hAnsi="宋体" w:eastAsia="宋体" w:cs="宋体"/>
          <w:color w:val="auto"/>
          <w:spacing w:val="1"/>
          <w:sz w:val="21"/>
          <w:szCs w:val="21"/>
          <w:highlight w:val="none"/>
        </w:rPr>
        <w:t>标准实施的，设计人应向发包人提出遵守新规定</w:t>
      </w:r>
      <w:r>
        <w:rPr>
          <w:rFonts w:hint="eastAsia" w:ascii="宋体" w:hAnsi="宋体" w:eastAsia="宋体" w:cs="宋体"/>
          <w:color w:val="auto"/>
          <w:sz w:val="21"/>
          <w:szCs w:val="21"/>
          <w:highlight w:val="none"/>
        </w:rPr>
        <w:t>的建议。发包人应在收到建议后 7</w:t>
      </w:r>
      <w:r>
        <w:rPr>
          <w:rFonts w:hint="eastAsia" w:ascii="宋体" w:hAnsi="宋体" w:eastAsia="宋体" w:cs="宋体"/>
          <w:color w:val="auto"/>
          <w:spacing w:val="-7"/>
          <w:sz w:val="21"/>
          <w:szCs w:val="21"/>
          <w:highlight w:val="none"/>
        </w:rPr>
        <w:t>天内发出是否遵守新规定的指示。发包人指示遵守新规定的，按照第</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7"/>
          <w:sz w:val="21"/>
          <w:szCs w:val="21"/>
          <w:highlight w:val="none"/>
        </w:rPr>
        <w:t>11</w:t>
      </w:r>
      <w:r>
        <w:rPr>
          <w:rFonts w:hint="eastAsia" w:ascii="宋体" w:hAnsi="宋体" w:eastAsia="宋体" w:cs="宋体"/>
          <w:color w:val="auto"/>
          <w:spacing w:val="-8"/>
          <w:sz w:val="21"/>
          <w:szCs w:val="21"/>
          <w:highlight w:val="none"/>
        </w:rPr>
        <w:t xml:space="preserve"> 条约定执行。</w:t>
      </w:r>
    </w:p>
    <w:p w14:paraId="4CFBC1A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5.1.4  设计人在勘察设计服务中选用的材</w:t>
      </w:r>
      <w:r>
        <w:rPr>
          <w:rFonts w:hint="eastAsia" w:ascii="宋体" w:hAnsi="宋体" w:eastAsia="宋体" w:cs="宋体"/>
          <w:color w:val="auto"/>
          <w:spacing w:val="-6"/>
          <w:sz w:val="21"/>
          <w:szCs w:val="21"/>
          <w:highlight w:val="none"/>
        </w:rPr>
        <w:t>料、设备， 应注明其规格、型号、性能</w:t>
      </w:r>
      <w:r>
        <w:rPr>
          <w:rFonts w:hint="eastAsia" w:ascii="宋体" w:hAnsi="宋体" w:eastAsia="宋体" w:cs="宋体"/>
          <w:color w:val="auto"/>
          <w:sz w:val="21"/>
          <w:szCs w:val="21"/>
          <w:highlight w:val="none"/>
        </w:rPr>
        <w:t>等技术指标及适应性，满足质量、安全、节能、环</w:t>
      </w:r>
      <w:r>
        <w:rPr>
          <w:rFonts w:hint="eastAsia" w:ascii="宋体" w:hAnsi="宋体" w:eastAsia="宋体" w:cs="宋体"/>
          <w:color w:val="auto"/>
          <w:spacing w:val="-1"/>
          <w:sz w:val="21"/>
          <w:szCs w:val="21"/>
          <w:highlight w:val="none"/>
        </w:rPr>
        <w:t>保等要求，但不得指定生产厂、</w:t>
      </w:r>
      <w:r>
        <w:rPr>
          <w:rFonts w:hint="eastAsia" w:ascii="宋体" w:hAnsi="宋体" w:eastAsia="宋体" w:cs="宋体"/>
          <w:color w:val="auto"/>
          <w:spacing w:val="-5"/>
          <w:sz w:val="21"/>
          <w:szCs w:val="21"/>
          <w:highlight w:val="none"/>
        </w:rPr>
        <w:t>供应商和产品品牌。</w:t>
      </w:r>
    </w:p>
    <w:p w14:paraId="6EAD03B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5.1.5  设计人必须贯彻“技术先进、安全可靠、适用耐</w:t>
      </w:r>
      <w:r>
        <w:rPr>
          <w:rFonts w:hint="eastAsia" w:ascii="宋体" w:hAnsi="宋体" w:eastAsia="宋体" w:cs="宋体"/>
          <w:color w:val="auto"/>
          <w:spacing w:val="-4"/>
          <w:sz w:val="21"/>
          <w:szCs w:val="21"/>
          <w:highlight w:val="none"/>
        </w:rPr>
        <w:t>久、经济合理</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4"/>
          <w:sz w:val="21"/>
          <w:szCs w:val="21"/>
          <w:highlight w:val="none"/>
        </w:rPr>
        <w:t>”的基本原</w:t>
      </w:r>
      <w:r>
        <w:rPr>
          <w:rFonts w:hint="eastAsia" w:ascii="宋体" w:hAnsi="宋体" w:eastAsia="宋体" w:cs="宋体"/>
          <w:color w:val="auto"/>
          <w:sz w:val="21"/>
          <w:szCs w:val="21"/>
          <w:highlight w:val="none"/>
        </w:rPr>
        <w:t>则，加强总体设计，重视与城镇建设总体规划、土地开发利用规划、农田水利、森林植被、水土保持、生态环境、特殊设施保护区、其他运输方式和其他建设工程的</w:t>
      </w:r>
      <w:r>
        <w:rPr>
          <w:rFonts w:hint="eastAsia" w:ascii="宋体" w:hAnsi="宋体" w:eastAsia="宋体" w:cs="宋体"/>
          <w:color w:val="auto"/>
          <w:spacing w:val="1"/>
          <w:sz w:val="21"/>
          <w:szCs w:val="21"/>
          <w:highlight w:val="none"/>
        </w:rPr>
        <w:t>总体协调和配合，节约资源、保护环境、合理</w:t>
      </w:r>
      <w:r>
        <w:rPr>
          <w:rFonts w:hint="eastAsia" w:ascii="宋体" w:hAnsi="宋体" w:eastAsia="宋体" w:cs="宋体"/>
          <w:color w:val="auto"/>
          <w:sz w:val="21"/>
          <w:szCs w:val="21"/>
          <w:highlight w:val="none"/>
        </w:rPr>
        <w:t>选用技术指标、树立全寿命周期成本</w:t>
      </w:r>
      <w:r>
        <w:rPr>
          <w:rFonts w:hint="eastAsia" w:ascii="宋体" w:hAnsi="宋体" w:eastAsia="宋体" w:cs="宋体"/>
          <w:color w:val="auto"/>
          <w:spacing w:val="-1"/>
          <w:sz w:val="21"/>
          <w:szCs w:val="21"/>
          <w:highlight w:val="none"/>
        </w:rPr>
        <w:t>的理念，充分发挥工程建设项目经济、社会和环境</w:t>
      </w:r>
      <w:r>
        <w:rPr>
          <w:rFonts w:hint="eastAsia" w:ascii="宋体" w:hAnsi="宋体" w:eastAsia="宋体" w:cs="宋体"/>
          <w:color w:val="auto"/>
          <w:spacing w:val="-2"/>
          <w:sz w:val="21"/>
          <w:szCs w:val="21"/>
          <w:highlight w:val="none"/>
        </w:rPr>
        <w:t>的综合效益。</w:t>
      </w:r>
    </w:p>
    <w:p w14:paraId="10A94E6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5.2  勘察设计依据</w:t>
      </w:r>
    </w:p>
    <w:p w14:paraId="1AF6C70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除专用合同条款另有约定外，本工程的勘察设计依据如下：</w:t>
      </w:r>
    </w:p>
    <w:p w14:paraId="739C11D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（1）适用的法律、行政法规及部门规章；</w:t>
      </w:r>
    </w:p>
    <w:p w14:paraId="4F6C549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（2）与工程有关的规范、标准、规程；</w:t>
      </w:r>
    </w:p>
    <w:p w14:paraId="2B1431A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（3）工程基础资料及其他文件；</w:t>
      </w:r>
    </w:p>
    <w:p w14:paraId="34AEEE3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（4）本勘察设计服务合同及补充合同；</w:t>
      </w:r>
    </w:p>
    <w:p w14:paraId="58AA3B7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（5）本工程施工需求；</w:t>
      </w:r>
    </w:p>
    <w:p w14:paraId="5F71FC8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（6）合同履行中与勘察设计服务有关的来往函件；</w:t>
      </w:r>
    </w:p>
    <w:p w14:paraId="07FF065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（7）其他勘察设计依据。</w:t>
      </w:r>
    </w:p>
    <w:p w14:paraId="58FA3EC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5.3  勘察设计范围</w:t>
      </w:r>
    </w:p>
    <w:p w14:paraId="08F2299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5.3.1  本合同的勘察设计范围包括工程范围、阶段范围和工作范围，</w:t>
      </w:r>
      <w:r>
        <w:rPr>
          <w:rFonts w:hint="eastAsia" w:ascii="宋体" w:hAnsi="宋体" w:eastAsia="宋体" w:cs="宋体"/>
          <w:color w:val="auto"/>
          <w:spacing w:val="-23"/>
          <w:sz w:val="21"/>
          <w:szCs w:val="21"/>
          <w:highlight w:val="none"/>
        </w:rPr>
        <w:t xml:space="preserve"> </w:t>
      </w:r>
      <w:r>
        <w:rPr>
          <w:rFonts w:hint="eastAsia" w:ascii="宋体" w:hAnsi="宋体" w:eastAsia="宋体" w:cs="宋体"/>
          <w:color w:val="auto"/>
          <w:spacing w:val="-5"/>
          <w:sz w:val="21"/>
          <w:szCs w:val="21"/>
          <w:highlight w:val="none"/>
        </w:rPr>
        <w:t>具体勘察设</w:t>
      </w:r>
      <w:r>
        <w:rPr>
          <w:rFonts w:hint="eastAsia" w:ascii="宋体" w:hAnsi="宋体" w:eastAsia="宋体" w:cs="宋体"/>
          <w:color w:val="auto"/>
          <w:spacing w:val="-3"/>
          <w:sz w:val="21"/>
          <w:szCs w:val="21"/>
          <w:highlight w:val="none"/>
        </w:rPr>
        <w:t>计范围应根据三者之间的关联内容进行确定。</w:t>
      </w:r>
    </w:p>
    <w:p w14:paraId="345503B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5.3.2  工程范围指勘察设计工程的建设内</w:t>
      </w:r>
      <w:r>
        <w:rPr>
          <w:rFonts w:hint="eastAsia" w:ascii="宋体" w:hAnsi="宋体" w:eastAsia="宋体" w:cs="宋体"/>
          <w:color w:val="auto"/>
          <w:spacing w:val="-1"/>
          <w:sz w:val="21"/>
          <w:szCs w:val="21"/>
          <w:highlight w:val="none"/>
        </w:rPr>
        <w:t>容，具体范围在专用合同条款中约定。</w:t>
      </w:r>
    </w:p>
    <w:p w14:paraId="4579585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5.3.3  阶段范围指工程建设程序中的可行性研究勘察、初步勘察、详细勘察、施</w:t>
      </w:r>
      <w:r>
        <w:rPr>
          <w:rFonts w:hint="eastAsia" w:ascii="宋体" w:hAnsi="宋体" w:eastAsia="宋体" w:cs="宋体"/>
          <w:color w:val="auto"/>
          <w:spacing w:val="-10"/>
          <w:sz w:val="21"/>
          <w:szCs w:val="21"/>
          <w:highlight w:val="none"/>
        </w:rPr>
        <w:t>工勘察、方案设计、初步设计、</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10"/>
          <w:sz w:val="21"/>
          <w:szCs w:val="21"/>
          <w:highlight w:val="none"/>
        </w:rPr>
        <w:t>技术设计（如有）、施工图设计等阶段中的一个或多</w:t>
      </w:r>
      <w:r>
        <w:rPr>
          <w:rFonts w:hint="eastAsia" w:ascii="宋体" w:hAnsi="宋体" w:eastAsia="宋体" w:cs="宋体"/>
          <w:color w:val="auto"/>
          <w:spacing w:val="-3"/>
          <w:sz w:val="21"/>
          <w:szCs w:val="21"/>
          <w:highlight w:val="none"/>
        </w:rPr>
        <w:t>个阶段，具体范围在专用合同条款中约定。</w:t>
      </w:r>
    </w:p>
    <w:p w14:paraId="2DC01AF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5.3.4  工作范围指工程测量、岩土工程勘察、岩土工程设计（如有</w:t>
      </w:r>
      <w:r>
        <w:rPr>
          <w:rFonts w:hint="eastAsia" w:ascii="宋体" w:hAnsi="宋体" w:eastAsia="宋体" w:cs="宋体"/>
          <w:color w:val="auto"/>
          <w:spacing w:val="-61"/>
          <w:w w:val="97"/>
          <w:sz w:val="21"/>
          <w:szCs w:val="21"/>
          <w:highlight w:val="none"/>
        </w:rPr>
        <w:t>），</w:t>
      </w:r>
      <w:r>
        <w:rPr>
          <w:rFonts w:hint="eastAsia" w:ascii="宋体" w:hAnsi="宋体" w:eastAsia="宋体" w:cs="宋体"/>
          <w:color w:val="auto"/>
          <w:sz w:val="21"/>
          <w:szCs w:val="21"/>
          <w:highlight w:val="none"/>
        </w:rPr>
        <w:t>编制设计</w:t>
      </w:r>
      <w:r>
        <w:rPr>
          <w:rFonts w:hint="eastAsia" w:ascii="宋体" w:hAnsi="宋体" w:eastAsia="宋体" w:cs="宋体"/>
          <w:color w:val="auto"/>
          <w:spacing w:val="1"/>
          <w:sz w:val="21"/>
          <w:szCs w:val="21"/>
          <w:highlight w:val="none"/>
        </w:rPr>
        <w:t>文件，编制设计概算、预算，提供技术交底、招标与</w:t>
      </w:r>
      <w:r>
        <w:rPr>
          <w:rFonts w:hint="eastAsia" w:ascii="宋体" w:hAnsi="宋体" w:eastAsia="宋体" w:cs="宋体"/>
          <w:color w:val="auto"/>
          <w:sz w:val="21"/>
          <w:szCs w:val="21"/>
          <w:highlight w:val="none"/>
        </w:rPr>
        <w:t>施工配合，编制竣工图，参加</w:t>
      </w:r>
      <w:r>
        <w:rPr>
          <w:rFonts w:hint="eastAsia" w:ascii="宋体" w:hAnsi="宋体" w:eastAsia="宋体" w:cs="宋体"/>
          <w:color w:val="auto"/>
          <w:spacing w:val="1"/>
          <w:sz w:val="21"/>
          <w:szCs w:val="21"/>
          <w:highlight w:val="none"/>
        </w:rPr>
        <w:t>交工验收、参加竣工验收和发包人委托的其他服务</w:t>
      </w:r>
      <w:r>
        <w:rPr>
          <w:rFonts w:hint="eastAsia" w:ascii="宋体" w:hAnsi="宋体" w:eastAsia="宋体" w:cs="宋体"/>
          <w:color w:val="auto"/>
          <w:sz w:val="21"/>
          <w:szCs w:val="21"/>
          <w:highlight w:val="none"/>
        </w:rPr>
        <w:t>中的一项或多项工作，具体范围</w:t>
      </w:r>
      <w:r>
        <w:rPr>
          <w:rFonts w:hint="eastAsia" w:ascii="宋体" w:hAnsi="宋体" w:eastAsia="宋体" w:cs="宋体"/>
          <w:color w:val="auto"/>
          <w:spacing w:val="-4"/>
          <w:sz w:val="21"/>
          <w:szCs w:val="21"/>
          <w:highlight w:val="none"/>
        </w:rPr>
        <w:t>在专用合同条款中约定。</w:t>
      </w:r>
    </w:p>
    <w:p w14:paraId="1720484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5.4  勘察作业要求</w:t>
      </w:r>
    </w:p>
    <w:p w14:paraId="0541265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5.4.1</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3"/>
          <w:sz w:val="21"/>
          <w:szCs w:val="21"/>
          <w:highlight w:val="none"/>
        </w:rPr>
        <w:t>测绘</w:t>
      </w:r>
    </w:p>
    <w:p w14:paraId="652E5D6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（1）除专用合同条款另有约定外，发包人应在开始勘察前</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4"/>
          <w:sz w:val="21"/>
          <w:szCs w:val="21"/>
          <w:highlight w:val="none"/>
        </w:rPr>
        <w:t>7</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4"/>
          <w:sz w:val="21"/>
          <w:szCs w:val="21"/>
          <w:highlight w:val="none"/>
        </w:rPr>
        <w:t>天内，向设计人提</w:t>
      </w:r>
      <w:r>
        <w:rPr>
          <w:rFonts w:hint="eastAsia" w:ascii="宋体" w:hAnsi="宋体" w:eastAsia="宋体" w:cs="宋体"/>
          <w:color w:val="auto"/>
          <w:sz w:val="21"/>
          <w:szCs w:val="21"/>
          <w:highlight w:val="none"/>
        </w:rPr>
        <w:t>供测量基准点、水准点和书面资料等；设计人应根据国家测绘基准、测绘系统和工</w:t>
      </w:r>
      <w:r>
        <w:rPr>
          <w:rFonts w:hint="eastAsia" w:ascii="宋体" w:hAnsi="宋体" w:eastAsia="宋体" w:cs="宋体"/>
          <w:color w:val="auto"/>
          <w:spacing w:val="-1"/>
          <w:sz w:val="21"/>
          <w:szCs w:val="21"/>
          <w:highlight w:val="none"/>
        </w:rPr>
        <w:t>程测量技术规范，按发包人要求的基准点以及合同工程精</w:t>
      </w:r>
      <w:r>
        <w:rPr>
          <w:rFonts w:hint="eastAsia" w:ascii="宋体" w:hAnsi="宋体" w:eastAsia="宋体" w:cs="宋体"/>
          <w:color w:val="auto"/>
          <w:spacing w:val="-2"/>
          <w:sz w:val="21"/>
          <w:szCs w:val="21"/>
          <w:highlight w:val="none"/>
        </w:rPr>
        <w:t>度要求，进行测绘。</w:t>
      </w:r>
    </w:p>
    <w:p w14:paraId="5C29B38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（2）设计人测绘之前，应认真核对测绘数据，保证引用数据和原始数据准确无</w:t>
      </w:r>
      <w:r>
        <w:rPr>
          <w:rFonts w:hint="eastAsia" w:ascii="宋体" w:hAnsi="宋体" w:eastAsia="宋体" w:cs="宋体"/>
          <w:color w:val="auto"/>
          <w:spacing w:val="-1"/>
          <w:sz w:val="21"/>
          <w:szCs w:val="21"/>
          <w:highlight w:val="none"/>
        </w:rPr>
        <w:t>误。测绘工作应由测量人员如实记录，不得补</w:t>
      </w:r>
      <w:r>
        <w:rPr>
          <w:rFonts w:hint="eastAsia" w:ascii="宋体" w:hAnsi="宋体" w:eastAsia="宋体" w:cs="宋体"/>
          <w:color w:val="auto"/>
          <w:spacing w:val="-2"/>
          <w:sz w:val="21"/>
          <w:szCs w:val="21"/>
          <w:highlight w:val="none"/>
        </w:rPr>
        <w:t>记、涂改或损坏。</w:t>
      </w:r>
    </w:p>
    <w:p w14:paraId="5B426E6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（3）工程勘探之前，设计人应严格按照勘察方案的孔位坐标，进行测量放线并</w:t>
      </w:r>
      <w:r>
        <w:rPr>
          <w:rFonts w:hint="eastAsia" w:ascii="宋体" w:hAnsi="宋体" w:eastAsia="宋体" w:cs="宋体"/>
          <w:color w:val="auto"/>
          <w:spacing w:val="-2"/>
          <w:sz w:val="21"/>
          <w:szCs w:val="21"/>
          <w:highlight w:val="none"/>
        </w:rPr>
        <w:t>在实地位置定位，埋设带有编号且不易移动的标志桩进行定位控制。</w:t>
      </w:r>
    </w:p>
    <w:p w14:paraId="7E06FDA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5.4.2</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3"/>
          <w:sz w:val="21"/>
          <w:szCs w:val="21"/>
          <w:highlight w:val="none"/>
        </w:rPr>
        <w:t>勘探</w:t>
      </w:r>
    </w:p>
    <w:p w14:paraId="606AC3A6">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（1）设计人应根据公路基本建设程序各阶段要求的深度开展工作，结合现场地</w:t>
      </w:r>
      <w:r>
        <w:rPr>
          <w:rFonts w:hint="eastAsia" w:ascii="宋体" w:hAnsi="宋体" w:eastAsia="宋体" w:cs="宋体"/>
          <w:color w:val="auto"/>
          <w:sz w:val="21"/>
          <w:szCs w:val="21"/>
          <w:highlight w:val="none"/>
        </w:rPr>
        <w:t>形地质条件、工程结构设置以及不同勘察手段的特性等，统筹考虑、综合确定勘察方法及勘察工作量，为完成合同约定的勘察设计任务创造条件。设计人对勘察方</w:t>
      </w:r>
      <w:r>
        <w:rPr>
          <w:rFonts w:hint="eastAsia" w:ascii="宋体" w:hAnsi="宋体" w:eastAsia="宋体" w:cs="宋体"/>
          <w:color w:val="auto"/>
          <w:spacing w:val="-3"/>
          <w:sz w:val="21"/>
          <w:szCs w:val="21"/>
          <w:highlight w:val="none"/>
        </w:rPr>
        <w:t>法的正确性、适用性和可靠性完全负责。</w:t>
      </w:r>
    </w:p>
    <w:p w14:paraId="44B69F0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（2）设计人布置勘探工作时，应充分考虑勘探方法对于自然环境、周边设施、</w:t>
      </w:r>
      <w:r>
        <w:rPr>
          <w:rFonts w:hint="eastAsia" w:ascii="宋体" w:hAnsi="宋体" w:eastAsia="宋体" w:cs="宋体"/>
          <w:color w:val="auto"/>
          <w:sz w:val="21"/>
          <w:szCs w:val="21"/>
          <w:highlight w:val="none"/>
        </w:rPr>
        <w:t>建构筑物、地下管线、架空线和其他物体的影响，采用切实有效的措施进行防范控制，不得造成损坏或中断运行，否则由此导致的费用增加和（或）周期延误由设计</w:t>
      </w:r>
      <w:r>
        <w:rPr>
          <w:rFonts w:hint="eastAsia" w:ascii="宋体" w:hAnsi="宋体" w:eastAsia="宋体" w:cs="宋体"/>
          <w:color w:val="auto"/>
          <w:spacing w:val="-7"/>
          <w:sz w:val="21"/>
          <w:szCs w:val="21"/>
          <w:highlight w:val="none"/>
        </w:rPr>
        <w:t>人自行承担。</w:t>
      </w:r>
    </w:p>
    <w:p w14:paraId="113C0E5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（3）设计人应在标定的孔位处进行勘探，不得随意改动位置。勘探方法、勘探</w:t>
      </w:r>
      <w:r>
        <w:rPr>
          <w:rFonts w:hint="eastAsia" w:ascii="宋体" w:hAnsi="宋体" w:eastAsia="宋体" w:cs="宋体"/>
          <w:color w:val="auto"/>
          <w:spacing w:val="1"/>
          <w:sz w:val="21"/>
          <w:szCs w:val="21"/>
          <w:highlight w:val="none"/>
        </w:rPr>
        <w:t>机具、勘探记录、取样编录与描述，孔位标记、孔位</w:t>
      </w:r>
      <w:r>
        <w:rPr>
          <w:rFonts w:hint="eastAsia" w:ascii="宋体" w:hAnsi="宋体" w:eastAsia="宋体" w:cs="宋体"/>
          <w:color w:val="auto"/>
          <w:sz w:val="21"/>
          <w:szCs w:val="21"/>
          <w:highlight w:val="none"/>
        </w:rPr>
        <w:t>封闭等事项，应严格执行规范</w:t>
      </w:r>
      <w:r>
        <w:rPr>
          <w:rFonts w:hint="eastAsia" w:ascii="宋体" w:hAnsi="宋体" w:eastAsia="宋体" w:cs="宋体"/>
          <w:color w:val="auto"/>
          <w:spacing w:val="-3"/>
          <w:sz w:val="21"/>
          <w:szCs w:val="21"/>
          <w:highlight w:val="none"/>
        </w:rPr>
        <w:t>标准，按实填写勘探报表和勘探日志。</w:t>
      </w:r>
    </w:p>
    <w:p w14:paraId="74B327B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（4）勘探工作完成后，设计人应按照规范要求及时封孔，并将封孔记录整理存</w:t>
      </w:r>
      <w:r>
        <w:rPr>
          <w:rFonts w:hint="eastAsia" w:ascii="宋体" w:hAnsi="宋体" w:eastAsia="宋体" w:cs="宋体"/>
          <w:color w:val="auto"/>
          <w:spacing w:val="1"/>
          <w:sz w:val="21"/>
          <w:szCs w:val="21"/>
          <w:highlight w:val="none"/>
        </w:rPr>
        <w:t>档，勘探场地应地面平整、清洁卫生，并通</w:t>
      </w:r>
      <w:r>
        <w:rPr>
          <w:rFonts w:hint="eastAsia" w:ascii="宋体" w:hAnsi="宋体" w:eastAsia="宋体" w:cs="宋体"/>
          <w:color w:val="auto"/>
          <w:sz w:val="21"/>
          <w:szCs w:val="21"/>
          <w:highlight w:val="none"/>
        </w:rPr>
        <w:t>知发包人、行政主管部门及使用维护单</w:t>
      </w:r>
      <w:r>
        <w:rPr>
          <w:rFonts w:hint="eastAsia" w:ascii="宋体" w:hAnsi="宋体" w:eastAsia="宋体" w:cs="宋体"/>
          <w:color w:val="auto"/>
          <w:spacing w:val="1"/>
          <w:sz w:val="21"/>
          <w:szCs w:val="21"/>
          <w:highlight w:val="none"/>
        </w:rPr>
        <w:t>位进行现场验收。验收通过之后如果发生沉陷，设</w:t>
      </w:r>
      <w:r>
        <w:rPr>
          <w:rFonts w:hint="eastAsia" w:ascii="宋体" w:hAnsi="宋体" w:eastAsia="宋体" w:cs="宋体"/>
          <w:color w:val="auto"/>
          <w:sz w:val="21"/>
          <w:szCs w:val="21"/>
          <w:highlight w:val="none"/>
        </w:rPr>
        <w:t>计人应及时进行二次封孔和现场</w:t>
      </w:r>
      <w:r>
        <w:rPr>
          <w:rFonts w:hint="eastAsia" w:ascii="宋体" w:hAnsi="宋体" w:eastAsia="宋体" w:cs="宋体"/>
          <w:color w:val="auto"/>
          <w:spacing w:val="-10"/>
          <w:sz w:val="21"/>
          <w:szCs w:val="21"/>
          <w:highlight w:val="none"/>
        </w:rPr>
        <w:t>验收。</w:t>
      </w:r>
    </w:p>
    <w:p w14:paraId="6CC090C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5.4.3</w:t>
      </w:r>
      <w:r>
        <w:rPr>
          <w:rFonts w:hint="eastAsia" w:ascii="宋体" w:hAnsi="宋体" w:eastAsia="宋体" w:cs="宋体"/>
          <w:color w:val="auto"/>
          <w:spacing w:val="7"/>
          <w:sz w:val="21"/>
          <w:szCs w:val="21"/>
          <w:highlight w:val="none"/>
        </w:rPr>
        <w:t xml:space="preserve">  </w:t>
      </w:r>
      <w:r>
        <w:rPr>
          <w:rFonts w:hint="eastAsia" w:ascii="宋体" w:hAnsi="宋体" w:eastAsia="宋体" w:cs="宋体"/>
          <w:color w:val="auto"/>
          <w:spacing w:val="-3"/>
          <w:sz w:val="21"/>
          <w:szCs w:val="21"/>
          <w:highlight w:val="none"/>
        </w:rPr>
        <w:t>取样</w:t>
      </w:r>
    </w:p>
    <w:p w14:paraId="6D235C9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（1）设计人应针对不同的岩土地质，按照勘探取样规范规程中的相关规定，根</w:t>
      </w:r>
      <w:r>
        <w:rPr>
          <w:rFonts w:hint="eastAsia" w:ascii="宋体" w:hAnsi="宋体" w:eastAsia="宋体" w:cs="宋体"/>
          <w:color w:val="auto"/>
          <w:sz w:val="21"/>
          <w:szCs w:val="21"/>
          <w:highlight w:val="none"/>
        </w:rPr>
        <w:t>据地层特征、取样深度、设备条件和试验项目的不同，合理选用取样方法和取样工</w:t>
      </w:r>
      <w:r>
        <w:rPr>
          <w:rFonts w:hint="eastAsia" w:ascii="宋体" w:hAnsi="宋体" w:eastAsia="宋体" w:cs="宋体"/>
          <w:color w:val="auto"/>
          <w:spacing w:val="-2"/>
          <w:sz w:val="21"/>
          <w:szCs w:val="21"/>
          <w:highlight w:val="none"/>
        </w:rPr>
        <w:t>具进行取样，包括并不限于土样、水样、岩芯等。</w:t>
      </w:r>
    </w:p>
    <w:p w14:paraId="3D32826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（2）取样后的样品应根据其类别、性质和特点等进行封装、贮存和运输。样品</w:t>
      </w:r>
      <w:r>
        <w:rPr>
          <w:rFonts w:hint="eastAsia" w:ascii="宋体" w:hAnsi="宋体" w:eastAsia="宋体" w:cs="宋体"/>
          <w:color w:val="auto"/>
          <w:spacing w:val="1"/>
          <w:sz w:val="21"/>
          <w:szCs w:val="21"/>
          <w:highlight w:val="none"/>
        </w:rPr>
        <w:t>搬运之前，宜用数码相机进行现场拍照；运输</w:t>
      </w:r>
      <w:r>
        <w:rPr>
          <w:rFonts w:hint="eastAsia" w:ascii="宋体" w:hAnsi="宋体" w:eastAsia="宋体" w:cs="宋体"/>
          <w:color w:val="auto"/>
          <w:sz w:val="21"/>
          <w:szCs w:val="21"/>
          <w:highlight w:val="none"/>
        </w:rPr>
        <w:t>途中应采用柔软材料充填、尽量避免</w:t>
      </w:r>
      <w:r>
        <w:rPr>
          <w:rFonts w:hint="eastAsia" w:ascii="宋体" w:hAnsi="宋体" w:eastAsia="宋体" w:cs="宋体"/>
          <w:color w:val="auto"/>
          <w:spacing w:val="-2"/>
          <w:sz w:val="21"/>
          <w:szCs w:val="21"/>
          <w:highlight w:val="none"/>
        </w:rPr>
        <w:t>震动和阳光</w:t>
      </w:r>
      <w:r>
        <w:rPr>
          <w:rFonts w:hint="eastAsia" w:ascii="宋体" w:hAnsi="宋体" w:eastAsia="宋体" w:cs="宋体"/>
          <w:color w:val="auto"/>
          <w:spacing w:val="-2"/>
          <w:sz w:val="21"/>
          <w:szCs w:val="21"/>
          <w:highlight w:val="none"/>
          <w:lang w:val="en-US" w:eastAsia="zh-CN"/>
        </w:rPr>
        <w:t>暴</w:t>
      </w:r>
      <w:r>
        <w:rPr>
          <w:rFonts w:hint="eastAsia" w:ascii="宋体" w:hAnsi="宋体" w:eastAsia="宋体" w:cs="宋体"/>
          <w:color w:val="auto"/>
          <w:spacing w:val="-2"/>
          <w:sz w:val="21"/>
          <w:szCs w:val="21"/>
          <w:highlight w:val="none"/>
        </w:rPr>
        <w:t>晒；装卸之时尽量轻拿轻放，以免样品损坏。</w:t>
      </w:r>
    </w:p>
    <w:p w14:paraId="74AF2B4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8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（3）取样后的样品应填写和粘贴标签，标签</w:t>
      </w:r>
      <w:r>
        <w:rPr>
          <w:rFonts w:hint="eastAsia" w:ascii="宋体" w:hAnsi="宋体" w:eastAsia="宋体" w:cs="宋体"/>
          <w:color w:val="auto"/>
          <w:spacing w:val="-11"/>
          <w:sz w:val="21"/>
          <w:szCs w:val="21"/>
          <w:highlight w:val="none"/>
        </w:rPr>
        <w:t>内容包括并不限于工程名称、孔号、</w:t>
      </w:r>
      <w:r>
        <w:rPr>
          <w:rFonts w:hint="eastAsia" w:ascii="宋体" w:hAnsi="宋体" w:eastAsia="宋体" w:cs="宋体"/>
          <w:color w:val="auto"/>
          <w:spacing w:val="-1"/>
          <w:sz w:val="21"/>
          <w:szCs w:val="21"/>
          <w:highlight w:val="none"/>
        </w:rPr>
        <w:t>样品编号、取样深度、样品名称、取样日期、取</w:t>
      </w:r>
      <w:r>
        <w:rPr>
          <w:rFonts w:hint="eastAsia" w:ascii="宋体" w:hAnsi="宋体" w:eastAsia="宋体" w:cs="宋体"/>
          <w:color w:val="auto"/>
          <w:spacing w:val="-2"/>
          <w:sz w:val="21"/>
          <w:szCs w:val="21"/>
          <w:highlight w:val="none"/>
        </w:rPr>
        <w:t>样人姓名、施工机组等。</w:t>
      </w:r>
    </w:p>
    <w:p w14:paraId="6D6B8F1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5.4.4</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3"/>
          <w:sz w:val="21"/>
          <w:szCs w:val="21"/>
          <w:highlight w:val="none"/>
        </w:rPr>
        <w:t>试验</w:t>
      </w:r>
    </w:p>
    <w:p w14:paraId="73998A9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（1）设计人应根据岩土条件、设计要求、勘察经验和测试方法</w:t>
      </w:r>
      <w:r>
        <w:rPr>
          <w:rFonts w:hint="eastAsia" w:ascii="宋体" w:hAnsi="宋体" w:eastAsia="宋体" w:cs="宋体"/>
          <w:color w:val="auto"/>
          <w:spacing w:val="-7"/>
          <w:sz w:val="21"/>
          <w:szCs w:val="21"/>
          <w:highlight w:val="none"/>
        </w:rPr>
        <w:t>特点， 选用合适</w:t>
      </w:r>
      <w:r>
        <w:rPr>
          <w:rFonts w:hint="eastAsia" w:ascii="宋体" w:hAnsi="宋体" w:eastAsia="宋体" w:cs="宋体"/>
          <w:color w:val="auto"/>
          <w:sz w:val="21"/>
          <w:szCs w:val="21"/>
          <w:highlight w:val="none"/>
        </w:rPr>
        <w:t>的原位测试方法和勘察设备进行原位测试。原位测试成果应与室内试验数据进行对</w:t>
      </w:r>
      <w:r>
        <w:rPr>
          <w:rFonts w:hint="eastAsia" w:ascii="宋体" w:hAnsi="宋体" w:eastAsia="宋体" w:cs="宋体"/>
          <w:color w:val="auto"/>
          <w:spacing w:val="-6"/>
          <w:sz w:val="21"/>
          <w:szCs w:val="21"/>
          <w:highlight w:val="none"/>
        </w:rPr>
        <w:t>比分析，检验其可靠性。</w:t>
      </w:r>
    </w:p>
    <w:p w14:paraId="52DECD07">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（2）设计人的试验室应通过行业管理部门认可的CMA 计量认证，具有相应的</w:t>
      </w:r>
      <w:r>
        <w:rPr>
          <w:rFonts w:hint="eastAsia" w:ascii="宋体" w:hAnsi="宋体" w:eastAsia="宋体" w:cs="宋体"/>
          <w:color w:val="auto"/>
          <w:spacing w:val="-2"/>
          <w:sz w:val="21"/>
          <w:szCs w:val="21"/>
          <w:highlight w:val="none"/>
        </w:rPr>
        <w:t>资格证书、试验人员和试验条件，否则应委托第三方试验室进行室内试验。</w:t>
      </w:r>
    </w:p>
    <w:p w14:paraId="055C85B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（3）设计人应在试验之前按照要求清点样品数目，认定取样质量及数量</w:t>
      </w:r>
      <w:r>
        <w:rPr>
          <w:rFonts w:hint="eastAsia" w:ascii="宋体" w:hAnsi="宋体" w:eastAsia="宋体" w:cs="宋体"/>
          <w:color w:val="auto"/>
          <w:spacing w:val="-4"/>
          <w:sz w:val="21"/>
          <w:szCs w:val="21"/>
          <w:highlight w:val="none"/>
        </w:rPr>
        <w:t>是否满</w:t>
      </w:r>
      <w:r>
        <w:rPr>
          <w:rFonts w:hint="eastAsia" w:ascii="宋体" w:hAnsi="宋体" w:eastAsia="宋体" w:cs="宋体"/>
          <w:color w:val="auto"/>
          <w:spacing w:val="1"/>
          <w:sz w:val="21"/>
          <w:szCs w:val="21"/>
          <w:highlight w:val="none"/>
        </w:rPr>
        <w:t>足试验需要；勘察设备应检定合格，性能参</w:t>
      </w:r>
      <w:r>
        <w:rPr>
          <w:rFonts w:hint="eastAsia" w:ascii="宋体" w:hAnsi="宋体" w:eastAsia="宋体" w:cs="宋体"/>
          <w:color w:val="auto"/>
          <w:sz w:val="21"/>
          <w:szCs w:val="21"/>
          <w:highlight w:val="none"/>
        </w:rPr>
        <w:t>数满足试验要求，严格按照规范标准的</w:t>
      </w:r>
      <w:r>
        <w:rPr>
          <w:rFonts w:hint="eastAsia" w:ascii="宋体" w:hAnsi="宋体" w:eastAsia="宋体" w:cs="宋体"/>
          <w:color w:val="auto"/>
          <w:spacing w:val="-6"/>
          <w:sz w:val="21"/>
          <w:szCs w:val="21"/>
          <w:highlight w:val="none"/>
        </w:rPr>
        <w:t>相应规定进行试验操作；试验之后应在有效期内保留备样，以备复核试验成果之用，</w:t>
      </w:r>
      <w:r>
        <w:rPr>
          <w:rFonts w:hint="eastAsia" w:ascii="宋体" w:hAnsi="宋体" w:eastAsia="宋体" w:cs="宋体"/>
          <w:color w:val="auto"/>
          <w:spacing w:val="-2"/>
          <w:sz w:val="21"/>
          <w:szCs w:val="21"/>
          <w:highlight w:val="none"/>
        </w:rPr>
        <w:t>并按规范标准规定处理余土和废液，符合环境保护、健康卫生等要求。</w:t>
      </w:r>
    </w:p>
    <w:p w14:paraId="34A15F3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（4）试验报告的格式应符合</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1"/>
          <w:sz w:val="21"/>
          <w:szCs w:val="21"/>
          <w:highlight w:val="none"/>
        </w:rPr>
        <w:t>CMA 计量认证体系要求，</w:t>
      </w:r>
      <w:r>
        <w:rPr>
          <w:rFonts w:hint="eastAsia" w:ascii="宋体" w:hAnsi="宋体" w:eastAsia="宋体" w:cs="宋体"/>
          <w:color w:val="auto"/>
          <w:spacing w:val="-2"/>
          <w:sz w:val="21"/>
          <w:szCs w:val="21"/>
          <w:highlight w:val="none"/>
        </w:rPr>
        <w:t>加盖</w:t>
      </w:r>
      <w:r>
        <w:rPr>
          <w:rFonts w:hint="eastAsia" w:ascii="宋体" w:hAnsi="宋体" w:eastAsia="宋体" w:cs="宋体"/>
          <w:color w:val="auto"/>
          <w:spacing w:val="-47"/>
          <w:sz w:val="21"/>
          <w:szCs w:val="21"/>
          <w:highlight w:val="none"/>
        </w:rPr>
        <w:t xml:space="preserve"> </w:t>
      </w:r>
      <w:r>
        <w:rPr>
          <w:rFonts w:hint="eastAsia" w:ascii="宋体" w:hAnsi="宋体" w:eastAsia="宋体" w:cs="宋体"/>
          <w:color w:val="auto"/>
          <w:spacing w:val="-2"/>
          <w:sz w:val="21"/>
          <w:szCs w:val="21"/>
          <w:highlight w:val="none"/>
        </w:rPr>
        <w:t>CMA</w:t>
      </w:r>
      <w:r>
        <w:rPr>
          <w:rFonts w:hint="eastAsia" w:ascii="宋体" w:hAnsi="宋体" w:eastAsia="宋体" w:cs="宋体"/>
          <w:color w:val="auto"/>
          <w:spacing w:val="23"/>
          <w:w w:val="101"/>
          <w:sz w:val="21"/>
          <w:szCs w:val="21"/>
          <w:highlight w:val="none"/>
        </w:rPr>
        <w:t xml:space="preserve"> </w:t>
      </w:r>
      <w:r>
        <w:rPr>
          <w:rFonts w:hint="eastAsia" w:ascii="宋体" w:hAnsi="宋体" w:eastAsia="宋体" w:cs="宋体"/>
          <w:color w:val="auto"/>
          <w:spacing w:val="-2"/>
          <w:sz w:val="21"/>
          <w:szCs w:val="21"/>
          <w:highlight w:val="none"/>
        </w:rPr>
        <w:t>章并由试验</w:t>
      </w:r>
      <w:r>
        <w:rPr>
          <w:rFonts w:hint="eastAsia" w:ascii="宋体" w:hAnsi="宋体" w:eastAsia="宋体" w:cs="宋体"/>
          <w:color w:val="auto"/>
          <w:spacing w:val="-1"/>
          <w:sz w:val="21"/>
          <w:szCs w:val="21"/>
          <w:highlight w:val="none"/>
        </w:rPr>
        <w:t>负责人签字确认；试验负责人应通过计量认证考核，并由项目负责人授权许可。</w:t>
      </w:r>
    </w:p>
    <w:p w14:paraId="66799B8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5.4.5  其他要求</w:t>
      </w:r>
    </w:p>
    <w:p w14:paraId="397CDBE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（1）设计人应在勘察过程中重视地质环境对安全的影响，提交的勘察报告应真</w:t>
      </w:r>
      <w:r>
        <w:rPr>
          <w:rFonts w:hint="eastAsia" w:ascii="宋体" w:hAnsi="宋体" w:eastAsia="宋体" w:cs="宋体"/>
          <w:color w:val="auto"/>
          <w:spacing w:val="-1"/>
          <w:sz w:val="21"/>
          <w:szCs w:val="21"/>
          <w:highlight w:val="none"/>
        </w:rPr>
        <w:t>实、准确、可靠，满足工程安全生产的需要，并对勘察结论负责。</w:t>
      </w:r>
    </w:p>
    <w:p w14:paraId="1BFE2E9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（2）设计人应对有可能引发公路工程安全隐患的地质灾害提出防治建议。</w:t>
      </w:r>
    </w:p>
    <w:p w14:paraId="44B6DCD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（3）工程勘察布点应参考发包人提供的资料。勘探点的数量、深度和位置可根</w:t>
      </w:r>
      <w:r>
        <w:rPr>
          <w:rFonts w:hint="eastAsia" w:ascii="宋体" w:hAnsi="宋体" w:eastAsia="宋体" w:cs="宋体"/>
          <w:color w:val="auto"/>
          <w:spacing w:val="-1"/>
          <w:sz w:val="21"/>
          <w:szCs w:val="21"/>
          <w:highlight w:val="none"/>
        </w:rPr>
        <w:t>据地质情况和现场条件依据规范进行调整，</w:t>
      </w:r>
      <w:r>
        <w:rPr>
          <w:rFonts w:hint="eastAsia" w:ascii="宋体" w:hAnsi="宋体" w:eastAsia="宋体" w:cs="宋体"/>
          <w:color w:val="auto"/>
          <w:spacing w:val="-2"/>
          <w:sz w:val="21"/>
          <w:szCs w:val="21"/>
          <w:highlight w:val="none"/>
        </w:rPr>
        <w:t>但应经发包人同意和批准。</w:t>
      </w:r>
    </w:p>
    <w:p w14:paraId="75B177A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（4）勘探过程中应认真记录每日工作内容，保存原始记录资料与数据，以供发</w:t>
      </w:r>
      <w:r>
        <w:rPr>
          <w:rFonts w:hint="eastAsia" w:ascii="宋体" w:hAnsi="宋体" w:eastAsia="宋体" w:cs="宋体"/>
          <w:color w:val="auto"/>
          <w:spacing w:val="-5"/>
          <w:sz w:val="21"/>
          <w:szCs w:val="21"/>
          <w:highlight w:val="none"/>
        </w:rPr>
        <w:t>包人检查和分析。</w:t>
      </w:r>
    </w:p>
    <w:p w14:paraId="1CCDDF6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（5）在钻探过程中，如发包人根据规范需要更改取样间距与现场试</w:t>
      </w:r>
      <w:r>
        <w:rPr>
          <w:rFonts w:hint="eastAsia" w:ascii="宋体" w:hAnsi="宋体" w:eastAsia="宋体" w:cs="宋体"/>
          <w:color w:val="auto"/>
          <w:spacing w:val="-2"/>
          <w:sz w:val="21"/>
          <w:szCs w:val="21"/>
          <w:highlight w:val="none"/>
        </w:rPr>
        <w:t>验的要求，或更改钻孔深度，设计人应积极配合并安排实</w:t>
      </w:r>
      <w:r>
        <w:rPr>
          <w:rFonts w:hint="eastAsia" w:ascii="宋体" w:hAnsi="宋体" w:eastAsia="宋体" w:cs="宋体"/>
          <w:color w:val="auto"/>
          <w:spacing w:val="-3"/>
          <w:sz w:val="21"/>
          <w:szCs w:val="21"/>
          <w:highlight w:val="none"/>
        </w:rPr>
        <w:t>施。</w:t>
      </w:r>
    </w:p>
    <w:p w14:paraId="2C46A6D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（6）设计人在钻探过程中应对地下管线和构筑物进行相应保护，遇到地下文物</w:t>
      </w:r>
      <w:r>
        <w:rPr>
          <w:rFonts w:hint="eastAsia" w:ascii="宋体" w:hAnsi="宋体" w:eastAsia="宋体" w:cs="宋体"/>
          <w:color w:val="auto"/>
          <w:sz w:val="21"/>
          <w:szCs w:val="21"/>
          <w:highlight w:val="none"/>
        </w:rPr>
        <w:t>时应及时向发包人和文物保护部门汇报并妥善保护。设计人在钻探过程中应采取有</w:t>
      </w:r>
      <w:r>
        <w:rPr>
          <w:rFonts w:hint="eastAsia" w:ascii="宋体" w:hAnsi="宋体" w:eastAsia="宋体" w:cs="宋体"/>
          <w:color w:val="auto"/>
          <w:spacing w:val="-2"/>
          <w:sz w:val="21"/>
          <w:szCs w:val="21"/>
          <w:highlight w:val="none"/>
        </w:rPr>
        <w:t>效的环境保护措施，避免对周围环境造成破坏或污染。</w:t>
      </w:r>
    </w:p>
    <w:p w14:paraId="0403538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（7）设计人在进行外业勘察时，应采取有效措施避免对原有道路、桥梁、构造</w:t>
      </w:r>
      <w:r>
        <w:rPr>
          <w:rFonts w:hint="eastAsia" w:ascii="宋体" w:hAnsi="宋体" w:eastAsia="宋体" w:cs="宋体"/>
          <w:color w:val="auto"/>
          <w:sz w:val="21"/>
          <w:szCs w:val="21"/>
          <w:highlight w:val="none"/>
        </w:rPr>
        <w:t>物及其他公共设施或地上附着物造成损坏或损伤。如造成损坏或损伤而引起的一切</w:t>
      </w:r>
      <w:r>
        <w:rPr>
          <w:rFonts w:hint="eastAsia" w:ascii="宋体" w:hAnsi="宋体" w:eastAsia="宋体" w:cs="宋体"/>
          <w:color w:val="auto"/>
          <w:spacing w:val="-2"/>
          <w:sz w:val="21"/>
          <w:szCs w:val="21"/>
          <w:highlight w:val="none"/>
        </w:rPr>
        <w:t>索赔、赔偿、诉讼费用和其他费用，由设计人自行承担。</w:t>
      </w:r>
    </w:p>
    <w:p w14:paraId="1F9FA84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5.5  勘察设备要求</w:t>
      </w:r>
    </w:p>
    <w:p w14:paraId="6F5768A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5.5.1  设计人应按合同进度计划的要求，及时配置勘察设备进行作业。设计人更换合同约定的勘察设备的，应报发包人批准。</w:t>
      </w:r>
    </w:p>
    <w:p w14:paraId="30ABDD36">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5.5.2  设计人应按照规范要求，及时维</w:t>
      </w:r>
      <w:r>
        <w:rPr>
          <w:rFonts w:hint="eastAsia" w:ascii="宋体" w:hAnsi="宋体" w:eastAsia="宋体" w:cs="宋体"/>
          <w:color w:val="auto"/>
          <w:spacing w:val="-6"/>
          <w:sz w:val="21"/>
          <w:szCs w:val="21"/>
          <w:highlight w:val="none"/>
        </w:rPr>
        <w:t>修、保养或更换勘察设备， 包括</w:t>
      </w:r>
      <w:r>
        <w:rPr>
          <w:rFonts w:hint="eastAsia" w:ascii="宋体" w:hAnsi="宋体" w:eastAsia="宋体" w:cs="宋体"/>
          <w:color w:val="auto"/>
          <w:spacing w:val="-6"/>
          <w:sz w:val="21"/>
          <w:szCs w:val="21"/>
          <w:highlight w:val="none"/>
          <w:lang w:val="en-US" w:eastAsia="zh-CN"/>
        </w:rPr>
        <w:t>但</w:t>
      </w:r>
      <w:r>
        <w:rPr>
          <w:rFonts w:hint="eastAsia" w:ascii="宋体" w:hAnsi="宋体" w:eastAsia="宋体" w:cs="宋体"/>
          <w:color w:val="auto"/>
          <w:spacing w:val="-6"/>
          <w:sz w:val="21"/>
          <w:szCs w:val="21"/>
          <w:highlight w:val="none"/>
        </w:rPr>
        <w:t>不限于</w:t>
      </w:r>
      <w:r>
        <w:rPr>
          <w:rFonts w:hint="eastAsia" w:ascii="宋体" w:hAnsi="宋体" w:eastAsia="宋体" w:cs="宋体"/>
          <w:color w:val="auto"/>
          <w:sz w:val="21"/>
          <w:szCs w:val="21"/>
          <w:highlight w:val="none"/>
        </w:rPr>
        <w:t>钻机、触探仪、全站仪、水准仪、探测仪、测井平台、天平、固结仪、振筛机、干</w:t>
      </w:r>
      <w:r>
        <w:rPr>
          <w:rFonts w:hint="eastAsia" w:ascii="宋体" w:hAnsi="宋体" w:eastAsia="宋体" w:cs="宋体"/>
          <w:color w:val="auto"/>
          <w:spacing w:val="-1"/>
          <w:sz w:val="21"/>
          <w:szCs w:val="21"/>
          <w:highlight w:val="none"/>
        </w:rPr>
        <w:t>燥箱、直剪仪、收缩仪、膨胀仪、渗透仪等，保证勘察设</w:t>
      </w:r>
      <w:r>
        <w:rPr>
          <w:rFonts w:hint="eastAsia" w:ascii="宋体" w:hAnsi="宋体" w:eastAsia="宋体" w:cs="宋体"/>
          <w:color w:val="auto"/>
          <w:spacing w:val="-2"/>
          <w:sz w:val="21"/>
          <w:szCs w:val="21"/>
          <w:highlight w:val="none"/>
        </w:rPr>
        <w:t>备能够随时进场使用。</w:t>
      </w:r>
    </w:p>
    <w:p w14:paraId="5432B57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5.5.3  设计人使用的勘察设备不能满足合同进度计划和（或）质量要求时，发包</w:t>
      </w:r>
      <w:r>
        <w:rPr>
          <w:rFonts w:hint="eastAsia" w:ascii="宋体" w:hAnsi="宋体" w:eastAsia="宋体" w:cs="宋体"/>
          <w:color w:val="auto"/>
          <w:spacing w:val="1"/>
          <w:sz w:val="21"/>
          <w:szCs w:val="21"/>
          <w:highlight w:val="none"/>
        </w:rPr>
        <w:t>人有权要求设计人增加或更换勘察设备，设计</w:t>
      </w:r>
      <w:r>
        <w:rPr>
          <w:rFonts w:hint="eastAsia" w:ascii="宋体" w:hAnsi="宋体" w:eastAsia="宋体" w:cs="宋体"/>
          <w:color w:val="auto"/>
          <w:sz w:val="21"/>
          <w:szCs w:val="21"/>
          <w:highlight w:val="none"/>
        </w:rPr>
        <w:t>人应及时增加或更换，由此增加的费</w:t>
      </w:r>
      <w:r>
        <w:rPr>
          <w:rFonts w:hint="eastAsia" w:ascii="宋体" w:hAnsi="宋体" w:eastAsia="宋体" w:cs="宋体"/>
          <w:color w:val="auto"/>
          <w:spacing w:val="-3"/>
          <w:sz w:val="21"/>
          <w:szCs w:val="21"/>
          <w:highlight w:val="none"/>
        </w:rPr>
        <w:t>用和（或）周期延误由设计人自行承担。</w:t>
      </w:r>
    </w:p>
    <w:p w14:paraId="1AD1F00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5.6</w:t>
      </w:r>
      <w:r>
        <w:rPr>
          <w:rFonts w:hint="eastAsia" w:ascii="宋体" w:hAnsi="宋体" w:eastAsia="宋体" w:cs="宋体"/>
          <w:b/>
          <w:bCs/>
          <w:color w:val="auto"/>
          <w:spacing w:val="11"/>
          <w:sz w:val="21"/>
          <w:szCs w:val="21"/>
          <w:highlight w:val="none"/>
        </w:rPr>
        <w:t xml:space="preserve">  </w:t>
      </w:r>
      <w:r>
        <w:rPr>
          <w:rFonts w:hint="eastAsia" w:ascii="宋体" w:hAnsi="宋体" w:eastAsia="宋体" w:cs="宋体"/>
          <w:b/>
          <w:bCs/>
          <w:color w:val="auto"/>
          <w:spacing w:val="-4"/>
          <w:sz w:val="21"/>
          <w:szCs w:val="21"/>
          <w:highlight w:val="none"/>
        </w:rPr>
        <w:t>临时占地和设施要求</w:t>
      </w:r>
    </w:p>
    <w:p w14:paraId="5768BCB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5.6.1  设计人应根据勘察设计服务方案制订临时占地计划，</w:t>
      </w:r>
      <w:r>
        <w:rPr>
          <w:rFonts w:hint="eastAsia" w:ascii="宋体" w:hAnsi="宋体" w:eastAsia="宋体" w:cs="宋体"/>
          <w:color w:val="auto"/>
          <w:spacing w:val="-2"/>
          <w:sz w:val="21"/>
          <w:szCs w:val="21"/>
          <w:highlight w:val="none"/>
        </w:rPr>
        <w:t>报请发包人批准。</w:t>
      </w:r>
    </w:p>
    <w:p w14:paraId="672F7BC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5.6.2  位于本工程区域内的临时占地，由发包人协调提供。位于道路、绿化或者</w:t>
      </w:r>
      <w:r>
        <w:rPr>
          <w:rFonts w:hint="eastAsia" w:ascii="宋体" w:hAnsi="宋体" w:eastAsia="宋体" w:cs="宋体"/>
          <w:color w:val="auto"/>
          <w:spacing w:val="1"/>
          <w:sz w:val="21"/>
          <w:szCs w:val="21"/>
          <w:highlight w:val="none"/>
        </w:rPr>
        <w:t>其他市政设施内的临时占地，由设计人向行政管理</w:t>
      </w:r>
      <w:r>
        <w:rPr>
          <w:rFonts w:hint="eastAsia" w:ascii="宋体" w:hAnsi="宋体" w:eastAsia="宋体" w:cs="宋体"/>
          <w:color w:val="auto"/>
          <w:sz w:val="21"/>
          <w:szCs w:val="21"/>
          <w:highlight w:val="none"/>
        </w:rPr>
        <w:t>部门报建申请，按照要求制订占</w:t>
      </w:r>
      <w:r>
        <w:rPr>
          <w:rFonts w:hint="eastAsia" w:ascii="宋体" w:hAnsi="宋体" w:eastAsia="宋体" w:cs="宋体"/>
          <w:color w:val="auto"/>
          <w:spacing w:val="-4"/>
          <w:sz w:val="21"/>
          <w:szCs w:val="21"/>
          <w:highlight w:val="none"/>
        </w:rPr>
        <w:t>地施工方案，并据此实施。</w:t>
      </w:r>
    </w:p>
    <w:p w14:paraId="18B52B2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5.6.3  临时占地使用完毕后，设计人应</w:t>
      </w:r>
      <w:r>
        <w:rPr>
          <w:rFonts w:hint="eastAsia" w:ascii="宋体" w:hAnsi="宋体" w:eastAsia="宋体" w:cs="宋体"/>
          <w:color w:val="auto"/>
          <w:spacing w:val="-3"/>
          <w:sz w:val="21"/>
          <w:szCs w:val="21"/>
          <w:highlight w:val="none"/>
        </w:rPr>
        <w:t>按照发包人要求或行政管理部门规定恢复</w:t>
      </w:r>
      <w:r>
        <w:rPr>
          <w:rFonts w:hint="eastAsia" w:ascii="宋体" w:hAnsi="宋体" w:eastAsia="宋体" w:cs="宋体"/>
          <w:color w:val="auto"/>
          <w:sz w:val="21"/>
          <w:szCs w:val="21"/>
          <w:highlight w:val="none"/>
        </w:rPr>
        <w:t>临时占地。如果恢复或清理标准不能满足要求的，发包人有权委托他人代为恢复或</w:t>
      </w:r>
      <w:r>
        <w:rPr>
          <w:rFonts w:hint="eastAsia" w:ascii="宋体" w:hAnsi="宋体" w:eastAsia="宋体" w:cs="宋体"/>
          <w:color w:val="auto"/>
          <w:spacing w:val="-1"/>
          <w:sz w:val="21"/>
          <w:szCs w:val="21"/>
          <w:highlight w:val="none"/>
        </w:rPr>
        <w:t>清理，由此发生的费用从拟支付给设计人的</w:t>
      </w:r>
      <w:r>
        <w:rPr>
          <w:rFonts w:hint="eastAsia" w:ascii="宋体" w:hAnsi="宋体" w:eastAsia="宋体" w:cs="宋体"/>
          <w:color w:val="auto"/>
          <w:spacing w:val="-2"/>
          <w:sz w:val="21"/>
          <w:szCs w:val="21"/>
          <w:highlight w:val="none"/>
        </w:rPr>
        <w:t>勘察设计费用中扣除。</w:t>
      </w:r>
    </w:p>
    <w:p w14:paraId="64EF696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5.6.4  设计人应配备或搭设足够的临时设施，保证勘探工作能够正常开展。临时</w:t>
      </w:r>
      <w:r>
        <w:rPr>
          <w:rFonts w:hint="eastAsia" w:ascii="宋体" w:hAnsi="宋体" w:eastAsia="宋体" w:cs="宋体"/>
          <w:color w:val="auto"/>
          <w:sz w:val="21"/>
          <w:szCs w:val="21"/>
          <w:highlight w:val="none"/>
        </w:rPr>
        <w:t>设施包括并不限于施工围挡、交通疏导设施、安全防范设施、钻机防护设施、安全</w:t>
      </w:r>
      <w:r>
        <w:rPr>
          <w:rFonts w:hint="eastAsia" w:ascii="宋体" w:hAnsi="宋体" w:eastAsia="宋体" w:cs="宋体"/>
          <w:color w:val="auto"/>
          <w:spacing w:val="-2"/>
          <w:sz w:val="21"/>
          <w:szCs w:val="21"/>
          <w:highlight w:val="none"/>
        </w:rPr>
        <w:t>文明施工设施、办公生活用房、取样存放场所等。</w:t>
      </w:r>
    </w:p>
    <w:p w14:paraId="47732F3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5.6.5  临时设施应满足规范标准、发包人要求和行政管理部门的规定等。除专用</w:t>
      </w:r>
      <w:r>
        <w:rPr>
          <w:rFonts w:hint="eastAsia" w:ascii="宋体" w:hAnsi="宋体" w:eastAsia="宋体" w:cs="宋体"/>
          <w:color w:val="auto"/>
          <w:spacing w:val="-1"/>
          <w:sz w:val="21"/>
          <w:szCs w:val="21"/>
          <w:highlight w:val="none"/>
        </w:rPr>
        <w:t>合同条款另有约定外，临时设施的修建、拆除和恢复</w:t>
      </w:r>
      <w:r>
        <w:rPr>
          <w:rFonts w:hint="eastAsia" w:ascii="宋体" w:hAnsi="宋体" w:eastAsia="宋体" w:cs="宋体"/>
          <w:color w:val="auto"/>
          <w:spacing w:val="-2"/>
          <w:sz w:val="21"/>
          <w:szCs w:val="21"/>
          <w:highlight w:val="none"/>
        </w:rPr>
        <w:t>费用由设计人自行承担。</w:t>
      </w:r>
    </w:p>
    <w:p w14:paraId="6731248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5.7  安全作业要求</w:t>
      </w:r>
    </w:p>
    <w:p w14:paraId="0892726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5.7.1  设计人应按合同约定履行安全职责，执行发包人有关安全工作的指示，并</w:t>
      </w:r>
      <w:r>
        <w:rPr>
          <w:rFonts w:hint="eastAsia" w:ascii="宋体" w:hAnsi="宋体" w:eastAsia="宋体" w:cs="宋体"/>
          <w:color w:val="auto"/>
          <w:spacing w:val="1"/>
          <w:sz w:val="21"/>
          <w:szCs w:val="21"/>
          <w:highlight w:val="none"/>
        </w:rPr>
        <w:t>在专用合同条款约定的期限内，按合同约定的安全</w:t>
      </w:r>
      <w:r>
        <w:rPr>
          <w:rFonts w:hint="eastAsia" w:ascii="宋体" w:hAnsi="宋体" w:eastAsia="宋体" w:cs="宋体"/>
          <w:color w:val="auto"/>
          <w:sz w:val="21"/>
          <w:szCs w:val="21"/>
          <w:highlight w:val="none"/>
        </w:rPr>
        <w:t>工作内容，编制安全措施计划报</w:t>
      </w:r>
      <w:r>
        <w:rPr>
          <w:rFonts w:hint="eastAsia" w:ascii="宋体" w:hAnsi="宋体" w:eastAsia="宋体" w:cs="宋体"/>
          <w:color w:val="auto"/>
          <w:spacing w:val="-6"/>
          <w:sz w:val="21"/>
          <w:szCs w:val="21"/>
          <w:highlight w:val="none"/>
        </w:rPr>
        <w:t>送发包人批准。</w:t>
      </w:r>
    </w:p>
    <w:p w14:paraId="412EE00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5.7.2  设计人应严格执行操作规程，采取有效措施保证道路、桥梁、交通安全设</w:t>
      </w:r>
      <w:r>
        <w:rPr>
          <w:rFonts w:hint="eastAsia" w:ascii="宋体" w:hAnsi="宋体" w:eastAsia="宋体" w:cs="宋体"/>
          <w:color w:val="auto"/>
          <w:spacing w:val="-1"/>
          <w:sz w:val="21"/>
          <w:szCs w:val="21"/>
          <w:highlight w:val="none"/>
        </w:rPr>
        <w:t>施、建构筑物、地下管线、架空线和其他周</w:t>
      </w:r>
      <w:r>
        <w:rPr>
          <w:rFonts w:hint="eastAsia" w:ascii="宋体" w:hAnsi="宋体" w:eastAsia="宋体" w:cs="宋体"/>
          <w:color w:val="auto"/>
          <w:spacing w:val="-2"/>
          <w:sz w:val="21"/>
          <w:szCs w:val="21"/>
          <w:highlight w:val="none"/>
        </w:rPr>
        <w:t>边设施等安全正常地运行。</w:t>
      </w:r>
    </w:p>
    <w:p w14:paraId="134F9F2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5.7.3  设计人应按照法律、法规和工程建设强制性标准进行勘察，</w:t>
      </w:r>
      <w:r>
        <w:rPr>
          <w:rFonts w:hint="eastAsia" w:ascii="宋体" w:hAnsi="宋体" w:eastAsia="宋体" w:cs="宋体"/>
          <w:color w:val="auto"/>
          <w:spacing w:val="-24"/>
          <w:sz w:val="21"/>
          <w:szCs w:val="21"/>
          <w:highlight w:val="none"/>
        </w:rPr>
        <w:t xml:space="preserve"> </w:t>
      </w:r>
      <w:r>
        <w:rPr>
          <w:rFonts w:hint="eastAsia" w:ascii="宋体" w:hAnsi="宋体" w:eastAsia="宋体" w:cs="宋体"/>
          <w:color w:val="auto"/>
          <w:spacing w:val="-5"/>
          <w:sz w:val="21"/>
          <w:szCs w:val="21"/>
          <w:highlight w:val="none"/>
        </w:rPr>
        <w:t>加强勘察作业</w:t>
      </w:r>
      <w:r>
        <w:rPr>
          <w:rFonts w:hint="eastAsia" w:ascii="宋体" w:hAnsi="宋体" w:eastAsia="宋体" w:cs="宋体"/>
          <w:color w:val="auto"/>
          <w:sz w:val="21"/>
          <w:szCs w:val="21"/>
          <w:highlight w:val="none"/>
        </w:rPr>
        <w:t>安全管理，特别加强易燃、易爆材料、火工器材、有毒与腐蚀性材料和其他危险品</w:t>
      </w:r>
      <w:r>
        <w:rPr>
          <w:rFonts w:hint="eastAsia" w:ascii="宋体" w:hAnsi="宋体" w:eastAsia="宋体" w:cs="宋体"/>
          <w:color w:val="auto"/>
          <w:spacing w:val="-10"/>
          <w:sz w:val="21"/>
          <w:szCs w:val="21"/>
          <w:highlight w:val="none"/>
        </w:rPr>
        <w:t>的管理。</w:t>
      </w:r>
    </w:p>
    <w:p w14:paraId="6EC880BF">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5.7.4  设计人应严格按照国家安全标</w:t>
      </w:r>
      <w:r>
        <w:rPr>
          <w:rFonts w:hint="eastAsia" w:ascii="宋体" w:hAnsi="宋体" w:eastAsia="宋体" w:cs="宋体"/>
          <w:color w:val="auto"/>
          <w:spacing w:val="-3"/>
          <w:sz w:val="21"/>
          <w:szCs w:val="21"/>
          <w:highlight w:val="none"/>
        </w:rPr>
        <w:t>准制定施工安全操作规程，配备必要的安全</w:t>
      </w:r>
      <w:r>
        <w:rPr>
          <w:rFonts w:hint="eastAsia" w:ascii="宋体" w:hAnsi="宋体" w:eastAsia="宋体" w:cs="宋体"/>
          <w:color w:val="auto"/>
          <w:sz w:val="21"/>
          <w:szCs w:val="21"/>
          <w:highlight w:val="none"/>
        </w:rPr>
        <w:t>生产和劳动保护设施，加强对设计人人员的安全教育，并且发放安全工作手册和劳</w:t>
      </w:r>
      <w:r>
        <w:rPr>
          <w:rFonts w:hint="eastAsia" w:ascii="宋体" w:hAnsi="宋体" w:eastAsia="宋体" w:cs="宋体"/>
          <w:color w:val="auto"/>
          <w:spacing w:val="-7"/>
          <w:sz w:val="21"/>
          <w:szCs w:val="21"/>
          <w:highlight w:val="none"/>
        </w:rPr>
        <w:t>动保护用具。</w:t>
      </w:r>
    </w:p>
    <w:p w14:paraId="74526B0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5.7.5  设计人应按发包人的指示制订应对灾害的紧急预案，报送发包人批准。设</w:t>
      </w:r>
      <w:r>
        <w:rPr>
          <w:rFonts w:hint="eastAsia" w:ascii="宋体" w:hAnsi="宋体" w:eastAsia="宋体" w:cs="宋体"/>
          <w:color w:val="auto"/>
          <w:sz w:val="21"/>
          <w:szCs w:val="21"/>
          <w:highlight w:val="none"/>
        </w:rPr>
        <w:t>计人还应按预案做好安全检查，配置必要的救助物资和器材，切实保护好有关人员</w:t>
      </w:r>
      <w:r>
        <w:rPr>
          <w:rFonts w:hint="eastAsia" w:ascii="宋体" w:hAnsi="宋体" w:eastAsia="宋体" w:cs="宋体"/>
          <w:color w:val="auto"/>
          <w:spacing w:val="-5"/>
          <w:sz w:val="21"/>
          <w:szCs w:val="21"/>
          <w:highlight w:val="none"/>
        </w:rPr>
        <w:t>的人身和财产安全。</w:t>
      </w:r>
    </w:p>
    <w:p w14:paraId="7C55888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5.7.6  设计人应对其履行合同所</w:t>
      </w:r>
      <w:r>
        <w:rPr>
          <w:rFonts w:hint="eastAsia" w:ascii="宋体" w:hAnsi="宋体" w:eastAsia="宋体" w:cs="宋体"/>
          <w:color w:val="auto"/>
          <w:spacing w:val="-2"/>
          <w:sz w:val="21"/>
          <w:szCs w:val="21"/>
          <w:highlight w:val="none"/>
          <w:lang w:eastAsia="zh-CN"/>
        </w:rPr>
        <w:t>雇佣</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3"/>
          <w:sz w:val="21"/>
          <w:szCs w:val="21"/>
          <w:highlight w:val="none"/>
        </w:rPr>
        <w:t>全部人员，包括分包人人员的工伤事故承</w:t>
      </w:r>
      <w:r>
        <w:rPr>
          <w:rFonts w:hint="eastAsia" w:ascii="宋体" w:hAnsi="宋体" w:eastAsia="宋体" w:cs="宋体"/>
          <w:color w:val="auto"/>
          <w:spacing w:val="-1"/>
          <w:sz w:val="21"/>
          <w:szCs w:val="21"/>
          <w:highlight w:val="none"/>
        </w:rPr>
        <w:t>担责任，但由于发包人原因造成设计人人员工伤事故的，</w:t>
      </w:r>
      <w:r>
        <w:rPr>
          <w:rFonts w:hint="eastAsia" w:ascii="宋体" w:hAnsi="宋体" w:eastAsia="宋体" w:cs="宋体"/>
          <w:color w:val="auto"/>
          <w:spacing w:val="-2"/>
          <w:sz w:val="21"/>
          <w:szCs w:val="21"/>
          <w:highlight w:val="none"/>
        </w:rPr>
        <w:t>应由发包人承担责任。</w:t>
      </w:r>
    </w:p>
    <w:p w14:paraId="03AB0A2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3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5.7.7</w:t>
      </w:r>
      <w:r>
        <w:rPr>
          <w:rFonts w:hint="eastAsia" w:ascii="宋体" w:hAnsi="宋体" w:eastAsia="宋体" w:cs="宋体"/>
          <w:color w:val="auto"/>
          <w:spacing w:val="21"/>
          <w:w w:val="101"/>
          <w:sz w:val="21"/>
          <w:szCs w:val="21"/>
          <w:highlight w:val="none"/>
        </w:rPr>
        <w:t xml:space="preserve">  </w:t>
      </w:r>
      <w:r>
        <w:rPr>
          <w:rFonts w:hint="eastAsia" w:ascii="宋体" w:hAnsi="宋体" w:eastAsia="宋体" w:cs="宋体"/>
          <w:color w:val="auto"/>
          <w:spacing w:val="3"/>
          <w:sz w:val="21"/>
          <w:szCs w:val="21"/>
          <w:highlight w:val="none"/>
        </w:rPr>
        <w:t>由于设计人原因在施工场地内及其毗</w:t>
      </w:r>
      <w:r>
        <w:rPr>
          <w:rFonts w:hint="eastAsia" w:ascii="宋体" w:hAnsi="宋体" w:eastAsia="宋体" w:cs="宋体"/>
          <w:color w:val="auto"/>
          <w:spacing w:val="2"/>
          <w:sz w:val="21"/>
          <w:szCs w:val="21"/>
          <w:highlight w:val="none"/>
        </w:rPr>
        <w:t>邻地带造成的第三者人员伤亡和财</w:t>
      </w:r>
      <w:r>
        <w:rPr>
          <w:rFonts w:hint="eastAsia" w:ascii="宋体" w:hAnsi="宋体" w:eastAsia="宋体" w:cs="宋体"/>
          <w:color w:val="auto"/>
          <w:spacing w:val="-4"/>
          <w:sz w:val="21"/>
          <w:szCs w:val="21"/>
          <w:highlight w:val="none"/>
        </w:rPr>
        <w:t>产损失，由设计人负责赔偿。</w:t>
      </w:r>
    </w:p>
    <w:p w14:paraId="58007AF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5.8  环境保护要求</w:t>
      </w:r>
    </w:p>
    <w:p w14:paraId="1B3062B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5.8.1  设计人在履行合同过程中，应遵守有关环境保护的法律，履行合同约定的</w:t>
      </w:r>
      <w:r>
        <w:rPr>
          <w:rFonts w:hint="eastAsia" w:ascii="宋体" w:hAnsi="宋体" w:eastAsia="宋体" w:cs="宋体"/>
          <w:color w:val="auto"/>
          <w:sz w:val="21"/>
          <w:szCs w:val="21"/>
          <w:highlight w:val="none"/>
        </w:rPr>
        <w:t>环境保护义务，并对违反法律和合同约定义务所造成的环境破坏、人身伤害和财产</w:t>
      </w:r>
      <w:r>
        <w:rPr>
          <w:rFonts w:hint="eastAsia" w:ascii="宋体" w:hAnsi="宋体" w:eastAsia="宋体" w:cs="宋体"/>
          <w:color w:val="auto"/>
          <w:spacing w:val="-8"/>
          <w:sz w:val="21"/>
          <w:szCs w:val="21"/>
          <w:highlight w:val="none"/>
        </w:rPr>
        <w:t>损失负责。</w:t>
      </w:r>
    </w:p>
    <w:p w14:paraId="3D24F74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5.8.2  设计人应按合同约定的环保工作内容，编制环保措施计划，报送发包人批</w:t>
      </w:r>
      <w:r>
        <w:rPr>
          <w:rFonts w:hint="eastAsia" w:ascii="宋体" w:hAnsi="宋体" w:eastAsia="宋体" w:cs="宋体"/>
          <w:color w:val="auto"/>
          <w:spacing w:val="-12"/>
          <w:sz w:val="21"/>
          <w:szCs w:val="21"/>
          <w:highlight w:val="none"/>
        </w:rPr>
        <w:t>准。</w:t>
      </w:r>
    </w:p>
    <w:p w14:paraId="524877B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5.8.3  设计人应确保勘探过程中产生</w:t>
      </w:r>
      <w:r>
        <w:rPr>
          <w:rFonts w:hint="eastAsia" w:ascii="宋体" w:hAnsi="宋体" w:eastAsia="宋体" w:cs="宋体"/>
          <w:color w:val="auto"/>
          <w:spacing w:val="-3"/>
          <w:sz w:val="21"/>
          <w:szCs w:val="21"/>
          <w:highlight w:val="none"/>
        </w:rPr>
        <w:t>的气体排放物、粉尘、噪声、地面排水及排污等，符合法律规定和发包人要求。</w:t>
      </w:r>
    </w:p>
    <w:p w14:paraId="3CCE6B5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5.9  事故处理要求</w:t>
      </w:r>
    </w:p>
    <w:p w14:paraId="6859685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5.9.1  合同履行过程中发生事故的，设计人应立即通知发包人。</w:t>
      </w:r>
    </w:p>
    <w:p w14:paraId="5D59C3C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5.9.2  发包人和设计人应立即组织人</w:t>
      </w:r>
      <w:r>
        <w:rPr>
          <w:rFonts w:hint="eastAsia" w:ascii="宋体" w:hAnsi="宋体" w:eastAsia="宋体" w:cs="宋体"/>
          <w:color w:val="auto"/>
          <w:spacing w:val="-3"/>
          <w:sz w:val="21"/>
          <w:szCs w:val="21"/>
          <w:highlight w:val="none"/>
        </w:rPr>
        <w:t>员和设备进行紧急抢救和抢修，减少人员伤</w:t>
      </w:r>
      <w:r>
        <w:rPr>
          <w:rFonts w:hint="eastAsia" w:ascii="宋体" w:hAnsi="宋体" w:eastAsia="宋体" w:cs="宋体"/>
          <w:color w:val="auto"/>
          <w:sz w:val="21"/>
          <w:szCs w:val="21"/>
          <w:highlight w:val="none"/>
        </w:rPr>
        <w:t>亡和财产损失，防止事故扩大，并保护事故现场。需要移动现场物品时，应作出标</w:t>
      </w:r>
      <w:r>
        <w:rPr>
          <w:rFonts w:hint="eastAsia" w:ascii="宋体" w:hAnsi="宋体" w:eastAsia="宋体" w:cs="宋体"/>
          <w:color w:val="auto"/>
          <w:spacing w:val="1"/>
          <w:sz w:val="21"/>
          <w:szCs w:val="21"/>
          <w:highlight w:val="none"/>
        </w:rPr>
        <w:t>记和书面记录，妥善保管有关证据。发包人</w:t>
      </w:r>
      <w:r>
        <w:rPr>
          <w:rFonts w:hint="eastAsia" w:ascii="宋体" w:hAnsi="宋体" w:eastAsia="宋体" w:cs="宋体"/>
          <w:color w:val="auto"/>
          <w:sz w:val="21"/>
          <w:szCs w:val="21"/>
          <w:highlight w:val="none"/>
        </w:rPr>
        <w:t>和设计人应按国家有关规定，及时如实</w:t>
      </w:r>
      <w:r>
        <w:rPr>
          <w:rFonts w:hint="eastAsia" w:ascii="宋体" w:hAnsi="宋体" w:eastAsia="宋体" w:cs="宋体"/>
          <w:color w:val="auto"/>
          <w:spacing w:val="-2"/>
          <w:sz w:val="21"/>
          <w:szCs w:val="21"/>
          <w:highlight w:val="none"/>
        </w:rPr>
        <w:t>地向有关部门报告事故发生的情况，以及正在采取的紧急措施等。</w:t>
      </w:r>
    </w:p>
    <w:p w14:paraId="550B790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5.10  勘察设计文件要求</w:t>
      </w:r>
    </w:p>
    <w:p w14:paraId="1DC97A7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5.10.1  勘察设计文件的编制应符合法律法规、规范标准的强制性规定和发包人要求，相关勘察设计依据应完整、准确、可靠，勘察设计方案论证充分，计算成果</w:t>
      </w:r>
      <w:r>
        <w:rPr>
          <w:rFonts w:hint="eastAsia" w:ascii="宋体" w:hAnsi="宋体" w:eastAsia="宋体" w:cs="宋体"/>
          <w:color w:val="auto"/>
          <w:spacing w:val="-4"/>
          <w:sz w:val="21"/>
          <w:szCs w:val="21"/>
          <w:highlight w:val="none"/>
        </w:rPr>
        <w:t>规范可靠，并能够实施。</w:t>
      </w:r>
    </w:p>
    <w:p w14:paraId="67F9C73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5.10.2  勘察设计服务应根据法律</w:t>
      </w:r>
      <w:r>
        <w:rPr>
          <w:rFonts w:hint="eastAsia" w:ascii="宋体" w:hAnsi="宋体" w:eastAsia="宋体" w:cs="宋体"/>
          <w:color w:val="auto"/>
          <w:sz w:val="21"/>
          <w:szCs w:val="21"/>
          <w:highlight w:val="none"/>
        </w:rPr>
        <w:t>、规范标准和发包人要求，保证工程的合理使</w:t>
      </w:r>
      <w:r>
        <w:rPr>
          <w:rFonts w:hint="eastAsia" w:ascii="宋体" w:hAnsi="宋体" w:eastAsia="宋体" w:cs="宋体"/>
          <w:color w:val="auto"/>
          <w:spacing w:val="-3"/>
          <w:sz w:val="21"/>
          <w:szCs w:val="21"/>
          <w:highlight w:val="none"/>
        </w:rPr>
        <w:t>用寿命年限，并在设计文件中予以注明。</w:t>
      </w:r>
    </w:p>
    <w:p w14:paraId="308D901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5.10.3  勘察设计文件的深度应满足本合同相应勘察设计阶段的规定要求，满足</w:t>
      </w:r>
      <w:r>
        <w:rPr>
          <w:rFonts w:hint="eastAsia" w:ascii="宋体" w:hAnsi="宋体" w:eastAsia="宋体" w:cs="宋体"/>
          <w:color w:val="auto"/>
          <w:spacing w:val="-2"/>
          <w:sz w:val="21"/>
          <w:szCs w:val="21"/>
          <w:highlight w:val="none"/>
        </w:rPr>
        <w:t>发包人的下步工作需要，并应符合国家和行业现行规定。</w:t>
      </w:r>
    </w:p>
    <w:p w14:paraId="2373C86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5.10.4  勘察设计文件必须保证工程质量和施工安全等方面的要求，按照有关法律法规规定在勘察设计文件中提出保障施工作业人员安全和预防生产安全事故的措</w:t>
      </w:r>
      <w:r>
        <w:rPr>
          <w:rFonts w:hint="eastAsia" w:ascii="宋体" w:hAnsi="宋体" w:eastAsia="宋体" w:cs="宋体"/>
          <w:color w:val="auto"/>
          <w:spacing w:val="-9"/>
          <w:sz w:val="21"/>
          <w:szCs w:val="21"/>
          <w:highlight w:val="none"/>
        </w:rPr>
        <w:t>施建议。</w:t>
      </w:r>
    </w:p>
    <w:p w14:paraId="35A5201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5.10.5  勘察设计文件必须符合下列要求：</w:t>
      </w:r>
    </w:p>
    <w:p w14:paraId="63627ED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（1）勘察设计文件的编制必须严格执行国家基本建设程序、工程建设标准强制</w:t>
      </w:r>
      <w:r>
        <w:rPr>
          <w:rFonts w:hint="eastAsia" w:ascii="宋体" w:hAnsi="宋体" w:eastAsia="宋体" w:cs="宋体"/>
          <w:color w:val="auto"/>
          <w:sz w:val="21"/>
          <w:szCs w:val="21"/>
          <w:highlight w:val="none"/>
        </w:rPr>
        <w:t>性条文及有关公路工程建设的法律、法规、规章、规范、标准、规程、定额和合同</w:t>
      </w:r>
      <w:r>
        <w:rPr>
          <w:rFonts w:hint="eastAsia" w:ascii="宋体" w:hAnsi="宋体" w:eastAsia="宋体" w:cs="宋体"/>
          <w:color w:val="auto"/>
          <w:spacing w:val="-4"/>
          <w:sz w:val="21"/>
          <w:szCs w:val="21"/>
          <w:highlight w:val="none"/>
        </w:rPr>
        <w:t>的要求。</w:t>
      </w:r>
    </w:p>
    <w:p w14:paraId="175DB5E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（2）勘察设计文件的编制须符合国民经济、社会发展规划和产</w:t>
      </w:r>
      <w:r>
        <w:rPr>
          <w:rFonts w:hint="eastAsia" w:ascii="宋体" w:hAnsi="宋体" w:eastAsia="宋体" w:cs="宋体"/>
          <w:color w:val="auto"/>
          <w:spacing w:val="-7"/>
          <w:sz w:val="21"/>
          <w:szCs w:val="21"/>
          <w:highlight w:val="none"/>
        </w:rPr>
        <w:t>业政策， 贯彻提</w:t>
      </w:r>
      <w:r>
        <w:rPr>
          <w:rFonts w:hint="eastAsia" w:ascii="宋体" w:hAnsi="宋体" w:eastAsia="宋体" w:cs="宋体"/>
          <w:color w:val="auto"/>
          <w:spacing w:val="1"/>
          <w:sz w:val="21"/>
          <w:szCs w:val="21"/>
          <w:highlight w:val="none"/>
        </w:rPr>
        <w:t>高社会经济效益和促进技术进步的方针，实行</w:t>
      </w:r>
      <w:r>
        <w:rPr>
          <w:rFonts w:hint="eastAsia" w:ascii="宋体" w:hAnsi="宋体" w:eastAsia="宋体" w:cs="宋体"/>
          <w:color w:val="auto"/>
          <w:sz w:val="21"/>
          <w:szCs w:val="21"/>
          <w:highlight w:val="none"/>
        </w:rPr>
        <w:t>资源综合利用，节约资源和能源，符合国家自然风景区、城市、集镇、村庄规划和相关专业规划，符合国家有关劳动安</w:t>
      </w:r>
      <w:r>
        <w:rPr>
          <w:rFonts w:hint="eastAsia" w:ascii="宋体" w:hAnsi="宋体" w:eastAsia="宋体" w:cs="宋体"/>
          <w:color w:val="auto"/>
          <w:spacing w:val="-1"/>
          <w:sz w:val="21"/>
          <w:szCs w:val="21"/>
          <w:highlight w:val="none"/>
        </w:rPr>
        <w:t>全卫生、消防、抗震、人防规定。</w:t>
      </w:r>
    </w:p>
    <w:p w14:paraId="37D27E8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（3）勘察设计文件必须保证工程质量和安全的要求，符合安全、适用、耐久、</w:t>
      </w:r>
      <w:r>
        <w:rPr>
          <w:rFonts w:hint="eastAsia" w:ascii="宋体" w:hAnsi="宋体" w:eastAsia="宋体" w:cs="宋体"/>
          <w:color w:val="auto"/>
          <w:spacing w:val="1"/>
          <w:sz w:val="21"/>
          <w:szCs w:val="21"/>
          <w:highlight w:val="none"/>
        </w:rPr>
        <w:t>经济、美观的综合要求；并应特别注意沿线景观</w:t>
      </w:r>
      <w:r>
        <w:rPr>
          <w:rFonts w:hint="eastAsia" w:ascii="宋体" w:hAnsi="宋体" w:eastAsia="宋体" w:cs="宋体"/>
          <w:color w:val="auto"/>
          <w:sz w:val="21"/>
          <w:szCs w:val="21"/>
          <w:highlight w:val="none"/>
        </w:rPr>
        <w:t>及沿线设施的协调性和符合环境保</w:t>
      </w:r>
      <w:r>
        <w:rPr>
          <w:rFonts w:hint="eastAsia" w:ascii="宋体" w:hAnsi="宋体" w:eastAsia="宋体" w:cs="宋体"/>
          <w:color w:val="auto"/>
          <w:spacing w:val="-2"/>
          <w:sz w:val="21"/>
          <w:szCs w:val="21"/>
          <w:highlight w:val="none"/>
        </w:rPr>
        <w:t>护、水土保持的要求。</w:t>
      </w:r>
    </w:p>
    <w:p w14:paraId="3745787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5.10.6  设计人应根据批复的可行性研究报告和交通运输部《公路工程基本建设项目设计文件编制办法》规定的设计深度完成初步设计工作。初步设计文件经审查</w:t>
      </w:r>
      <w:r>
        <w:rPr>
          <w:rFonts w:hint="eastAsia" w:ascii="宋体" w:hAnsi="宋体" w:eastAsia="宋体" w:cs="宋体"/>
          <w:color w:val="auto"/>
          <w:spacing w:val="-2"/>
          <w:sz w:val="21"/>
          <w:szCs w:val="21"/>
          <w:highlight w:val="none"/>
        </w:rPr>
        <w:t>批复后，作为编制施工图设计文件和控制建设项目投资的依据。</w:t>
      </w:r>
    </w:p>
    <w:p w14:paraId="0B2CF34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5.10.7  若发包人或发包人上级主管部门认为需要进行技术设计，设计人应根据发包人要求，按交通运输部《公路工程基本建设项目设计文件编制办法》有关规定编制技术设计文件和修正概算，并通过发包人上级主管部门的审查。如果发包人在招标阶段已明确本项目包括技术设计并且在报价清单中已列有相应报价子目，则按设计人在报价清单中所报的相应费用支付；否则，对于发包人在项目实施过程中提</w:t>
      </w:r>
      <w:r>
        <w:rPr>
          <w:rFonts w:hint="eastAsia" w:ascii="宋体" w:hAnsi="宋体" w:eastAsia="宋体" w:cs="宋体"/>
          <w:color w:val="auto"/>
          <w:spacing w:val="-3"/>
          <w:sz w:val="21"/>
          <w:szCs w:val="21"/>
          <w:highlight w:val="none"/>
        </w:rPr>
        <w:t>出的技术设计，发包人应另行支付费用。</w:t>
      </w:r>
    </w:p>
    <w:p w14:paraId="3E64939C">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5.10.8  设计人应按批准的初步设计完成施工图设计工作，并接受发包人、咨询单位及发包人上级主管部门对施工图设计文件的审查，按审查意见修改施工图设计</w:t>
      </w:r>
      <w:r>
        <w:rPr>
          <w:rFonts w:hint="eastAsia" w:ascii="宋体" w:hAnsi="宋体" w:eastAsia="宋体" w:cs="宋体"/>
          <w:color w:val="auto"/>
          <w:spacing w:val="1"/>
          <w:sz w:val="21"/>
          <w:szCs w:val="21"/>
          <w:highlight w:val="none"/>
        </w:rPr>
        <w:t>文件。设计人应在发包人规定的时间内完成</w:t>
      </w:r>
      <w:r>
        <w:rPr>
          <w:rFonts w:hint="eastAsia" w:ascii="宋体" w:hAnsi="宋体" w:eastAsia="宋体" w:cs="宋体"/>
          <w:color w:val="auto"/>
          <w:sz w:val="21"/>
          <w:szCs w:val="21"/>
          <w:highlight w:val="none"/>
        </w:rPr>
        <w:t>施工图预算的编制，施工图设计文件及</w:t>
      </w:r>
      <w:r>
        <w:rPr>
          <w:rFonts w:hint="eastAsia" w:ascii="宋体" w:hAnsi="宋体" w:eastAsia="宋体" w:cs="宋体"/>
          <w:color w:val="auto"/>
          <w:spacing w:val="1"/>
          <w:sz w:val="21"/>
          <w:szCs w:val="21"/>
          <w:highlight w:val="none"/>
        </w:rPr>
        <w:t>施工图预算应按各施工标段进行编制。施工图</w:t>
      </w:r>
      <w:r>
        <w:rPr>
          <w:rFonts w:hint="eastAsia" w:ascii="宋体" w:hAnsi="宋体" w:eastAsia="宋体" w:cs="宋体"/>
          <w:color w:val="auto"/>
          <w:sz w:val="21"/>
          <w:szCs w:val="21"/>
          <w:highlight w:val="none"/>
        </w:rPr>
        <w:t>设计文件批复后，则作为编制施工招</w:t>
      </w:r>
      <w:r>
        <w:rPr>
          <w:rFonts w:hint="eastAsia" w:ascii="宋体" w:hAnsi="宋体" w:eastAsia="宋体" w:cs="宋体"/>
          <w:color w:val="auto"/>
          <w:spacing w:val="-6"/>
          <w:sz w:val="21"/>
          <w:szCs w:val="21"/>
          <w:highlight w:val="none"/>
        </w:rPr>
        <w:t>标文件的依据。</w:t>
      </w:r>
    </w:p>
    <w:p w14:paraId="1770372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5.10.9  当发包人、咨询单位或上级主管部门认为需调用设计人的设计计算书时，</w:t>
      </w:r>
      <w:r>
        <w:rPr>
          <w:rFonts w:hint="eastAsia" w:ascii="宋体" w:hAnsi="宋体" w:eastAsia="宋体" w:cs="宋体"/>
          <w:color w:val="auto"/>
          <w:spacing w:val="-5"/>
          <w:sz w:val="21"/>
          <w:szCs w:val="21"/>
          <w:highlight w:val="none"/>
        </w:rPr>
        <w:t>设计人必须及时提供。</w:t>
      </w:r>
    </w:p>
    <w:p w14:paraId="75D9C153">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6.  开始勘察设计和完成勘察设计</w:t>
      </w:r>
    </w:p>
    <w:p w14:paraId="4289940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6.1  开始勘察设计</w:t>
      </w:r>
    </w:p>
    <w:p w14:paraId="3DD90F0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6.1.1 符合专用合同条款约定的开始勘察设计条件的，发包人应提前</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1"/>
          <w:sz w:val="21"/>
          <w:szCs w:val="21"/>
          <w:highlight w:val="none"/>
        </w:rPr>
        <w:t>7</w:t>
      </w:r>
      <w:r>
        <w:rPr>
          <w:rFonts w:hint="eastAsia" w:ascii="宋体" w:hAnsi="宋体" w:eastAsia="宋体" w:cs="宋体"/>
          <w:color w:val="auto"/>
          <w:spacing w:val="-2"/>
          <w:sz w:val="21"/>
          <w:szCs w:val="21"/>
          <w:highlight w:val="none"/>
        </w:rPr>
        <w:t xml:space="preserve"> 天向设计</w:t>
      </w:r>
      <w:r>
        <w:rPr>
          <w:rFonts w:hint="eastAsia" w:ascii="宋体" w:hAnsi="宋体" w:eastAsia="宋体" w:cs="宋体"/>
          <w:color w:val="auto"/>
          <w:spacing w:val="1"/>
          <w:sz w:val="21"/>
          <w:szCs w:val="21"/>
          <w:highlight w:val="none"/>
        </w:rPr>
        <w:t>人发出开始勘察设计通知。勘察设计服务期限</w:t>
      </w:r>
      <w:r>
        <w:rPr>
          <w:rFonts w:hint="eastAsia" w:ascii="宋体" w:hAnsi="宋体" w:eastAsia="宋体" w:cs="宋体"/>
          <w:color w:val="auto"/>
          <w:sz w:val="21"/>
          <w:szCs w:val="21"/>
          <w:highlight w:val="none"/>
        </w:rPr>
        <w:t>自开始勘察设计通知中载明的开始勘</w:t>
      </w:r>
      <w:r>
        <w:rPr>
          <w:rFonts w:hint="eastAsia" w:ascii="宋体" w:hAnsi="宋体" w:eastAsia="宋体" w:cs="宋体"/>
          <w:color w:val="auto"/>
          <w:spacing w:val="-2"/>
          <w:sz w:val="21"/>
          <w:szCs w:val="21"/>
          <w:highlight w:val="none"/>
        </w:rPr>
        <w:t>察设计日期起计算。勘察设计服务周期安排在专用合同条款中约定。</w:t>
      </w:r>
    </w:p>
    <w:p w14:paraId="7DD7F19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6.1.2</w:t>
      </w:r>
      <w:r>
        <w:rPr>
          <w:rFonts w:hint="eastAsia" w:ascii="宋体" w:hAnsi="宋体" w:eastAsia="宋体" w:cs="宋体"/>
          <w:color w:val="auto"/>
          <w:spacing w:val="54"/>
          <w:w w:val="101"/>
          <w:sz w:val="21"/>
          <w:szCs w:val="21"/>
          <w:highlight w:val="none"/>
        </w:rPr>
        <w:t xml:space="preserve"> </w:t>
      </w:r>
      <w:r>
        <w:rPr>
          <w:rFonts w:hint="eastAsia" w:ascii="宋体" w:hAnsi="宋体" w:eastAsia="宋体" w:cs="宋体"/>
          <w:color w:val="auto"/>
          <w:spacing w:val="-2"/>
          <w:sz w:val="21"/>
          <w:szCs w:val="21"/>
          <w:highlight w:val="none"/>
        </w:rPr>
        <w:t>除专用合同条款另有约定外，因发包人原因造成合同签订之日起 90</w:t>
      </w:r>
      <w:r>
        <w:rPr>
          <w:rFonts w:hint="eastAsia" w:ascii="宋体" w:hAnsi="宋体" w:eastAsia="宋体" w:cs="宋体"/>
          <w:color w:val="auto"/>
          <w:spacing w:val="45"/>
          <w:sz w:val="21"/>
          <w:szCs w:val="21"/>
          <w:highlight w:val="none"/>
        </w:rPr>
        <w:t xml:space="preserve"> </w:t>
      </w:r>
      <w:r>
        <w:rPr>
          <w:rFonts w:hint="eastAsia" w:ascii="宋体" w:hAnsi="宋体" w:eastAsia="宋体" w:cs="宋体"/>
          <w:color w:val="auto"/>
          <w:spacing w:val="-2"/>
          <w:sz w:val="21"/>
          <w:szCs w:val="21"/>
          <w:highlight w:val="none"/>
        </w:rPr>
        <w:t>天内</w:t>
      </w:r>
      <w:r>
        <w:rPr>
          <w:rFonts w:hint="eastAsia" w:ascii="宋体" w:hAnsi="宋体" w:eastAsia="宋体" w:cs="宋体"/>
          <w:color w:val="auto"/>
          <w:sz w:val="21"/>
          <w:szCs w:val="21"/>
          <w:highlight w:val="none"/>
        </w:rPr>
        <w:t>未能发出开始勘察设计通知的，设计人有权提出价格调整要求，或者解除合同。发</w:t>
      </w:r>
      <w:r>
        <w:rPr>
          <w:rFonts w:hint="eastAsia" w:ascii="宋体" w:hAnsi="宋体" w:eastAsia="宋体" w:cs="宋体"/>
          <w:color w:val="auto"/>
          <w:spacing w:val="-2"/>
          <w:sz w:val="21"/>
          <w:szCs w:val="21"/>
          <w:highlight w:val="none"/>
        </w:rPr>
        <w:t>包人应承担由此增加的费用和（或）周期延</w:t>
      </w:r>
      <w:r>
        <w:rPr>
          <w:rFonts w:hint="eastAsia" w:ascii="宋体" w:hAnsi="宋体" w:eastAsia="宋体" w:cs="宋体"/>
          <w:color w:val="auto"/>
          <w:spacing w:val="-3"/>
          <w:sz w:val="21"/>
          <w:szCs w:val="21"/>
          <w:highlight w:val="none"/>
        </w:rPr>
        <w:t>误。</w:t>
      </w:r>
    </w:p>
    <w:p w14:paraId="0E8CC82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6.1.3  设计人应在接到中标通知书后 14</w:t>
      </w:r>
      <w:r>
        <w:rPr>
          <w:rFonts w:hint="eastAsia" w:ascii="宋体" w:hAnsi="宋体" w:eastAsia="宋体" w:cs="宋体"/>
          <w:color w:val="auto"/>
          <w:spacing w:val="32"/>
          <w:w w:val="101"/>
          <w:sz w:val="21"/>
          <w:szCs w:val="21"/>
          <w:highlight w:val="none"/>
        </w:rPr>
        <w:t xml:space="preserve"> </w:t>
      </w:r>
      <w:r>
        <w:rPr>
          <w:rFonts w:hint="eastAsia" w:ascii="宋体" w:hAnsi="宋体" w:eastAsia="宋体" w:cs="宋体"/>
          <w:color w:val="auto"/>
          <w:spacing w:val="-2"/>
          <w:sz w:val="21"/>
          <w:szCs w:val="21"/>
          <w:highlight w:val="none"/>
        </w:rPr>
        <w:t>天内，针对勘察设计各个阶段工作内容</w:t>
      </w:r>
      <w:r>
        <w:rPr>
          <w:rFonts w:hint="eastAsia" w:ascii="宋体" w:hAnsi="宋体" w:eastAsia="宋体" w:cs="宋体"/>
          <w:color w:val="auto"/>
          <w:sz w:val="21"/>
          <w:szCs w:val="21"/>
          <w:highlight w:val="none"/>
        </w:rPr>
        <w:t>向发包人提交具有可实施性、分项目的勘察设计详细工作大纲及进度计划，以及为</w:t>
      </w:r>
      <w:r>
        <w:rPr>
          <w:rFonts w:hint="eastAsia" w:ascii="宋体" w:hAnsi="宋体" w:eastAsia="宋体" w:cs="宋体"/>
          <w:color w:val="auto"/>
          <w:spacing w:val="-4"/>
          <w:sz w:val="21"/>
          <w:szCs w:val="21"/>
          <w:highlight w:val="none"/>
        </w:rPr>
        <w:t>完成本计划而建议采用的措施和说明（含电子文件一份</w:t>
      </w:r>
      <w:r>
        <w:rPr>
          <w:rFonts w:hint="eastAsia" w:ascii="宋体" w:hAnsi="宋体" w:eastAsia="宋体" w:cs="宋体"/>
          <w:color w:val="auto"/>
          <w:spacing w:val="-40"/>
          <w:sz w:val="21"/>
          <w:szCs w:val="21"/>
          <w:highlight w:val="none"/>
        </w:rPr>
        <w:t>），</w:t>
      </w:r>
      <w:r>
        <w:rPr>
          <w:rFonts w:hint="eastAsia" w:ascii="宋体" w:hAnsi="宋体" w:eastAsia="宋体" w:cs="宋体"/>
          <w:color w:val="auto"/>
          <w:spacing w:val="-4"/>
          <w:sz w:val="21"/>
          <w:szCs w:val="21"/>
          <w:highlight w:val="none"/>
        </w:rPr>
        <w:t>经批准后作为勘察设计合</w:t>
      </w:r>
      <w:r>
        <w:rPr>
          <w:rFonts w:hint="eastAsia" w:ascii="宋体" w:hAnsi="宋体" w:eastAsia="宋体" w:cs="宋体"/>
          <w:color w:val="auto"/>
          <w:spacing w:val="-1"/>
          <w:sz w:val="21"/>
          <w:szCs w:val="21"/>
          <w:highlight w:val="none"/>
        </w:rPr>
        <w:t>同文件的组成部分，是发包人对勘察设计进行项目管理的依据之一。</w:t>
      </w:r>
    </w:p>
    <w:p w14:paraId="4A8072E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6.1.4  设计人在开展专题研究之前，应</w:t>
      </w:r>
      <w:r>
        <w:rPr>
          <w:rFonts w:hint="eastAsia" w:ascii="宋体" w:hAnsi="宋体" w:eastAsia="宋体" w:cs="宋体"/>
          <w:color w:val="auto"/>
          <w:spacing w:val="-3"/>
          <w:sz w:val="21"/>
          <w:szCs w:val="21"/>
          <w:highlight w:val="none"/>
        </w:rPr>
        <w:t>针对专题研究的具体内容提交详细的工作</w:t>
      </w:r>
      <w:r>
        <w:rPr>
          <w:rFonts w:hint="eastAsia" w:ascii="宋体" w:hAnsi="宋体" w:eastAsia="宋体" w:cs="宋体"/>
          <w:color w:val="auto"/>
          <w:spacing w:val="-4"/>
          <w:sz w:val="21"/>
          <w:szCs w:val="21"/>
          <w:highlight w:val="none"/>
        </w:rPr>
        <w:t>大纲（含电子文件一份</w:t>
      </w:r>
      <w:r>
        <w:rPr>
          <w:rFonts w:hint="eastAsia" w:ascii="宋体" w:hAnsi="宋体" w:eastAsia="宋体" w:cs="宋体"/>
          <w:color w:val="auto"/>
          <w:spacing w:val="-37"/>
          <w:sz w:val="21"/>
          <w:szCs w:val="21"/>
          <w:highlight w:val="none"/>
        </w:rPr>
        <w:t>），</w:t>
      </w:r>
      <w:r>
        <w:rPr>
          <w:rFonts w:hint="eastAsia" w:ascii="宋体" w:hAnsi="宋体" w:eastAsia="宋体" w:cs="宋体"/>
          <w:color w:val="auto"/>
          <w:spacing w:val="-4"/>
          <w:sz w:val="21"/>
          <w:szCs w:val="21"/>
          <w:highlight w:val="none"/>
        </w:rPr>
        <w:t>报发包人审核后实施，并作为勘察设计合</w:t>
      </w:r>
      <w:r>
        <w:rPr>
          <w:rFonts w:hint="eastAsia" w:ascii="宋体" w:hAnsi="宋体" w:eastAsia="宋体" w:cs="宋体"/>
          <w:color w:val="auto"/>
          <w:spacing w:val="-5"/>
          <w:sz w:val="21"/>
          <w:szCs w:val="21"/>
          <w:highlight w:val="none"/>
        </w:rPr>
        <w:t>同文件的组成部</w:t>
      </w:r>
      <w:r>
        <w:rPr>
          <w:rFonts w:hint="eastAsia" w:ascii="宋体" w:hAnsi="宋体" w:eastAsia="宋体" w:cs="宋体"/>
          <w:color w:val="auto"/>
          <w:spacing w:val="-12"/>
          <w:sz w:val="21"/>
          <w:szCs w:val="21"/>
          <w:highlight w:val="none"/>
        </w:rPr>
        <w:t>分。</w:t>
      </w:r>
    </w:p>
    <w:p w14:paraId="1B9967D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6.1.5  发包人对设计人勘察设计详细工</w:t>
      </w:r>
      <w:r>
        <w:rPr>
          <w:rFonts w:hint="eastAsia" w:ascii="宋体" w:hAnsi="宋体" w:eastAsia="宋体" w:cs="宋体"/>
          <w:color w:val="auto"/>
          <w:spacing w:val="-3"/>
          <w:sz w:val="21"/>
          <w:szCs w:val="21"/>
          <w:highlight w:val="none"/>
        </w:rPr>
        <w:t>作大纲及进度计划、专题研究详细工作大</w:t>
      </w:r>
      <w:r>
        <w:rPr>
          <w:rFonts w:hint="eastAsia" w:ascii="宋体" w:hAnsi="宋体" w:eastAsia="宋体" w:cs="宋体"/>
          <w:color w:val="auto"/>
          <w:spacing w:val="-1"/>
          <w:sz w:val="21"/>
          <w:szCs w:val="21"/>
          <w:highlight w:val="none"/>
        </w:rPr>
        <w:t>纲的审查，并不免除设计人对本项目勘察设计</w:t>
      </w:r>
      <w:r>
        <w:rPr>
          <w:rFonts w:hint="eastAsia" w:ascii="宋体" w:hAnsi="宋体" w:eastAsia="宋体" w:cs="宋体"/>
          <w:color w:val="auto"/>
          <w:spacing w:val="-2"/>
          <w:sz w:val="21"/>
          <w:szCs w:val="21"/>
          <w:highlight w:val="none"/>
        </w:rPr>
        <w:t>（含专题研究）应承担的责任。</w:t>
      </w:r>
    </w:p>
    <w:p w14:paraId="446779A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6.1.6  设计人应在每月月底向发包人提</w:t>
      </w:r>
      <w:r>
        <w:rPr>
          <w:rFonts w:hint="eastAsia" w:ascii="宋体" w:hAnsi="宋体" w:eastAsia="宋体" w:cs="宋体"/>
          <w:color w:val="auto"/>
          <w:spacing w:val="-3"/>
          <w:sz w:val="21"/>
          <w:szCs w:val="21"/>
          <w:highlight w:val="none"/>
        </w:rPr>
        <w:t>供进度报告，说明该月工作进展情况及下</w:t>
      </w:r>
      <w:r>
        <w:rPr>
          <w:rFonts w:hint="eastAsia" w:ascii="宋体" w:hAnsi="宋体" w:eastAsia="宋体" w:cs="宋体"/>
          <w:color w:val="auto"/>
          <w:spacing w:val="-2"/>
          <w:sz w:val="21"/>
          <w:szCs w:val="21"/>
          <w:highlight w:val="none"/>
        </w:rPr>
        <w:t>月计划安排，并根据发包人要求，参加发包人组织的月度工作例会。</w:t>
      </w:r>
    </w:p>
    <w:p w14:paraId="27F507E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6.2  发包人引起的周期延误</w:t>
      </w:r>
    </w:p>
    <w:p w14:paraId="6F35C4B4">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在履行合同过程中，由于发包人的下列原因造成勘</w:t>
      </w:r>
      <w:r>
        <w:rPr>
          <w:rFonts w:hint="eastAsia" w:ascii="宋体" w:hAnsi="宋体" w:eastAsia="宋体" w:cs="宋体"/>
          <w:color w:val="auto"/>
          <w:sz w:val="21"/>
          <w:szCs w:val="21"/>
          <w:highlight w:val="none"/>
        </w:rPr>
        <w:t>察设计服务期限延误的，发</w:t>
      </w:r>
      <w:r>
        <w:rPr>
          <w:rFonts w:hint="eastAsia" w:ascii="宋体" w:hAnsi="宋体" w:eastAsia="宋体" w:cs="宋体"/>
          <w:color w:val="auto"/>
          <w:spacing w:val="1"/>
          <w:sz w:val="21"/>
          <w:szCs w:val="21"/>
          <w:highlight w:val="none"/>
        </w:rPr>
        <w:t>包人应延长勘察设计服务期限并增加勘察设</w:t>
      </w:r>
      <w:r>
        <w:rPr>
          <w:rFonts w:hint="eastAsia" w:ascii="宋体" w:hAnsi="宋体" w:eastAsia="宋体" w:cs="宋体"/>
          <w:color w:val="auto"/>
          <w:sz w:val="21"/>
          <w:szCs w:val="21"/>
          <w:highlight w:val="none"/>
        </w:rPr>
        <w:t>计费用，具体方法在专用合同条款中约</w:t>
      </w:r>
      <w:r>
        <w:rPr>
          <w:rFonts w:hint="eastAsia" w:ascii="宋体" w:hAnsi="宋体" w:eastAsia="宋体" w:cs="宋体"/>
          <w:color w:val="auto"/>
          <w:spacing w:val="-12"/>
          <w:sz w:val="21"/>
          <w:szCs w:val="21"/>
          <w:highlight w:val="none"/>
        </w:rPr>
        <w:t>定。</w:t>
      </w:r>
    </w:p>
    <w:p w14:paraId="47666EF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8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（1）合同变更；</w:t>
      </w:r>
    </w:p>
    <w:p w14:paraId="0655629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（2）未按合同约定期限及时答复勘察设计事项；</w:t>
      </w:r>
    </w:p>
    <w:p w14:paraId="7E5F590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（3）因发包人原因导致的暂停勘察设计；</w:t>
      </w:r>
    </w:p>
    <w:p w14:paraId="0AB248F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（4）未按合同约定及时支付勘察设计费用；</w:t>
      </w:r>
    </w:p>
    <w:p w14:paraId="774056F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（5）发包人提供的基准资料错误；</w:t>
      </w:r>
    </w:p>
    <w:p w14:paraId="355DA3B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（6）未及时履行合同约定的相关义务；</w:t>
      </w:r>
    </w:p>
    <w:p w14:paraId="7558015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（7）未能按照合同约定期限对勘察设计文件进行审查；</w:t>
      </w:r>
    </w:p>
    <w:p w14:paraId="4AD86D1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（8）发包人造成周期延误的其他原因。</w:t>
      </w:r>
    </w:p>
    <w:p w14:paraId="4343BF6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6.3  设计人引起的周期延误</w:t>
      </w:r>
    </w:p>
    <w:p w14:paraId="0CD1400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由于设计人原因造成周期延误，设计人应支付逾期违约金。逾</w:t>
      </w:r>
      <w:r>
        <w:rPr>
          <w:rFonts w:hint="eastAsia" w:ascii="宋体" w:hAnsi="宋体" w:eastAsia="宋体" w:cs="宋体"/>
          <w:color w:val="auto"/>
          <w:spacing w:val="-1"/>
          <w:sz w:val="21"/>
          <w:szCs w:val="21"/>
          <w:highlight w:val="none"/>
        </w:rPr>
        <w:t>期违约金的计算</w:t>
      </w:r>
      <w:r>
        <w:rPr>
          <w:rFonts w:hint="eastAsia" w:ascii="宋体" w:hAnsi="宋体" w:eastAsia="宋体" w:cs="宋体"/>
          <w:color w:val="auto"/>
          <w:spacing w:val="-3"/>
          <w:sz w:val="21"/>
          <w:szCs w:val="21"/>
          <w:highlight w:val="none"/>
        </w:rPr>
        <w:t>方法和最高限额在专用合同条款中约定。</w:t>
      </w:r>
    </w:p>
    <w:p w14:paraId="6F145BE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6.4  行政管理部门引起的周期延误</w:t>
      </w:r>
    </w:p>
    <w:p w14:paraId="4E50A5C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由于行政管理部门审查延迟原因造成费用增加和（或）</w:t>
      </w:r>
      <w:r>
        <w:rPr>
          <w:rFonts w:hint="eastAsia" w:ascii="宋体" w:hAnsi="宋体" w:eastAsia="宋体" w:cs="宋体"/>
          <w:color w:val="auto"/>
          <w:spacing w:val="-1"/>
          <w:sz w:val="21"/>
          <w:szCs w:val="21"/>
          <w:highlight w:val="none"/>
        </w:rPr>
        <w:t>周期延误的，由发包人</w:t>
      </w:r>
      <w:r>
        <w:rPr>
          <w:rFonts w:hint="eastAsia" w:ascii="宋体" w:hAnsi="宋体" w:eastAsia="宋体" w:cs="宋体"/>
          <w:color w:val="auto"/>
          <w:spacing w:val="-10"/>
          <w:sz w:val="21"/>
          <w:szCs w:val="21"/>
          <w:highlight w:val="none"/>
        </w:rPr>
        <w:t>承担。</w:t>
      </w:r>
    </w:p>
    <w:p w14:paraId="210D447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6.5  非人为因素引起的周期延误</w:t>
      </w:r>
    </w:p>
    <w:p w14:paraId="5C3B9B7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6.5.1</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4"/>
          <w:sz w:val="21"/>
          <w:szCs w:val="21"/>
          <w:highlight w:val="none"/>
        </w:rPr>
        <w:t>由于出现专用合同条款规定的异常恶劣气候条件、不利物质条件等因素导</w:t>
      </w:r>
      <w:r>
        <w:rPr>
          <w:rFonts w:hint="eastAsia" w:ascii="宋体" w:hAnsi="宋体" w:eastAsia="宋体" w:cs="宋体"/>
          <w:color w:val="auto"/>
          <w:spacing w:val="-2"/>
          <w:sz w:val="21"/>
          <w:szCs w:val="21"/>
          <w:highlight w:val="none"/>
        </w:rPr>
        <w:t>致周期延误的，设计人有权要求发包人延长周期和（或）增加费用。</w:t>
      </w:r>
    </w:p>
    <w:p w14:paraId="5A4B3D0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6.5.2  设计人发现地下文物或化石时，应按规定及时报告发包人和文物保护部门，</w:t>
      </w:r>
      <w:r>
        <w:rPr>
          <w:rFonts w:hint="eastAsia" w:ascii="宋体" w:hAnsi="宋体" w:eastAsia="宋体" w:cs="宋体"/>
          <w:color w:val="auto"/>
          <w:spacing w:val="-1"/>
          <w:sz w:val="21"/>
          <w:szCs w:val="21"/>
          <w:highlight w:val="none"/>
        </w:rPr>
        <w:t>并采取有效措施进行保护；设计人有权要求发</w:t>
      </w:r>
      <w:r>
        <w:rPr>
          <w:rFonts w:hint="eastAsia" w:ascii="宋体" w:hAnsi="宋体" w:eastAsia="宋体" w:cs="宋体"/>
          <w:color w:val="auto"/>
          <w:spacing w:val="-2"/>
          <w:sz w:val="21"/>
          <w:szCs w:val="21"/>
          <w:highlight w:val="none"/>
        </w:rPr>
        <w:t>包人延长周期和（或）增加费用。</w:t>
      </w:r>
    </w:p>
    <w:p w14:paraId="7711837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6.6  完成勘察设计</w:t>
      </w:r>
    </w:p>
    <w:p w14:paraId="35BE642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6.6.1  设计人完成勘察设计服务之</w:t>
      </w:r>
      <w:r>
        <w:rPr>
          <w:rFonts w:hint="eastAsia" w:ascii="宋体" w:hAnsi="宋体" w:eastAsia="宋体" w:cs="宋体"/>
          <w:color w:val="auto"/>
          <w:spacing w:val="-3"/>
          <w:sz w:val="21"/>
          <w:szCs w:val="21"/>
          <w:highlight w:val="none"/>
        </w:rPr>
        <w:t>后，应根据法律、规范标准、合同约定和发包</w:t>
      </w:r>
      <w:r>
        <w:rPr>
          <w:rFonts w:hint="eastAsia" w:ascii="宋体" w:hAnsi="宋体" w:eastAsia="宋体" w:cs="宋体"/>
          <w:color w:val="auto"/>
          <w:spacing w:val="-4"/>
          <w:sz w:val="21"/>
          <w:szCs w:val="21"/>
          <w:highlight w:val="none"/>
        </w:rPr>
        <w:t>人要求编制勘察设计文件。</w:t>
      </w:r>
    </w:p>
    <w:p w14:paraId="6930561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6.6.2  勘察设计文件是工程勘察设计的最终</w:t>
      </w:r>
      <w:r>
        <w:rPr>
          <w:rFonts w:hint="eastAsia" w:ascii="宋体" w:hAnsi="宋体" w:eastAsia="宋体" w:cs="宋体"/>
          <w:color w:val="auto"/>
          <w:spacing w:val="-3"/>
          <w:sz w:val="21"/>
          <w:szCs w:val="21"/>
          <w:highlight w:val="none"/>
        </w:rPr>
        <w:t>成果和施工的重要依据，应根据本工</w:t>
      </w:r>
      <w:r>
        <w:rPr>
          <w:rFonts w:hint="eastAsia" w:ascii="宋体" w:hAnsi="宋体" w:eastAsia="宋体" w:cs="宋体"/>
          <w:color w:val="auto"/>
          <w:spacing w:val="1"/>
          <w:sz w:val="21"/>
          <w:szCs w:val="21"/>
          <w:highlight w:val="none"/>
        </w:rPr>
        <w:t>程的勘察设计内容和不同阶段的勘察设计任务、目的</w:t>
      </w:r>
      <w:r>
        <w:rPr>
          <w:rFonts w:hint="eastAsia" w:ascii="宋体" w:hAnsi="宋体" w:eastAsia="宋体" w:cs="宋体"/>
          <w:color w:val="auto"/>
          <w:sz w:val="21"/>
          <w:szCs w:val="21"/>
          <w:highlight w:val="none"/>
        </w:rPr>
        <w:t>和要求等进行编制。勘察设计</w:t>
      </w:r>
      <w:r>
        <w:rPr>
          <w:rFonts w:hint="eastAsia" w:ascii="宋体" w:hAnsi="宋体" w:eastAsia="宋体" w:cs="宋体"/>
          <w:color w:val="auto"/>
          <w:spacing w:val="-1"/>
          <w:sz w:val="21"/>
          <w:szCs w:val="21"/>
          <w:highlight w:val="none"/>
        </w:rPr>
        <w:t>文件的内容和深度应满足对应阶段的规范要求。</w:t>
      </w:r>
    </w:p>
    <w:p w14:paraId="2EE41445">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6.6.3  除专用合同条款另有约定外，勘察</w:t>
      </w:r>
      <w:r>
        <w:rPr>
          <w:rFonts w:hint="eastAsia" w:ascii="宋体" w:hAnsi="宋体" w:eastAsia="宋体" w:cs="宋体"/>
          <w:color w:val="auto"/>
          <w:spacing w:val="-3"/>
          <w:sz w:val="21"/>
          <w:szCs w:val="21"/>
          <w:highlight w:val="none"/>
        </w:rPr>
        <w:t>设计文件包括纸质文件和电子文件两种</w:t>
      </w:r>
      <w:r>
        <w:rPr>
          <w:rFonts w:hint="eastAsia" w:ascii="宋体" w:hAnsi="宋体" w:eastAsia="宋体" w:cs="宋体"/>
          <w:color w:val="auto"/>
          <w:spacing w:val="1"/>
          <w:sz w:val="21"/>
          <w:szCs w:val="21"/>
          <w:highlight w:val="none"/>
        </w:rPr>
        <w:t>形式，两者若有不一致时，应以纸质文件为准。</w:t>
      </w:r>
      <w:r>
        <w:rPr>
          <w:rFonts w:hint="eastAsia" w:ascii="宋体" w:hAnsi="宋体" w:eastAsia="宋体" w:cs="宋体"/>
          <w:color w:val="auto"/>
          <w:sz w:val="21"/>
          <w:szCs w:val="21"/>
          <w:highlight w:val="none"/>
        </w:rPr>
        <w:t>纸质文件一式八份，应加盖单位章</w:t>
      </w:r>
      <w:r>
        <w:rPr>
          <w:rFonts w:hint="eastAsia" w:ascii="宋体" w:hAnsi="宋体" w:eastAsia="宋体" w:cs="宋体"/>
          <w:color w:val="auto"/>
          <w:spacing w:val="-7"/>
          <w:sz w:val="21"/>
          <w:szCs w:val="21"/>
          <w:highlight w:val="none"/>
        </w:rPr>
        <w:t>和项目负责人注册执业印章；电子文件中的文字为</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8"/>
          <w:sz w:val="21"/>
          <w:szCs w:val="21"/>
          <w:highlight w:val="none"/>
        </w:rPr>
        <w:t>WORD 格式、图形为</w:t>
      </w:r>
      <w:r>
        <w:rPr>
          <w:rFonts w:hint="eastAsia" w:ascii="宋体" w:hAnsi="宋体" w:eastAsia="宋体" w:cs="宋体"/>
          <w:color w:val="auto"/>
          <w:spacing w:val="-53"/>
          <w:sz w:val="21"/>
          <w:szCs w:val="21"/>
          <w:highlight w:val="none"/>
        </w:rPr>
        <w:t xml:space="preserve"> </w:t>
      </w:r>
      <w:r>
        <w:rPr>
          <w:rFonts w:hint="eastAsia" w:ascii="宋体" w:hAnsi="宋体" w:eastAsia="宋体" w:cs="宋体"/>
          <w:color w:val="auto"/>
          <w:spacing w:val="-8"/>
          <w:sz w:val="21"/>
          <w:szCs w:val="21"/>
          <w:highlight w:val="none"/>
        </w:rPr>
        <w:t>CAD 格式，</w:t>
      </w:r>
      <w:r>
        <w:rPr>
          <w:rFonts w:hint="eastAsia" w:ascii="宋体" w:hAnsi="宋体" w:eastAsia="宋体" w:cs="宋体"/>
          <w:color w:val="auto"/>
          <w:spacing w:val="-3"/>
          <w:sz w:val="21"/>
          <w:szCs w:val="21"/>
          <w:highlight w:val="none"/>
        </w:rPr>
        <w:t>并应使用光盘和</w:t>
      </w:r>
      <w:r>
        <w:rPr>
          <w:rFonts w:hint="eastAsia" w:ascii="宋体" w:hAnsi="宋体" w:eastAsia="宋体" w:cs="宋体"/>
          <w:color w:val="auto"/>
          <w:spacing w:val="-59"/>
          <w:sz w:val="21"/>
          <w:szCs w:val="21"/>
          <w:highlight w:val="none"/>
        </w:rPr>
        <w:t xml:space="preserve"> </w:t>
      </w:r>
      <w:r>
        <w:rPr>
          <w:rFonts w:hint="eastAsia" w:ascii="宋体" w:hAnsi="宋体" w:eastAsia="宋体" w:cs="宋体"/>
          <w:color w:val="auto"/>
          <w:spacing w:val="-3"/>
          <w:sz w:val="21"/>
          <w:szCs w:val="21"/>
          <w:highlight w:val="none"/>
        </w:rPr>
        <w:t>U 盘分别贮存。</w:t>
      </w:r>
    </w:p>
    <w:p w14:paraId="711C5B5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6.7  提前完成勘察设计</w:t>
      </w:r>
    </w:p>
    <w:p w14:paraId="03FE483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6.7.1  根据发包人要求或者基于专业能力判</w:t>
      </w:r>
      <w:r>
        <w:rPr>
          <w:rFonts w:hint="eastAsia" w:ascii="宋体" w:hAnsi="宋体" w:eastAsia="宋体" w:cs="宋体"/>
          <w:color w:val="auto"/>
          <w:spacing w:val="-3"/>
          <w:sz w:val="21"/>
          <w:szCs w:val="21"/>
          <w:highlight w:val="none"/>
        </w:rPr>
        <w:t>断，设计人认为能够提前完成勘察设</w:t>
      </w:r>
      <w:r>
        <w:rPr>
          <w:rFonts w:hint="eastAsia" w:ascii="宋体" w:hAnsi="宋体" w:eastAsia="宋体" w:cs="宋体"/>
          <w:color w:val="auto"/>
          <w:sz w:val="21"/>
          <w:szCs w:val="21"/>
          <w:highlight w:val="none"/>
        </w:rPr>
        <w:t>计的，可向发包人递交一份提前完成勘察设计建议</w:t>
      </w:r>
      <w:r>
        <w:rPr>
          <w:rFonts w:hint="eastAsia" w:ascii="宋体" w:hAnsi="宋体" w:eastAsia="宋体" w:cs="宋体"/>
          <w:color w:val="auto"/>
          <w:spacing w:val="-1"/>
          <w:sz w:val="21"/>
          <w:szCs w:val="21"/>
          <w:highlight w:val="none"/>
        </w:rPr>
        <w:t>书，包括实施方案、提前时间、</w:t>
      </w:r>
      <w:r>
        <w:rPr>
          <w:rFonts w:hint="eastAsia" w:ascii="宋体" w:hAnsi="宋体" w:eastAsia="宋体" w:cs="宋体"/>
          <w:color w:val="auto"/>
          <w:sz w:val="21"/>
          <w:szCs w:val="21"/>
          <w:highlight w:val="none"/>
        </w:rPr>
        <w:t>勘察设计费用变动等内容。除专用合同条款另有约定之外，发包人接受建议书的，</w:t>
      </w:r>
      <w:r>
        <w:rPr>
          <w:rFonts w:hint="eastAsia" w:ascii="宋体" w:hAnsi="宋体" w:eastAsia="宋体" w:cs="宋体"/>
          <w:color w:val="auto"/>
          <w:spacing w:val="1"/>
          <w:sz w:val="21"/>
          <w:szCs w:val="21"/>
          <w:highlight w:val="none"/>
        </w:rPr>
        <w:t>不因提前完成勘察设计而减少勘察设计费用；增</w:t>
      </w:r>
      <w:r>
        <w:rPr>
          <w:rFonts w:hint="eastAsia" w:ascii="宋体" w:hAnsi="宋体" w:eastAsia="宋体" w:cs="宋体"/>
          <w:color w:val="auto"/>
          <w:sz w:val="21"/>
          <w:szCs w:val="21"/>
          <w:highlight w:val="none"/>
        </w:rPr>
        <w:t>加勘察设计费用的，所增费用由发</w:t>
      </w:r>
      <w:r>
        <w:rPr>
          <w:rFonts w:hint="eastAsia" w:ascii="宋体" w:hAnsi="宋体" w:eastAsia="宋体" w:cs="宋体"/>
          <w:color w:val="auto"/>
          <w:spacing w:val="-7"/>
          <w:sz w:val="21"/>
          <w:szCs w:val="21"/>
          <w:highlight w:val="none"/>
        </w:rPr>
        <w:t>包人承担。</w:t>
      </w:r>
    </w:p>
    <w:p w14:paraId="6FDEEB5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6.7.2  发包人要求提前完成勘察设计但设</w:t>
      </w:r>
      <w:r>
        <w:rPr>
          <w:rFonts w:hint="eastAsia" w:ascii="宋体" w:hAnsi="宋体" w:eastAsia="宋体" w:cs="宋体"/>
          <w:color w:val="auto"/>
          <w:spacing w:val="-3"/>
          <w:sz w:val="21"/>
          <w:szCs w:val="21"/>
          <w:highlight w:val="none"/>
        </w:rPr>
        <w:t>计人认为无法实施的，应在收到发包人</w:t>
      </w:r>
      <w:r>
        <w:rPr>
          <w:rFonts w:hint="eastAsia" w:ascii="宋体" w:hAnsi="宋体" w:eastAsia="宋体" w:cs="宋体"/>
          <w:color w:val="auto"/>
          <w:spacing w:val="-2"/>
          <w:sz w:val="21"/>
          <w:szCs w:val="21"/>
          <w:highlight w:val="none"/>
        </w:rPr>
        <w:t>书面指示后 7</w:t>
      </w:r>
      <w:r>
        <w:rPr>
          <w:rFonts w:hint="eastAsia" w:ascii="宋体" w:hAnsi="宋体" w:eastAsia="宋体" w:cs="宋体"/>
          <w:color w:val="auto"/>
          <w:spacing w:val="45"/>
          <w:w w:val="101"/>
          <w:sz w:val="21"/>
          <w:szCs w:val="21"/>
          <w:highlight w:val="none"/>
        </w:rPr>
        <w:t xml:space="preserve"> </w:t>
      </w:r>
      <w:r>
        <w:rPr>
          <w:rFonts w:hint="eastAsia" w:ascii="宋体" w:hAnsi="宋体" w:eastAsia="宋体" w:cs="宋体"/>
          <w:color w:val="auto"/>
          <w:spacing w:val="-2"/>
          <w:sz w:val="21"/>
          <w:szCs w:val="21"/>
          <w:highlight w:val="none"/>
        </w:rPr>
        <w:t>天内提出异议，说明不能提前完成的理由。发包</w:t>
      </w:r>
      <w:r>
        <w:rPr>
          <w:rFonts w:hint="eastAsia" w:ascii="宋体" w:hAnsi="宋体" w:eastAsia="宋体" w:cs="宋体"/>
          <w:color w:val="auto"/>
          <w:spacing w:val="-3"/>
          <w:sz w:val="21"/>
          <w:szCs w:val="21"/>
          <w:highlight w:val="none"/>
        </w:rPr>
        <w:t>人应在收到异议后 7</w:t>
      </w:r>
      <w:r>
        <w:rPr>
          <w:rFonts w:hint="eastAsia" w:ascii="宋体" w:hAnsi="宋体" w:eastAsia="宋体" w:cs="宋体"/>
          <w:color w:val="auto"/>
          <w:spacing w:val="-1"/>
          <w:sz w:val="21"/>
          <w:szCs w:val="21"/>
          <w:highlight w:val="none"/>
        </w:rPr>
        <w:t>天内予以答复。任何情况下，发包人不得压</w:t>
      </w:r>
      <w:r>
        <w:rPr>
          <w:rFonts w:hint="eastAsia" w:ascii="宋体" w:hAnsi="宋体" w:eastAsia="宋体" w:cs="宋体"/>
          <w:color w:val="auto"/>
          <w:spacing w:val="-2"/>
          <w:sz w:val="21"/>
          <w:szCs w:val="21"/>
          <w:highlight w:val="none"/>
        </w:rPr>
        <w:t>缩合理的勘察设计服务期限。</w:t>
      </w:r>
    </w:p>
    <w:p w14:paraId="511C65E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6.7.3</w:t>
      </w:r>
      <w:r>
        <w:rPr>
          <w:rFonts w:hint="eastAsia" w:ascii="宋体" w:hAnsi="宋体" w:eastAsia="宋体" w:cs="宋体"/>
          <w:color w:val="auto"/>
          <w:spacing w:val="26"/>
          <w:w w:val="101"/>
          <w:sz w:val="21"/>
          <w:szCs w:val="21"/>
          <w:highlight w:val="none"/>
        </w:rPr>
        <w:t xml:space="preserve">  </w:t>
      </w:r>
      <w:r>
        <w:rPr>
          <w:rFonts w:hint="eastAsia" w:ascii="宋体" w:hAnsi="宋体" w:eastAsia="宋体" w:cs="宋体"/>
          <w:color w:val="auto"/>
          <w:spacing w:val="-4"/>
          <w:sz w:val="21"/>
          <w:szCs w:val="21"/>
          <w:highlight w:val="none"/>
        </w:rPr>
        <w:t>由于设计人提前完成勘察设计而给发包人带来经济效益的，发包人可以在</w:t>
      </w:r>
      <w:r>
        <w:rPr>
          <w:rFonts w:hint="eastAsia" w:ascii="宋体" w:hAnsi="宋体" w:eastAsia="宋体" w:cs="宋体"/>
          <w:color w:val="auto"/>
          <w:spacing w:val="-2"/>
          <w:sz w:val="21"/>
          <w:szCs w:val="21"/>
          <w:highlight w:val="none"/>
        </w:rPr>
        <w:t>专用合同条款中约定设计人因此获得的奖励内容。</w:t>
      </w:r>
    </w:p>
    <w:p w14:paraId="0ECF6BBC">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2"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7.</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5"/>
          <w:sz w:val="21"/>
          <w:szCs w:val="21"/>
          <w:highlight w:val="none"/>
        </w:rPr>
        <w:t>暂停勘察设计</w:t>
      </w:r>
    </w:p>
    <w:p w14:paraId="673E807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7.1  发包人原因暂停勘察设计</w:t>
      </w:r>
    </w:p>
    <w:p w14:paraId="08435BA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合同履行中发生下列情形之一的，设计人可向发包人发出通知，要求发包人采</w:t>
      </w:r>
      <w:r>
        <w:rPr>
          <w:rFonts w:hint="eastAsia" w:ascii="宋体" w:hAnsi="宋体" w:eastAsia="宋体" w:cs="宋体"/>
          <w:color w:val="auto"/>
          <w:spacing w:val="-3"/>
          <w:sz w:val="21"/>
          <w:szCs w:val="21"/>
          <w:highlight w:val="none"/>
        </w:rPr>
        <w:t>取有效措施予以纠正。发包人收到设计人通知后的</w:t>
      </w:r>
      <w:r>
        <w:rPr>
          <w:rFonts w:hint="eastAsia" w:ascii="宋体" w:hAnsi="宋体" w:eastAsia="宋体" w:cs="宋体"/>
          <w:color w:val="auto"/>
          <w:spacing w:val="-55"/>
          <w:sz w:val="21"/>
          <w:szCs w:val="21"/>
          <w:highlight w:val="none"/>
        </w:rPr>
        <w:t xml:space="preserve"> </w:t>
      </w:r>
      <w:r>
        <w:rPr>
          <w:rFonts w:hint="eastAsia" w:ascii="宋体" w:hAnsi="宋体" w:eastAsia="宋体" w:cs="宋体"/>
          <w:color w:val="auto"/>
          <w:spacing w:val="-3"/>
          <w:sz w:val="21"/>
          <w:szCs w:val="21"/>
          <w:highlight w:val="none"/>
        </w:rPr>
        <w:t>28</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3"/>
          <w:sz w:val="21"/>
          <w:szCs w:val="21"/>
          <w:highlight w:val="none"/>
        </w:rPr>
        <w:t>天内仍不履行合同</w:t>
      </w:r>
      <w:r>
        <w:rPr>
          <w:rFonts w:hint="eastAsia" w:ascii="宋体" w:hAnsi="宋体" w:eastAsia="宋体" w:cs="宋体"/>
          <w:color w:val="auto"/>
          <w:spacing w:val="-4"/>
          <w:sz w:val="21"/>
          <w:szCs w:val="21"/>
          <w:highlight w:val="none"/>
        </w:rPr>
        <w:t>义务时，设</w:t>
      </w:r>
      <w:r>
        <w:rPr>
          <w:rFonts w:hint="eastAsia" w:ascii="宋体" w:hAnsi="宋体" w:eastAsia="宋体" w:cs="宋体"/>
          <w:color w:val="auto"/>
          <w:sz w:val="21"/>
          <w:szCs w:val="21"/>
          <w:highlight w:val="none"/>
        </w:rPr>
        <w:t>计人有权暂停勘察设计并通知发包人；发包人应承担由此导致的费用增加和（或）</w:t>
      </w:r>
      <w:r>
        <w:rPr>
          <w:rFonts w:hint="eastAsia" w:ascii="宋体" w:hAnsi="宋体" w:eastAsia="宋体" w:cs="宋体"/>
          <w:color w:val="auto"/>
          <w:spacing w:val="-8"/>
          <w:sz w:val="21"/>
          <w:szCs w:val="21"/>
          <w:highlight w:val="none"/>
        </w:rPr>
        <w:t>周期延误。</w:t>
      </w:r>
    </w:p>
    <w:p w14:paraId="631099C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8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（1）发包人违约；</w:t>
      </w:r>
    </w:p>
    <w:p w14:paraId="22E76B7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（2）发包人确定暂停勘察设计；</w:t>
      </w:r>
    </w:p>
    <w:p w14:paraId="4F6599D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（3）合同约定由发包人承担责任的其他情形。</w:t>
      </w:r>
    </w:p>
    <w:p w14:paraId="23BF782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7.2  设计人原因暂停勘察设计</w:t>
      </w:r>
    </w:p>
    <w:p w14:paraId="35E09B3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合同履行中发生下列情形之一的，发包人可向设计人发出通知暂停勘察设计，</w:t>
      </w:r>
      <w:r>
        <w:rPr>
          <w:rFonts w:hint="eastAsia" w:ascii="宋体" w:hAnsi="宋体" w:eastAsia="宋体" w:cs="宋体"/>
          <w:color w:val="auto"/>
          <w:spacing w:val="-4"/>
          <w:sz w:val="21"/>
          <w:szCs w:val="21"/>
          <w:highlight w:val="none"/>
        </w:rPr>
        <w:t>由此造成费用的增加和（或）周期延误由设计人承担：</w:t>
      </w:r>
    </w:p>
    <w:p w14:paraId="25FC47C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8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（1）设计人违约；</w:t>
      </w:r>
    </w:p>
    <w:p w14:paraId="4B5C404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（2）设计人擅自暂停勘察设计；</w:t>
      </w:r>
    </w:p>
    <w:p w14:paraId="5A6EBC8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（3）合同约定由设计人承担责任的其他情形。</w:t>
      </w:r>
    </w:p>
    <w:p w14:paraId="2C9B592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7.3  暂停期间的文件照管</w:t>
      </w:r>
    </w:p>
    <w:p w14:paraId="75153E4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不论由于何种原因引起暂停勘察设计的，暂停期间设计人应负责妥善保护已完</w:t>
      </w:r>
      <w:r>
        <w:rPr>
          <w:rFonts w:hint="eastAsia" w:ascii="宋体" w:hAnsi="宋体" w:eastAsia="宋体" w:cs="宋体"/>
          <w:color w:val="auto"/>
          <w:spacing w:val="-2"/>
          <w:sz w:val="21"/>
          <w:szCs w:val="21"/>
          <w:highlight w:val="none"/>
        </w:rPr>
        <w:t>部分的勘察设计文件，由此增加的费用由责任方承担。</w:t>
      </w:r>
    </w:p>
    <w:p w14:paraId="356AE460">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8.  勘察设计文件</w:t>
      </w:r>
    </w:p>
    <w:p w14:paraId="26BDCD7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8.1  勘察设计文件接收</w:t>
      </w:r>
    </w:p>
    <w:p w14:paraId="0614CF9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8.1.1  发包人应及时接收设计人提交的勘察设计文件。如无正当理由拒收的，</w:t>
      </w:r>
      <w:r>
        <w:rPr>
          <w:rFonts w:hint="eastAsia" w:ascii="宋体" w:hAnsi="宋体" w:eastAsia="宋体" w:cs="宋体"/>
          <w:color w:val="auto"/>
          <w:spacing w:val="-27"/>
          <w:sz w:val="21"/>
          <w:szCs w:val="21"/>
          <w:highlight w:val="none"/>
        </w:rPr>
        <w:t xml:space="preserve"> </w:t>
      </w:r>
      <w:r>
        <w:rPr>
          <w:rFonts w:hint="eastAsia" w:ascii="宋体" w:hAnsi="宋体" w:eastAsia="宋体" w:cs="宋体"/>
          <w:color w:val="auto"/>
          <w:spacing w:val="-5"/>
          <w:sz w:val="21"/>
          <w:szCs w:val="21"/>
          <w:highlight w:val="none"/>
        </w:rPr>
        <w:t>视</w:t>
      </w:r>
      <w:r>
        <w:rPr>
          <w:rFonts w:hint="eastAsia" w:ascii="宋体" w:hAnsi="宋体" w:eastAsia="宋体" w:cs="宋体"/>
          <w:color w:val="auto"/>
          <w:spacing w:val="-3"/>
          <w:sz w:val="21"/>
          <w:szCs w:val="21"/>
          <w:highlight w:val="none"/>
        </w:rPr>
        <w:t>为发包人已经接收勘察设计文件。</w:t>
      </w:r>
    </w:p>
    <w:p w14:paraId="5B598C8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8.1.2  发包人接收勘察设计文件时，应向设计人出具文件签收凭证，凭证内容包</w:t>
      </w:r>
      <w:r>
        <w:rPr>
          <w:rFonts w:hint="eastAsia" w:ascii="宋体" w:hAnsi="宋体" w:eastAsia="宋体" w:cs="宋体"/>
          <w:color w:val="auto"/>
          <w:sz w:val="21"/>
          <w:szCs w:val="21"/>
          <w:highlight w:val="none"/>
        </w:rPr>
        <w:t>括文件名称、文件内容、文件形式、份数、提交和接收日期、提交人与接收人的亲</w:t>
      </w:r>
      <w:r>
        <w:rPr>
          <w:rFonts w:hint="eastAsia" w:ascii="宋体" w:hAnsi="宋体" w:eastAsia="宋体" w:cs="宋体"/>
          <w:color w:val="auto"/>
          <w:spacing w:val="-8"/>
          <w:sz w:val="21"/>
          <w:szCs w:val="21"/>
          <w:highlight w:val="none"/>
        </w:rPr>
        <w:t>笔签名等。</w:t>
      </w:r>
    </w:p>
    <w:p w14:paraId="29DA17C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8.1.3  勘察设计文件提交的份数、内容、纸幅、装订格式、电子文件、展板、模型、沙盘、动画等要求，在专用合同条款中约定。</w:t>
      </w:r>
    </w:p>
    <w:p w14:paraId="5D6F241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8.2  发包人审查勘察设计文件</w:t>
      </w:r>
    </w:p>
    <w:p w14:paraId="4C39962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8.2.1  发包人接收勘察设计文件之后，可以自行或者组织专家会进行审查，设计</w:t>
      </w:r>
      <w:r>
        <w:rPr>
          <w:rFonts w:hint="eastAsia" w:ascii="宋体" w:hAnsi="宋体" w:eastAsia="宋体" w:cs="宋体"/>
          <w:color w:val="auto"/>
          <w:sz w:val="21"/>
          <w:szCs w:val="21"/>
          <w:highlight w:val="none"/>
        </w:rPr>
        <w:t>人应给予配合。审查标准应符合法律、规范标准、合同约定和发包人要求等；审查</w:t>
      </w:r>
      <w:r>
        <w:rPr>
          <w:rFonts w:hint="eastAsia" w:ascii="宋体" w:hAnsi="宋体" w:eastAsia="宋体" w:cs="宋体"/>
          <w:color w:val="auto"/>
          <w:spacing w:val="-2"/>
          <w:sz w:val="21"/>
          <w:szCs w:val="21"/>
          <w:highlight w:val="none"/>
        </w:rPr>
        <w:t>的具体范围、明细内容和费用分担原则，在专用合同条款中约定。</w:t>
      </w:r>
    </w:p>
    <w:p w14:paraId="315AF5E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8.2.2  除专用合同条款另有约定外，发包人对于勘察设计文件的审查期限，自文</w:t>
      </w:r>
      <w:r>
        <w:rPr>
          <w:rFonts w:hint="eastAsia" w:ascii="宋体" w:hAnsi="宋体" w:eastAsia="宋体" w:cs="宋体"/>
          <w:color w:val="auto"/>
          <w:spacing w:val="-4"/>
          <w:sz w:val="21"/>
          <w:szCs w:val="21"/>
          <w:highlight w:val="none"/>
        </w:rPr>
        <w:t>件接收之日起不应超过</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4"/>
          <w:sz w:val="21"/>
          <w:szCs w:val="21"/>
          <w:highlight w:val="none"/>
        </w:rPr>
        <w:t>14</w:t>
      </w:r>
      <w:r>
        <w:rPr>
          <w:rFonts w:hint="eastAsia" w:ascii="宋体" w:hAnsi="宋体" w:eastAsia="宋体" w:cs="宋体"/>
          <w:color w:val="auto"/>
          <w:spacing w:val="15"/>
          <w:sz w:val="21"/>
          <w:szCs w:val="21"/>
          <w:highlight w:val="none"/>
        </w:rPr>
        <w:t xml:space="preserve"> </w:t>
      </w:r>
      <w:r>
        <w:rPr>
          <w:rFonts w:hint="eastAsia" w:ascii="宋体" w:hAnsi="宋体" w:eastAsia="宋体" w:cs="宋体"/>
          <w:color w:val="auto"/>
          <w:spacing w:val="-4"/>
          <w:sz w:val="21"/>
          <w:szCs w:val="21"/>
          <w:highlight w:val="none"/>
        </w:rPr>
        <w:t>天。发包人逾期未作出审查结论且未提出异议的，视为设</w:t>
      </w:r>
      <w:r>
        <w:rPr>
          <w:rFonts w:hint="eastAsia" w:ascii="宋体" w:hAnsi="宋体" w:eastAsia="宋体" w:cs="宋体"/>
          <w:color w:val="auto"/>
          <w:spacing w:val="-3"/>
          <w:sz w:val="21"/>
          <w:szCs w:val="21"/>
          <w:highlight w:val="none"/>
        </w:rPr>
        <w:t>计人的勘察设计文件已经通过发包人审查。</w:t>
      </w:r>
    </w:p>
    <w:p w14:paraId="7528546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8.2.3  发包人审查后不同意勘察设计文件的，应以书面形式通知设计人，说明审</w:t>
      </w:r>
      <w:r>
        <w:rPr>
          <w:rFonts w:hint="eastAsia" w:ascii="宋体" w:hAnsi="宋体" w:eastAsia="宋体" w:cs="宋体"/>
          <w:color w:val="auto"/>
          <w:spacing w:val="1"/>
          <w:sz w:val="21"/>
          <w:szCs w:val="21"/>
          <w:highlight w:val="none"/>
        </w:rPr>
        <w:t>查不通过的理由及其具体内容。设计人应根据</w:t>
      </w:r>
      <w:r>
        <w:rPr>
          <w:rFonts w:hint="eastAsia" w:ascii="宋体" w:hAnsi="宋体" w:eastAsia="宋体" w:cs="宋体"/>
          <w:color w:val="auto"/>
          <w:sz w:val="21"/>
          <w:szCs w:val="21"/>
          <w:highlight w:val="none"/>
        </w:rPr>
        <w:t>发包人的审查意见修改完善勘察设计</w:t>
      </w:r>
      <w:r>
        <w:rPr>
          <w:rFonts w:hint="eastAsia" w:ascii="宋体" w:hAnsi="宋体" w:eastAsia="宋体" w:cs="宋体"/>
          <w:color w:val="auto"/>
          <w:spacing w:val="-2"/>
          <w:sz w:val="21"/>
          <w:szCs w:val="21"/>
          <w:highlight w:val="none"/>
        </w:rPr>
        <w:t>文件，并重新报送发包人审查，审查期限重新起算。</w:t>
      </w:r>
    </w:p>
    <w:p w14:paraId="4F5F398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8.3  审查机构审查勘察设计文件</w:t>
      </w:r>
    </w:p>
    <w:p w14:paraId="67A831C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8.3.1  勘察设计文件需经政府有关部门审查或批准的，发包人应在审查同意后，</w:t>
      </w:r>
      <w:r>
        <w:rPr>
          <w:rFonts w:hint="eastAsia" w:ascii="宋体" w:hAnsi="宋体" w:eastAsia="宋体" w:cs="宋体"/>
          <w:color w:val="auto"/>
          <w:sz w:val="21"/>
          <w:szCs w:val="21"/>
          <w:highlight w:val="none"/>
        </w:rPr>
        <w:t>按照有关主管部门要求，将勘察设计文件和相关资料报送审查机构进行审查。发包</w:t>
      </w:r>
      <w:r>
        <w:rPr>
          <w:rFonts w:hint="eastAsia" w:ascii="宋体" w:hAnsi="宋体" w:eastAsia="宋体" w:cs="宋体"/>
          <w:color w:val="auto"/>
          <w:spacing w:val="-1"/>
          <w:sz w:val="21"/>
          <w:szCs w:val="21"/>
          <w:highlight w:val="none"/>
        </w:rPr>
        <w:t>人的审查和审查机构的审查不减免设计人因为质量问题而应承担的勘察设计</w:t>
      </w:r>
      <w:r>
        <w:rPr>
          <w:rFonts w:hint="eastAsia" w:ascii="宋体" w:hAnsi="宋体" w:eastAsia="宋体" w:cs="宋体"/>
          <w:color w:val="auto"/>
          <w:spacing w:val="-2"/>
          <w:sz w:val="21"/>
          <w:szCs w:val="21"/>
          <w:highlight w:val="none"/>
        </w:rPr>
        <w:t>责任。</w:t>
      </w:r>
    </w:p>
    <w:p w14:paraId="5785D7D0">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8.3.2  对于审查机构的审查意见，如不需要修改发包人要求的，应由设计人按照</w:t>
      </w:r>
      <w:r>
        <w:rPr>
          <w:rFonts w:hint="eastAsia" w:ascii="宋体" w:hAnsi="宋体" w:eastAsia="宋体" w:cs="宋体"/>
          <w:color w:val="auto"/>
          <w:sz w:val="21"/>
          <w:szCs w:val="21"/>
          <w:highlight w:val="none"/>
        </w:rPr>
        <w:t>审查意见修改完善勘察设计文件；如需修改发包人要求的，则由发包人重新修改和</w:t>
      </w:r>
      <w:r>
        <w:rPr>
          <w:rFonts w:hint="eastAsia" w:ascii="宋体" w:hAnsi="宋体" w:eastAsia="宋体" w:cs="宋体"/>
          <w:color w:val="auto"/>
          <w:spacing w:val="-1"/>
          <w:sz w:val="21"/>
          <w:szCs w:val="21"/>
          <w:highlight w:val="none"/>
        </w:rPr>
        <w:t>提出发包人要求，再由设计人根据新的发包人要求修改完善勘</w:t>
      </w:r>
      <w:r>
        <w:rPr>
          <w:rFonts w:hint="eastAsia" w:ascii="宋体" w:hAnsi="宋体" w:eastAsia="宋体" w:cs="宋体"/>
          <w:color w:val="auto"/>
          <w:spacing w:val="-2"/>
          <w:sz w:val="21"/>
          <w:szCs w:val="21"/>
          <w:highlight w:val="none"/>
        </w:rPr>
        <w:t>察设计文件。</w:t>
      </w:r>
    </w:p>
    <w:p w14:paraId="7904166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8.3.3</w:t>
      </w:r>
      <w:r>
        <w:rPr>
          <w:rFonts w:hint="eastAsia" w:ascii="宋体" w:hAnsi="宋体" w:eastAsia="宋体" w:cs="宋体"/>
          <w:color w:val="auto"/>
          <w:spacing w:val="24"/>
          <w:w w:val="101"/>
          <w:sz w:val="21"/>
          <w:szCs w:val="21"/>
          <w:highlight w:val="none"/>
        </w:rPr>
        <w:t xml:space="preserve">  </w:t>
      </w:r>
      <w:r>
        <w:rPr>
          <w:rFonts w:hint="eastAsia" w:ascii="宋体" w:hAnsi="宋体" w:eastAsia="宋体" w:cs="宋体"/>
          <w:color w:val="auto"/>
          <w:spacing w:val="-4"/>
          <w:sz w:val="21"/>
          <w:szCs w:val="21"/>
          <w:highlight w:val="none"/>
        </w:rPr>
        <w:t>由于自身原因造成勘察设计文件未通过审查机构审查的，设计人应承担违</w:t>
      </w:r>
      <w:r>
        <w:rPr>
          <w:rFonts w:hint="eastAsia" w:ascii="宋体" w:hAnsi="宋体" w:eastAsia="宋体" w:cs="宋体"/>
          <w:color w:val="auto"/>
          <w:sz w:val="21"/>
          <w:szCs w:val="21"/>
          <w:highlight w:val="none"/>
        </w:rPr>
        <w:t>约责任，采取补救措施直至达到合同约定的质量标准，并自行承担由此导致的费用</w:t>
      </w:r>
      <w:r>
        <w:rPr>
          <w:rFonts w:hint="eastAsia" w:ascii="宋体" w:hAnsi="宋体" w:eastAsia="宋体" w:cs="宋体"/>
          <w:color w:val="auto"/>
          <w:spacing w:val="-4"/>
          <w:sz w:val="21"/>
          <w:szCs w:val="21"/>
          <w:highlight w:val="none"/>
        </w:rPr>
        <w:t>增加和（或）周期延误。</w:t>
      </w:r>
    </w:p>
    <w:p w14:paraId="6CFDBC01">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9.  勘察设计责任与保险</w:t>
      </w:r>
    </w:p>
    <w:p w14:paraId="78350C3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9.1  工作质量责任</w:t>
      </w:r>
    </w:p>
    <w:p w14:paraId="5BD96B3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6"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9.1.1  勘察设计工作质量应满足法律规定、规范标准、</w:t>
      </w:r>
      <w:r>
        <w:rPr>
          <w:rFonts w:hint="eastAsia" w:ascii="宋体" w:hAnsi="宋体" w:eastAsia="宋体" w:cs="宋体"/>
          <w:color w:val="auto"/>
          <w:spacing w:val="-7"/>
          <w:sz w:val="21"/>
          <w:szCs w:val="21"/>
          <w:highlight w:val="none"/>
        </w:rPr>
        <w:t>合同约定和发包人要求等。</w:t>
      </w:r>
    </w:p>
    <w:p w14:paraId="60750F9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9.1.2  设计人应做好勘察设计服务的质量与</w:t>
      </w:r>
      <w:r>
        <w:rPr>
          <w:rFonts w:hint="eastAsia" w:ascii="宋体" w:hAnsi="宋体" w:eastAsia="宋体" w:cs="宋体"/>
          <w:color w:val="auto"/>
          <w:spacing w:val="-3"/>
          <w:sz w:val="21"/>
          <w:szCs w:val="21"/>
          <w:highlight w:val="none"/>
        </w:rPr>
        <w:t>技术管理工作，建立健全内部质量管</w:t>
      </w:r>
      <w:r>
        <w:rPr>
          <w:rFonts w:hint="eastAsia" w:ascii="宋体" w:hAnsi="宋体" w:eastAsia="宋体" w:cs="宋体"/>
          <w:color w:val="auto"/>
          <w:spacing w:val="1"/>
          <w:sz w:val="21"/>
          <w:szCs w:val="21"/>
          <w:highlight w:val="none"/>
        </w:rPr>
        <w:t>理体系和质量责任制度，加强勘察设计服务全过程</w:t>
      </w:r>
      <w:r>
        <w:rPr>
          <w:rFonts w:hint="eastAsia" w:ascii="宋体" w:hAnsi="宋体" w:eastAsia="宋体" w:cs="宋体"/>
          <w:color w:val="auto"/>
          <w:sz w:val="21"/>
          <w:szCs w:val="21"/>
          <w:highlight w:val="none"/>
        </w:rPr>
        <w:t>的质量控制，建立完整的勘察设</w:t>
      </w:r>
      <w:r>
        <w:rPr>
          <w:rFonts w:hint="eastAsia" w:ascii="宋体" w:hAnsi="宋体" w:eastAsia="宋体" w:cs="宋体"/>
          <w:color w:val="auto"/>
          <w:spacing w:val="-2"/>
          <w:sz w:val="21"/>
          <w:szCs w:val="21"/>
          <w:highlight w:val="none"/>
        </w:rPr>
        <w:t>计文件的设计、复核、审核、会签和批准制度，明确各阶段的责任人。</w:t>
      </w:r>
    </w:p>
    <w:p w14:paraId="256FB76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9.1.3  设计人应强化现场作业质量和试验</w:t>
      </w:r>
      <w:r>
        <w:rPr>
          <w:rFonts w:hint="eastAsia" w:ascii="宋体" w:hAnsi="宋体" w:eastAsia="宋体" w:cs="宋体"/>
          <w:color w:val="auto"/>
          <w:spacing w:val="-3"/>
          <w:sz w:val="21"/>
          <w:szCs w:val="21"/>
          <w:highlight w:val="none"/>
        </w:rPr>
        <w:t>工作管理，保证原始记录和试验数据的</w:t>
      </w:r>
      <w:r>
        <w:rPr>
          <w:rFonts w:hint="eastAsia" w:ascii="宋体" w:hAnsi="宋体" w:eastAsia="宋体" w:cs="宋体"/>
          <w:color w:val="auto"/>
          <w:spacing w:val="-2"/>
          <w:sz w:val="21"/>
          <w:szCs w:val="21"/>
          <w:highlight w:val="none"/>
        </w:rPr>
        <w:t>可靠性、真实性和完整性，严禁离开现场进行追记、补记和修改记录。</w:t>
      </w:r>
    </w:p>
    <w:p w14:paraId="068B4CC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9.1.4  设计人应按合同约定对勘察设计服</w:t>
      </w:r>
      <w:r>
        <w:rPr>
          <w:rFonts w:hint="eastAsia" w:ascii="宋体" w:hAnsi="宋体" w:eastAsia="宋体" w:cs="宋体"/>
          <w:color w:val="auto"/>
          <w:spacing w:val="-3"/>
          <w:sz w:val="21"/>
          <w:szCs w:val="21"/>
          <w:highlight w:val="none"/>
        </w:rPr>
        <w:t>务进行全过程的质量检查和检验，并作</w:t>
      </w:r>
      <w:r>
        <w:rPr>
          <w:rFonts w:hint="eastAsia" w:ascii="宋体" w:hAnsi="宋体" w:eastAsia="宋体" w:cs="宋体"/>
          <w:color w:val="auto"/>
          <w:spacing w:val="-2"/>
          <w:sz w:val="21"/>
          <w:szCs w:val="21"/>
          <w:highlight w:val="none"/>
        </w:rPr>
        <w:t>详细记录，编制勘察设计工作质量报表，报送发包人审查。</w:t>
      </w:r>
    </w:p>
    <w:p w14:paraId="61BC774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9.1.5  发包人有权对勘察设计工作质量进行</w:t>
      </w:r>
      <w:r>
        <w:rPr>
          <w:rFonts w:hint="eastAsia" w:ascii="宋体" w:hAnsi="宋体" w:eastAsia="宋体" w:cs="宋体"/>
          <w:color w:val="auto"/>
          <w:spacing w:val="-3"/>
          <w:sz w:val="21"/>
          <w:szCs w:val="21"/>
          <w:highlight w:val="none"/>
        </w:rPr>
        <w:t>检查和审核。设计人应为发包人的检</w:t>
      </w:r>
      <w:r>
        <w:rPr>
          <w:rFonts w:hint="eastAsia" w:ascii="宋体" w:hAnsi="宋体" w:eastAsia="宋体" w:cs="宋体"/>
          <w:color w:val="auto"/>
          <w:sz w:val="21"/>
          <w:szCs w:val="21"/>
          <w:highlight w:val="none"/>
        </w:rPr>
        <w:t>查和检验提供方便，包括发包人到勘察设计场地、试验室或合同约定的其他地方进行察看，查阅、审核勘察设计的原始记录和其他文件。发包人的检查和审核，不免</w:t>
      </w:r>
      <w:r>
        <w:rPr>
          <w:rFonts w:hint="eastAsia" w:ascii="宋体" w:hAnsi="宋体" w:eastAsia="宋体" w:cs="宋体"/>
          <w:color w:val="auto"/>
          <w:spacing w:val="-3"/>
          <w:sz w:val="21"/>
          <w:szCs w:val="21"/>
          <w:highlight w:val="none"/>
        </w:rPr>
        <w:t>除设计人按合同约定应负的责任。</w:t>
      </w:r>
    </w:p>
    <w:p w14:paraId="75BBAD0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9.2  勘察设计文件错误责任</w:t>
      </w:r>
    </w:p>
    <w:p w14:paraId="6A6D980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9.2.1  勘察设计文件存在错误、遗漏、含混、矛盾、不充分之处或其他缺陷，</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7"/>
          <w:sz w:val="21"/>
          <w:szCs w:val="21"/>
          <w:highlight w:val="none"/>
        </w:rPr>
        <w:t>无</w:t>
      </w:r>
      <w:r>
        <w:rPr>
          <w:rFonts w:hint="eastAsia" w:ascii="宋体" w:hAnsi="宋体" w:eastAsia="宋体" w:cs="宋体"/>
          <w:color w:val="auto"/>
          <w:sz w:val="21"/>
          <w:szCs w:val="21"/>
          <w:highlight w:val="none"/>
        </w:rPr>
        <w:t>论设计人是否通过了发包人审查或审查机构审查，设计人均应自费对前述问题带来</w:t>
      </w:r>
      <w:r>
        <w:rPr>
          <w:rFonts w:hint="eastAsia" w:ascii="宋体" w:hAnsi="宋体" w:eastAsia="宋体" w:cs="宋体"/>
          <w:color w:val="auto"/>
          <w:spacing w:val="-3"/>
          <w:sz w:val="21"/>
          <w:szCs w:val="21"/>
          <w:highlight w:val="none"/>
        </w:rPr>
        <w:t>的缺陷和工程问题进行改正，但因第</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3"/>
          <w:sz w:val="21"/>
          <w:szCs w:val="21"/>
          <w:highlight w:val="none"/>
        </w:rPr>
        <w:t>1.6.2 项约定由发包人提供的文件错误</w:t>
      </w:r>
      <w:r>
        <w:rPr>
          <w:rFonts w:hint="eastAsia" w:ascii="宋体" w:hAnsi="宋体" w:eastAsia="宋体" w:cs="宋体"/>
          <w:color w:val="auto"/>
          <w:spacing w:val="-4"/>
          <w:sz w:val="21"/>
          <w:szCs w:val="21"/>
          <w:highlight w:val="none"/>
        </w:rPr>
        <w:t>导致的除</w:t>
      </w:r>
      <w:r>
        <w:rPr>
          <w:rFonts w:hint="eastAsia" w:ascii="宋体" w:hAnsi="宋体" w:eastAsia="宋体" w:cs="宋体"/>
          <w:color w:val="auto"/>
          <w:spacing w:val="-12"/>
          <w:sz w:val="21"/>
          <w:szCs w:val="21"/>
          <w:highlight w:val="none"/>
        </w:rPr>
        <w:t>外。</w:t>
      </w:r>
    </w:p>
    <w:p w14:paraId="67B569D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9.2.2  因设计人原因造成勘察设计文件不</w:t>
      </w:r>
      <w:r>
        <w:rPr>
          <w:rFonts w:hint="eastAsia" w:ascii="宋体" w:hAnsi="宋体" w:eastAsia="宋体" w:cs="宋体"/>
          <w:color w:val="auto"/>
          <w:spacing w:val="-3"/>
          <w:sz w:val="21"/>
          <w:szCs w:val="21"/>
          <w:highlight w:val="none"/>
        </w:rPr>
        <w:t>合格的，发包人有权要求设计人采取补</w:t>
      </w:r>
      <w:r>
        <w:rPr>
          <w:rFonts w:hint="eastAsia" w:ascii="宋体" w:hAnsi="宋体" w:eastAsia="宋体" w:cs="宋体"/>
          <w:color w:val="auto"/>
          <w:spacing w:val="-2"/>
          <w:sz w:val="21"/>
          <w:szCs w:val="21"/>
          <w:highlight w:val="none"/>
        </w:rPr>
        <w:t>救措施，直至达到合同要求的质量标准，并按第</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
          <w:sz w:val="21"/>
          <w:szCs w:val="21"/>
          <w:highlight w:val="none"/>
        </w:rPr>
        <w:t>14.1 款的约定承担责任。</w:t>
      </w:r>
    </w:p>
    <w:p w14:paraId="285C4A56">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9.2.3  因发包人原因造成勘察设计文件不合格的，设计人应当</w:t>
      </w:r>
      <w:r>
        <w:rPr>
          <w:rFonts w:hint="eastAsia" w:ascii="宋体" w:hAnsi="宋体" w:eastAsia="宋体" w:cs="宋体"/>
          <w:color w:val="auto"/>
          <w:spacing w:val="-3"/>
          <w:sz w:val="21"/>
          <w:szCs w:val="21"/>
          <w:highlight w:val="none"/>
        </w:rPr>
        <w:t>采取补救措施，直</w:t>
      </w:r>
      <w:r>
        <w:rPr>
          <w:rFonts w:hint="eastAsia" w:ascii="宋体" w:hAnsi="宋体" w:eastAsia="宋体" w:cs="宋体"/>
          <w:color w:val="auto"/>
          <w:spacing w:val="-1"/>
          <w:sz w:val="21"/>
          <w:szCs w:val="21"/>
          <w:highlight w:val="none"/>
        </w:rPr>
        <w:t>至达到合同要求的质量标准，由此造成的勘察设计费用增加和（或）</w:t>
      </w:r>
      <w:r>
        <w:rPr>
          <w:rFonts w:hint="eastAsia" w:ascii="宋体" w:hAnsi="宋体" w:eastAsia="宋体" w:cs="宋体"/>
          <w:color w:val="auto"/>
          <w:spacing w:val="-64"/>
          <w:sz w:val="21"/>
          <w:szCs w:val="21"/>
          <w:highlight w:val="none"/>
        </w:rPr>
        <w:t xml:space="preserve"> </w:t>
      </w:r>
      <w:r>
        <w:rPr>
          <w:rFonts w:hint="eastAsia" w:ascii="宋体" w:hAnsi="宋体" w:eastAsia="宋体" w:cs="宋体"/>
          <w:color w:val="auto"/>
          <w:spacing w:val="-1"/>
          <w:sz w:val="21"/>
          <w:szCs w:val="21"/>
          <w:highlight w:val="none"/>
        </w:rPr>
        <w:t>勘察设计服务</w:t>
      </w:r>
      <w:r>
        <w:rPr>
          <w:rFonts w:hint="eastAsia" w:ascii="宋体" w:hAnsi="宋体" w:eastAsia="宋体" w:cs="宋体"/>
          <w:color w:val="auto"/>
          <w:spacing w:val="-4"/>
          <w:sz w:val="21"/>
          <w:szCs w:val="21"/>
          <w:highlight w:val="none"/>
        </w:rPr>
        <w:t>期限延误由发包人承担。</w:t>
      </w:r>
    </w:p>
    <w:p w14:paraId="146412F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9.3  勘察设计责任主体</w:t>
      </w:r>
    </w:p>
    <w:p w14:paraId="7F8EBE1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9.3.1  设计人应运用一切合理的专业技术、知识技能和项目经验，</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5"/>
          <w:sz w:val="21"/>
          <w:szCs w:val="21"/>
          <w:highlight w:val="none"/>
        </w:rPr>
        <w:t>按照职业道德</w:t>
      </w:r>
      <w:r>
        <w:rPr>
          <w:rFonts w:hint="eastAsia" w:ascii="宋体" w:hAnsi="宋体" w:eastAsia="宋体" w:cs="宋体"/>
          <w:color w:val="auto"/>
          <w:sz w:val="21"/>
          <w:szCs w:val="21"/>
          <w:highlight w:val="none"/>
        </w:rPr>
        <w:t>准则和行业公认标准尽其全部职责，勤勉、谨慎、公正地履行其在本合同项下的责</w:t>
      </w:r>
      <w:r>
        <w:rPr>
          <w:rFonts w:hint="eastAsia" w:ascii="宋体" w:hAnsi="宋体" w:eastAsia="宋体" w:cs="宋体"/>
          <w:color w:val="auto"/>
          <w:spacing w:val="-7"/>
          <w:sz w:val="21"/>
          <w:szCs w:val="21"/>
          <w:highlight w:val="none"/>
        </w:rPr>
        <w:t>任和义务。</w:t>
      </w:r>
    </w:p>
    <w:p w14:paraId="3D9CCD0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9.3.2  本工程</w:t>
      </w:r>
      <w:r>
        <w:rPr>
          <w:rFonts w:hint="eastAsia" w:ascii="宋体" w:hAnsi="宋体" w:eastAsia="宋体" w:cs="宋体"/>
          <w:color w:val="auto"/>
          <w:spacing w:val="-2"/>
          <w:sz w:val="21"/>
          <w:szCs w:val="21"/>
          <w:highlight w:val="none"/>
          <w:lang w:val="en-US" w:eastAsia="zh-CN"/>
        </w:rPr>
        <w:t>实行</w:t>
      </w:r>
      <w:r>
        <w:rPr>
          <w:rFonts w:hint="eastAsia" w:ascii="宋体" w:hAnsi="宋体" w:eastAsia="宋体" w:cs="宋体"/>
          <w:color w:val="auto"/>
          <w:spacing w:val="-2"/>
          <w:sz w:val="21"/>
          <w:szCs w:val="21"/>
          <w:highlight w:val="none"/>
        </w:rPr>
        <w:t>质量责任终身制。设计</w:t>
      </w:r>
      <w:r>
        <w:rPr>
          <w:rFonts w:hint="eastAsia" w:ascii="宋体" w:hAnsi="宋体" w:eastAsia="宋体" w:cs="宋体"/>
          <w:color w:val="auto"/>
          <w:spacing w:val="-3"/>
          <w:sz w:val="21"/>
          <w:szCs w:val="21"/>
          <w:highlight w:val="none"/>
        </w:rPr>
        <w:t>人应书面明确相应的项目负责人和质量</w:t>
      </w:r>
      <w:r>
        <w:rPr>
          <w:rFonts w:hint="eastAsia" w:ascii="宋体" w:hAnsi="宋体" w:eastAsia="宋体" w:cs="宋体"/>
          <w:color w:val="auto"/>
          <w:sz w:val="21"/>
          <w:szCs w:val="21"/>
          <w:highlight w:val="none"/>
        </w:rPr>
        <w:t>负责人。设计人的相关人员按照国家法律法规和有关规定在工程合理使用年限内承</w:t>
      </w:r>
      <w:r>
        <w:rPr>
          <w:rFonts w:hint="eastAsia" w:ascii="宋体" w:hAnsi="宋体" w:eastAsia="宋体" w:cs="宋体"/>
          <w:color w:val="auto"/>
          <w:spacing w:val="-5"/>
          <w:sz w:val="21"/>
          <w:szCs w:val="21"/>
          <w:highlight w:val="none"/>
        </w:rPr>
        <w:t>担相应的质量责任。</w:t>
      </w:r>
    </w:p>
    <w:p w14:paraId="14C243E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9.3.3  设计人应按照相关规定，做好设计交</w:t>
      </w:r>
      <w:r>
        <w:rPr>
          <w:rFonts w:hint="eastAsia" w:ascii="宋体" w:hAnsi="宋体" w:eastAsia="宋体" w:cs="宋体"/>
          <w:color w:val="auto"/>
          <w:spacing w:val="-6"/>
          <w:sz w:val="21"/>
          <w:szCs w:val="21"/>
          <w:highlight w:val="none"/>
        </w:rPr>
        <w:t>底、设计变更和后续服务工作， 保障</w:t>
      </w:r>
      <w:r>
        <w:rPr>
          <w:rFonts w:hint="eastAsia" w:ascii="宋体" w:hAnsi="宋体" w:eastAsia="宋体" w:cs="宋体"/>
          <w:color w:val="auto"/>
          <w:spacing w:val="-1"/>
          <w:sz w:val="21"/>
          <w:szCs w:val="21"/>
          <w:highlight w:val="none"/>
        </w:rPr>
        <w:t>设计意图在施工中得以贯彻落实，及时处理施工中</w:t>
      </w:r>
      <w:r>
        <w:rPr>
          <w:rFonts w:hint="eastAsia" w:ascii="宋体" w:hAnsi="宋体" w:eastAsia="宋体" w:cs="宋体"/>
          <w:color w:val="auto"/>
          <w:spacing w:val="-2"/>
          <w:sz w:val="21"/>
          <w:szCs w:val="21"/>
          <w:highlight w:val="none"/>
        </w:rPr>
        <w:t>与设计相关的质量技术问题。</w:t>
      </w:r>
    </w:p>
    <w:p w14:paraId="43EA3BF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9.3.4  本工程交工验收前，设计人</w:t>
      </w:r>
      <w:r>
        <w:rPr>
          <w:rFonts w:hint="eastAsia" w:ascii="宋体" w:hAnsi="宋体" w:eastAsia="宋体" w:cs="宋体"/>
          <w:color w:val="auto"/>
          <w:spacing w:val="-3"/>
          <w:sz w:val="21"/>
          <w:szCs w:val="21"/>
          <w:highlight w:val="none"/>
        </w:rPr>
        <w:t>应对工程建设内容是否满足设计要求、是否达</w:t>
      </w:r>
      <w:r>
        <w:rPr>
          <w:rFonts w:hint="eastAsia" w:ascii="宋体" w:hAnsi="宋体" w:eastAsia="宋体" w:cs="宋体"/>
          <w:color w:val="auto"/>
          <w:sz w:val="21"/>
          <w:szCs w:val="21"/>
          <w:highlight w:val="none"/>
        </w:rPr>
        <w:t>到使用功能等方面进行综合检查和分析评价，向发包人出具工程设计符合性评价意</w:t>
      </w:r>
      <w:r>
        <w:rPr>
          <w:rFonts w:hint="eastAsia" w:ascii="宋体" w:hAnsi="宋体" w:eastAsia="宋体" w:cs="宋体"/>
          <w:color w:val="auto"/>
          <w:spacing w:val="-12"/>
          <w:sz w:val="21"/>
          <w:szCs w:val="21"/>
          <w:highlight w:val="none"/>
        </w:rPr>
        <w:t>见。</w:t>
      </w:r>
    </w:p>
    <w:p w14:paraId="311D187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9.3.5  设计人应依法规范分包行为，</w:t>
      </w:r>
      <w:r>
        <w:rPr>
          <w:rFonts w:hint="eastAsia" w:ascii="宋体" w:hAnsi="宋体" w:eastAsia="宋体" w:cs="宋体"/>
          <w:color w:val="auto"/>
          <w:spacing w:val="-3"/>
          <w:sz w:val="21"/>
          <w:szCs w:val="21"/>
          <w:highlight w:val="none"/>
        </w:rPr>
        <w:t>并对承担的工程质量负总责，分包单位对分包合同范围内的工程质量负责。</w:t>
      </w:r>
    </w:p>
    <w:p w14:paraId="16925FD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9.4  勘察设计责任保险</w:t>
      </w:r>
    </w:p>
    <w:p w14:paraId="30AB91C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9.4.1  除专用合同条款另有约定外，</w:t>
      </w:r>
      <w:r>
        <w:rPr>
          <w:rFonts w:hint="eastAsia" w:ascii="宋体" w:hAnsi="宋体" w:eastAsia="宋体" w:cs="宋体"/>
          <w:color w:val="auto"/>
          <w:spacing w:val="-3"/>
          <w:sz w:val="21"/>
          <w:szCs w:val="21"/>
          <w:highlight w:val="none"/>
        </w:rPr>
        <w:t>设计人应具有发包人认可的、履行本合同所需要的工程勘察设计责任险，于合同签订后</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3"/>
          <w:sz w:val="21"/>
          <w:szCs w:val="21"/>
          <w:highlight w:val="none"/>
        </w:rPr>
        <w:t>28</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4"/>
          <w:sz w:val="21"/>
          <w:szCs w:val="21"/>
          <w:highlight w:val="none"/>
        </w:rPr>
        <w:t>天内向发包人提交工程勘察设计责任</w:t>
      </w:r>
      <w:r>
        <w:rPr>
          <w:rFonts w:hint="eastAsia" w:ascii="宋体" w:hAnsi="宋体" w:eastAsia="宋体" w:cs="宋体"/>
          <w:color w:val="auto"/>
          <w:spacing w:val="-2"/>
          <w:sz w:val="21"/>
          <w:szCs w:val="21"/>
          <w:highlight w:val="none"/>
        </w:rPr>
        <w:t>险的保险单副本或者其他有效证明，并在合同履行期间保持足额、有效。</w:t>
      </w:r>
    </w:p>
    <w:p w14:paraId="590C1B9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9.4.2  工程勘察设计责任险的保险范围，应</w:t>
      </w:r>
      <w:r>
        <w:rPr>
          <w:rFonts w:hint="eastAsia" w:ascii="宋体" w:hAnsi="宋体" w:eastAsia="宋体" w:cs="宋体"/>
          <w:color w:val="auto"/>
          <w:spacing w:val="-3"/>
          <w:sz w:val="21"/>
          <w:szCs w:val="21"/>
          <w:highlight w:val="none"/>
        </w:rPr>
        <w:t>当包括由于设计人的疏忽或过失而造</w:t>
      </w:r>
      <w:r>
        <w:rPr>
          <w:rFonts w:hint="eastAsia" w:ascii="宋体" w:hAnsi="宋体" w:eastAsia="宋体" w:cs="宋体"/>
          <w:color w:val="auto"/>
          <w:sz w:val="21"/>
          <w:szCs w:val="21"/>
          <w:highlight w:val="none"/>
        </w:rPr>
        <w:t>成的工程质量事故损失，以及由于事故引发的第三者人身伤亡、财产损失或费用赔</w:t>
      </w:r>
      <w:r>
        <w:rPr>
          <w:rFonts w:hint="eastAsia" w:ascii="宋体" w:hAnsi="宋体" w:eastAsia="宋体" w:cs="宋体"/>
          <w:color w:val="auto"/>
          <w:spacing w:val="-10"/>
          <w:sz w:val="21"/>
          <w:szCs w:val="21"/>
          <w:highlight w:val="none"/>
        </w:rPr>
        <w:t>偿等。</w:t>
      </w:r>
    </w:p>
    <w:p w14:paraId="6E6AB14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9.4.3  发生工程勘察设计保险事故后</w:t>
      </w:r>
      <w:r>
        <w:rPr>
          <w:rFonts w:hint="eastAsia" w:ascii="宋体" w:hAnsi="宋体" w:eastAsia="宋体" w:cs="宋体"/>
          <w:color w:val="auto"/>
          <w:spacing w:val="-3"/>
          <w:sz w:val="21"/>
          <w:szCs w:val="21"/>
          <w:highlight w:val="none"/>
        </w:rPr>
        <w:t>，设计人应按保险人要求进行报告，并负责</w:t>
      </w:r>
      <w:r>
        <w:rPr>
          <w:rFonts w:hint="eastAsia" w:ascii="宋体" w:hAnsi="宋体" w:eastAsia="宋体" w:cs="宋体"/>
          <w:color w:val="auto"/>
          <w:spacing w:val="-2"/>
          <w:sz w:val="21"/>
          <w:szCs w:val="21"/>
          <w:highlight w:val="none"/>
        </w:rPr>
        <w:t>办理保险理赔业务；保险金不足以补偿损失的，由设计人自行补偿。</w:t>
      </w:r>
    </w:p>
    <w:p w14:paraId="677D5DC1">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10.  招标和施工期间配合</w:t>
      </w:r>
    </w:p>
    <w:p w14:paraId="1F5AC37C">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10.1  招标期间配合</w:t>
      </w:r>
    </w:p>
    <w:p w14:paraId="541FCE4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10.1.1  招标配合指设计人配合发包人进行各项招标工作。</w:t>
      </w:r>
    </w:p>
    <w:p w14:paraId="7B3FF4D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10.1.2  招标人应按发包人规定的时间提供各标段施工招标资格预审所需的工程</w:t>
      </w:r>
      <w:r>
        <w:rPr>
          <w:rFonts w:hint="eastAsia" w:ascii="宋体" w:hAnsi="宋体" w:eastAsia="宋体" w:cs="宋体"/>
          <w:color w:val="auto"/>
          <w:spacing w:val="1"/>
          <w:sz w:val="21"/>
          <w:szCs w:val="21"/>
          <w:highlight w:val="none"/>
        </w:rPr>
        <w:t>数量和工程说明；按发包人规定的时间提供各</w:t>
      </w:r>
      <w:r>
        <w:rPr>
          <w:rFonts w:hint="eastAsia" w:ascii="宋体" w:hAnsi="宋体" w:eastAsia="宋体" w:cs="宋体"/>
          <w:color w:val="auto"/>
          <w:sz w:val="21"/>
          <w:szCs w:val="21"/>
          <w:highlight w:val="none"/>
        </w:rPr>
        <w:t>标段的施工招标图纸、工程量清单和</w:t>
      </w:r>
      <w:r>
        <w:rPr>
          <w:rFonts w:hint="eastAsia" w:ascii="宋体" w:hAnsi="宋体" w:eastAsia="宋体" w:cs="宋体"/>
          <w:color w:val="auto"/>
          <w:spacing w:val="-1"/>
          <w:sz w:val="21"/>
          <w:szCs w:val="21"/>
          <w:highlight w:val="none"/>
        </w:rPr>
        <w:t>参考资料；按发包人要求安排相关人员参加标前会，就</w:t>
      </w:r>
      <w:r>
        <w:rPr>
          <w:rFonts w:hint="eastAsia" w:ascii="宋体" w:hAnsi="宋体" w:eastAsia="宋体" w:cs="宋体"/>
          <w:color w:val="auto"/>
          <w:spacing w:val="-2"/>
          <w:sz w:val="21"/>
          <w:szCs w:val="21"/>
          <w:highlight w:val="none"/>
        </w:rPr>
        <w:t>有关设计问题进行答疑。</w:t>
      </w:r>
    </w:p>
    <w:p w14:paraId="78667FC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10.2  施工期间配合</w:t>
      </w:r>
    </w:p>
    <w:p w14:paraId="4D990E8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10.2.1  施工配合指设计人配合施工承包人，在施工期间提供的补充勘察、设计</w:t>
      </w:r>
      <w:r>
        <w:rPr>
          <w:rFonts w:hint="eastAsia" w:ascii="宋体" w:hAnsi="宋体" w:eastAsia="宋体" w:cs="宋体"/>
          <w:color w:val="auto"/>
          <w:spacing w:val="-2"/>
          <w:sz w:val="21"/>
          <w:szCs w:val="21"/>
          <w:highlight w:val="none"/>
        </w:rPr>
        <w:t>服务或其他配合工作，直至工程通过竣工验收为止。</w:t>
      </w:r>
    </w:p>
    <w:p w14:paraId="2F68FA7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10.2.2  除专用合同条款另有约定外，发包人应为设计人派赴施工现场的工作人员，在施工期间提供办公房间、办公桌椅、互联网接口、冷暖设施、生活设施、进</w:t>
      </w:r>
      <w:r>
        <w:rPr>
          <w:rFonts w:hint="eastAsia" w:ascii="宋体" w:hAnsi="宋体" w:eastAsia="宋体" w:cs="宋体"/>
          <w:color w:val="auto"/>
          <w:spacing w:val="-4"/>
          <w:sz w:val="21"/>
          <w:szCs w:val="21"/>
          <w:highlight w:val="none"/>
        </w:rPr>
        <w:t>出现场交通服务和其他便利条件。</w:t>
      </w:r>
    </w:p>
    <w:p w14:paraId="694C3C8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10.2.3  设计人应在本工程的施工期间，积极提供勘察设计配合服务，包括</w:t>
      </w:r>
      <w:r>
        <w:rPr>
          <w:rFonts w:hint="eastAsia" w:ascii="宋体" w:hAnsi="宋体" w:eastAsia="宋体" w:cs="宋体"/>
          <w:color w:val="auto"/>
          <w:sz w:val="21"/>
          <w:szCs w:val="21"/>
          <w:highlight w:val="none"/>
          <w:lang w:val="en-US" w:eastAsia="zh-CN"/>
        </w:rPr>
        <w:t>但</w:t>
      </w:r>
      <w:r>
        <w:rPr>
          <w:rFonts w:hint="eastAsia" w:ascii="宋体" w:hAnsi="宋体" w:eastAsia="宋体" w:cs="宋体"/>
          <w:color w:val="auto"/>
          <w:sz w:val="21"/>
          <w:szCs w:val="21"/>
          <w:highlight w:val="none"/>
        </w:rPr>
        <w:t>不限于设计技术交底、施工现场服务、参与施工过程验收、参与工程交工验收、参与</w:t>
      </w:r>
      <w:r>
        <w:rPr>
          <w:rFonts w:hint="eastAsia" w:ascii="宋体" w:hAnsi="宋体" w:eastAsia="宋体" w:cs="宋体"/>
          <w:color w:val="auto"/>
          <w:spacing w:val="-5"/>
          <w:sz w:val="21"/>
          <w:szCs w:val="21"/>
          <w:highlight w:val="none"/>
        </w:rPr>
        <w:t>工程竣工验收等工作。</w:t>
      </w:r>
    </w:p>
    <w:p w14:paraId="7C80236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10.2.4  发包人应当组织设计技术交底会，由设计人向发包人、监理人和施工承</w:t>
      </w:r>
      <w:r>
        <w:rPr>
          <w:rFonts w:hint="eastAsia" w:ascii="宋体" w:hAnsi="宋体" w:eastAsia="宋体" w:cs="宋体"/>
          <w:color w:val="auto"/>
          <w:spacing w:val="1"/>
          <w:sz w:val="21"/>
          <w:szCs w:val="21"/>
          <w:highlight w:val="none"/>
        </w:rPr>
        <w:t>包人等进行设计交底，对本工程的设计意图、设计</w:t>
      </w:r>
      <w:r>
        <w:rPr>
          <w:rFonts w:hint="eastAsia" w:ascii="宋体" w:hAnsi="宋体" w:eastAsia="宋体" w:cs="宋体"/>
          <w:color w:val="auto"/>
          <w:sz w:val="21"/>
          <w:szCs w:val="21"/>
          <w:highlight w:val="none"/>
        </w:rPr>
        <w:t>文件和施工要求等进行系统的说</w:t>
      </w:r>
      <w:r>
        <w:rPr>
          <w:rFonts w:hint="eastAsia" w:ascii="宋体" w:hAnsi="宋体" w:eastAsia="宋体" w:cs="宋体"/>
          <w:color w:val="auto"/>
          <w:spacing w:val="-8"/>
          <w:sz w:val="21"/>
          <w:szCs w:val="21"/>
          <w:highlight w:val="none"/>
        </w:rPr>
        <w:t>明和解释。</w:t>
      </w:r>
    </w:p>
    <w:p w14:paraId="6309258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10.2.5  工程施工完毕后，发包人应当按有关规定组织工程交工验收和工程竣工</w:t>
      </w:r>
      <w:r>
        <w:rPr>
          <w:rFonts w:hint="eastAsia" w:ascii="宋体" w:hAnsi="宋体" w:eastAsia="宋体" w:cs="宋体"/>
          <w:color w:val="auto"/>
          <w:spacing w:val="1"/>
          <w:sz w:val="21"/>
          <w:szCs w:val="21"/>
          <w:highlight w:val="none"/>
        </w:rPr>
        <w:t>验收，设计人参加验收并出具本单位的验收结论</w:t>
      </w:r>
      <w:r>
        <w:rPr>
          <w:rFonts w:hint="eastAsia" w:ascii="宋体" w:hAnsi="宋体" w:eastAsia="宋体" w:cs="宋体"/>
          <w:color w:val="auto"/>
          <w:sz w:val="21"/>
          <w:szCs w:val="21"/>
          <w:highlight w:val="none"/>
        </w:rPr>
        <w:t>。如因勘察设计原因致使工程不合格的，设计人应当承担违约责任，免费修改勘察设计文件和赔偿发包人由此产生的</w:t>
      </w:r>
      <w:r>
        <w:rPr>
          <w:rFonts w:hint="eastAsia" w:ascii="宋体" w:hAnsi="宋体" w:eastAsia="宋体" w:cs="宋体"/>
          <w:color w:val="auto"/>
          <w:spacing w:val="-7"/>
          <w:sz w:val="21"/>
          <w:szCs w:val="21"/>
          <w:highlight w:val="none"/>
        </w:rPr>
        <w:t>经济损失。</w:t>
      </w:r>
    </w:p>
    <w:p w14:paraId="67C047F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10.2.6  设计人应在施工现场设立代表处或派驻经验丰富的设计代表常驻施工现</w:t>
      </w:r>
      <w:r>
        <w:rPr>
          <w:rFonts w:hint="eastAsia" w:ascii="宋体" w:hAnsi="宋体" w:eastAsia="宋体" w:cs="宋体"/>
          <w:color w:val="auto"/>
          <w:spacing w:val="-2"/>
          <w:sz w:val="21"/>
          <w:szCs w:val="21"/>
          <w:highlight w:val="none"/>
        </w:rPr>
        <w:t>场，做好施工现场服务，并负责解决施工过程中出现的</w:t>
      </w:r>
      <w:r>
        <w:rPr>
          <w:rFonts w:hint="eastAsia" w:ascii="宋体" w:hAnsi="宋体" w:eastAsia="宋体" w:cs="宋体"/>
          <w:color w:val="auto"/>
          <w:spacing w:val="-3"/>
          <w:sz w:val="21"/>
          <w:szCs w:val="21"/>
          <w:highlight w:val="none"/>
        </w:rPr>
        <w:t>设计问题：</w:t>
      </w:r>
    </w:p>
    <w:p w14:paraId="7F3199B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（1）开工前在发包人指定的时间内，做好设计文件的技术交底工作和现场控制</w:t>
      </w:r>
      <w:r>
        <w:rPr>
          <w:rFonts w:hint="eastAsia" w:ascii="宋体" w:hAnsi="宋体" w:eastAsia="宋体" w:cs="宋体"/>
          <w:color w:val="auto"/>
          <w:spacing w:val="-16"/>
          <w:sz w:val="21"/>
          <w:szCs w:val="21"/>
          <w:highlight w:val="none"/>
        </w:rPr>
        <w:t>点的交接工作（交桩</w:t>
      </w:r>
      <w:r>
        <w:rPr>
          <w:rFonts w:hint="eastAsia" w:ascii="宋体" w:hAnsi="宋体" w:eastAsia="宋体" w:cs="宋体"/>
          <w:color w:val="auto"/>
          <w:spacing w:val="-8"/>
          <w:sz w:val="21"/>
          <w:szCs w:val="21"/>
          <w:highlight w:val="none"/>
        </w:rPr>
        <w:t>）；</w:t>
      </w:r>
    </w:p>
    <w:p w14:paraId="2131AB9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（2）在发包人规定的时间内</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4"/>
          <w:sz w:val="21"/>
          <w:szCs w:val="21"/>
          <w:highlight w:val="none"/>
        </w:rPr>
        <w:t>，及时处理与解决施工中与设计有关的问题；</w:t>
      </w:r>
    </w:p>
    <w:p w14:paraId="37D64BC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88" w:firstLineChars="200"/>
        <w:jc w:val="both"/>
        <w:textAlignment w:val="baseline"/>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（3）在发包人规定的时间内，积极配合发包人对施工及设计方案进行优化设计；</w:t>
      </w:r>
    </w:p>
    <w:p w14:paraId="6A3F1F2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（4）参与工程质量事故分析，并对因设计造成的质量事故</w:t>
      </w:r>
      <w:r>
        <w:rPr>
          <w:rFonts w:hint="eastAsia" w:ascii="宋体" w:hAnsi="宋体" w:eastAsia="宋体" w:cs="宋体"/>
          <w:color w:val="auto"/>
          <w:spacing w:val="-4"/>
          <w:sz w:val="21"/>
          <w:szCs w:val="21"/>
          <w:highlight w:val="none"/>
        </w:rPr>
        <w:t>，提出相应的技术处</w:t>
      </w:r>
      <w:r>
        <w:rPr>
          <w:rFonts w:hint="eastAsia" w:ascii="宋体" w:hAnsi="宋体" w:eastAsia="宋体" w:cs="宋体"/>
          <w:color w:val="auto"/>
          <w:spacing w:val="-13"/>
          <w:sz w:val="21"/>
          <w:szCs w:val="21"/>
          <w:highlight w:val="none"/>
        </w:rPr>
        <w:t>理方案；</w:t>
      </w:r>
    </w:p>
    <w:p w14:paraId="6B75A84C">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（5）参加本工程的交工、竣工验收， 提交设计工作报告，并配合质量监督部门</w:t>
      </w:r>
      <w:r>
        <w:rPr>
          <w:rFonts w:hint="eastAsia" w:ascii="宋体" w:hAnsi="宋体" w:eastAsia="宋体" w:cs="宋体"/>
          <w:color w:val="auto"/>
          <w:spacing w:val="-3"/>
          <w:sz w:val="21"/>
          <w:szCs w:val="21"/>
          <w:highlight w:val="none"/>
        </w:rPr>
        <w:t>校核工程是否按施工图设计施工。</w:t>
      </w:r>
    </w:p>
    <w:p w14:paraId="2FA1258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发包人对设计代表的数量和资历条件有特定要求的，在专用合同条款中约定。</w:t>
      </w:r>
      <w:r>
        <w:rPr>
          <w:rFonts w:hint="eastAsia" w:ascii="宋体" w:hAnsi="宋体" w:eastAsia="宋体" w:cs="宋体"/>
          <w:color w:val="auto"/>
          <w:spacing w:val="-2"/>
          <w:sz w:val="21"/>
          <w:szCs w:val="21"/>
          <w:highlight w:val="none"/>
        </w:rPr>
        <w:t>设计人应按发包人提出的要求派驻设计代表，否则按违约处理。</w:t>
      </w:r>
    </w:p>
    <w:p w14:paraId="60660D1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若发包人在工作中发现设计代表不称职或有违法行为时，有权提出更换，设计</w:t>
      </w:r>
      <w:r>
        <w:rPr>
          <w:rFonts w:hint="eastAsia" w:ascii="宋体" w:hAnsi="宋体" w:eastAsia="宋体" w:cs="宋体"/>
          <w:color w:val="auto"/>
          <w:spacing w:val="-2"/>
          <w:sz w:val="21"/>
          <w:szCs w:val="21"/>
          <w:highlight w:val="none"/>
        </w:rPr>
        <w:t>人应在发包人提出更换通知的</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2"/>
          <w:sz w:val="21"/>
          <w:szCs w:val="21"/>
          <w:highlight w:val="none"/>
        </w:rPr>
        <w:t>7 天内完成更换工作并使发包人满意。</w:t>
      </w:r>
    </w:p>
    <w:p w14:paraId="35BCB44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10.2.7  本项目设计变更的勘察设计由设计人承担，设计人应及时</w:t>
      </w:r>
      <w:r>
        <w:rPr>
          <w:rFonts w:hint="eastAsia" w:ascii="宋体" w:hAnsi="宋体" w:eastAsia="宋体" w:cs="宋体"/>
          <w:color w:val="auto"/>
          <w:spacing w:val="-5"/>
          <w:sz w:val="21"/>
          <w:szCs w:val="21"/>
          <w:highlight w:val="none"/>
        </w:rPr>
        <w:t>完成勘察设计，</w:t>
      </w:r>
      <w:r>
        <w:rPr>
          <w:rFonts w:hint="eastAsia" w:ascii="宋体" w:hAnsi="宋体" w:eastAsia="宋体" w:cs="宋体"/>
          <w:color w:val="auto"/>
          <w:spacing w:val="-3"/>
          <w:sz w:val="21"/>
          <w:szCs w:val="21"/>
          <w:highlight w:val="none"/>
        </w:rPr>
        <w:t>提交设计变更文件，并对设计变更文件承担相应责任。除本合同第</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4"/>
          <w:sz w:val="21"/>
          <w:szCs w:val="21"/>
          <w:highlight w:val="none"/>
        </w:rPr>
        <w:t>1 条规定之外的</w:t>
      </w:r>
      <w:r>
        <w:rPr>
          <w:rFonts w:hint="eastAsia" w:ascii="宋体" w:hAnsi="宋体" w:eastAsia="宋体" w:cs="宋体"/>
          <w:color w:val="auto"/>
          <w:spacing w:val="1"/>
          <w:sz w:val="21"/>
          <w:szCs w:val="21"/>
          <w:highlight w:val="none"/>
        </w:rPr>
        <w:t>设计变更，其勘察设计费用应视为已含入合同价</w:t>
      </w:r>
      <w:r>
        <w:rPr>
          <w:rFonts w:hint="eastAsia" w:ascii="宋体" w:hAnsi="宋体" w:eastAsia="宋体" w:cs="宋体"/>
          <w:color w:val="auto"/>
          <w:sz w:val="21"/>
          <w:szCs w:val="21"/>
          <w:highlight w:val="none"/>
        </w:rPr>
        <w:t>格中，发包人不再另行支付。所有</w:t>
      </w:r>
      <w:r>
        <w:rPr>
          <w:rFonts w:hint="eastAsia" w:ascii="宋体" w:hAnsi="宋体" w:eastAsia="宋体" w:cs="宋体"/>
          <w:color w:val="auto"/>
          <w:spacing w:val="-2"/>
          <w:sz w:val="21"/>
          <w:szCs w:val="21"/>
          <w:highlight w:val="none"/>
        </w:rPr>
        <w:t>设计变更必须提供预算金额并由设计代表签字确认。</w:t>
      </w:r>
    </w:p>
    <w:p w14:paraId="50D1C71F">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11.  合同变更</w:t>
      </w:r>
    </w:p>
    <w:p w14:paraId="670BE5E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11.1  变更情形</w:t>
      </w:r>
    </w:p>
    <w:p w14:paraId="045E1EE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11.1.1  合同履行中发生下述情形时，合同一方均可向对方提出变更请求，经双</w:t>
      </w:r>
      <w:r>
        <w:rPr>
          <w:rFonts w:hint="eastAsia" w:ascii="宋体" w:hAnsi="宋体" w:eastAsia="宋体" w:cs="宋体"/>
          <w:color w:val="auto"/>
          <w:spacing w:val="1"/>
          <w:sz w:val="21"/>
          <w:szCs w:val="21"/>
          <w:highlight w:val="none"/>
        </w:rPr>
        <w:t>方协商一致后进行变更，勘察设计服务期限</w:t>
      </w:r>
      <w:r>
        <w:rPr>
          <w:rFonts w:hint="eastAsia" w:ascii="宋体" w:hAnsi="宋体" w:eastAsia="宋体" w:cs="宋体"/>
          <w:color w:val="auto"/>
          <w:sz w:val="21"/>
          <w:szCs w:val="21"/>
          <w:highlight w:val="none"/>
        </w:rPr>
        <w:t>和勘察设计费用的调整方法在专用合同</w:t>
      </w:r>
      <w:r>
        <w:rPr>
          <w:rFonts w:hint="eastAsia" w:ascii="宋体" w:hAnsi="宋体" w:eastAsia="宋体" w:cs="宋体"/>
          <w:color w:val="auto"/>
          <w:spacing w:val="-7"/>
          <w:sz w:val="21"/>
          <w:szCs w:val="21"/>
          <w:highlight w:val="none"/>
        </w:rPr>
        <w:t>条款中约定。</w:t>
      </w:r>
    </w:p>
    <w:p w14:paraId="0D1E5B6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（1）勘察设计范围发生变化；</w:t>
      </w:r>
    </w:p>
    <w:p w14:paraId="2036733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（2）除不可抗力外，非设计人的原因引起的周期延误；</w:t>
      </w:r>
    </w:p>
    <w:p w14:paraId="58E20129">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（3）非设计人的原因，对工程同一部分重复进行勘察设计；</w:t>
      </w:r>
    </w:p>
    <w:p w14:paraId="19A48DF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（4）非设计人的原因，对工程暂停勘察设计及恢复勘察设计。</w:t>
      </w:r>
    </w:p>
    <w:p w14:paraId="1E4EF88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11.1.2  基准日后，因颁布新的或修订原有法律、法规、规范和标准等引发合同</w:t>
      </w:r>
      <w:r>
        <w:rPr>
          <w:rFonts w:hint="eastAsia" w:ascii="宋体" w:hAnsi="宋体" w:eastAsia="宋体" w:cs="宋体"/>
          <w:color w:val="auto"/>
          <w:spacing w:val="-3"/>
          <w:sz w:val="21"/>
          <w:szCs w:val="21"/>
          <w:highlight w:val="none"/>
        </w:rPr>
        <w:t>变更情形的，按照上述约定进行调整。</w:t>
      </w:r>
    </w:p>
    <w:p w14:paraId="2973E5C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6"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11.2  合理化建议</w:t>
      </w:r>
    </w:p>
    <w:p w14:paraId="74F26E8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11.2.1  合同履行中，设计人可对发包人要求提出合理化建议。合理化建议应以</w:t>
      </w:r>
      <w:r>
        <w:rPr>
          <w:rFonts w:hint="eastAsia" w:ascii="宋体" w:hAnsi="宋体" w:eastAsia="宋体" w:cs="宋体"/>
          <w:color w:val="auto"/>
          <w:spacing w:val="-2"/>
          <w:sz w:val="21"/>
          <w:szCs w:val="21"/>
          <w:highlight w:val="none"/>
        </w:rPr>
        <w:t>书面形式提交发包人，被发包人采纳并构成变更的，执行第</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
          <w:sz w:val="21"/>
          <w:szCs w:val="21"/>
          <w:highlight w:val="none"/>
        </w:rPr>
        <w:t>11</w:t>
      </w:r>
      <w:r>
        <w:rPr>
          <w:rFonts w:hint="eastAsia" w:ascii="宋体" w:hAnsi="宋体" w:eastAsia="宋体" w:cs="宋体"/>
          <w:color w:val="auto"/>
          <w:spacing w:val="-3"/>
          <w:sz w:val="21"/>
          <w:szCs w:val="21"/>
          <w:highlight w:val="none"/>
        </w:rPr>
        <w:t>.1 款约定。</w:t>
      </w:r>
    </w:p>
    <w:p w14:paraId="4E0EF202">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pacing w:val="-2"/>
          <w:sz w:val="21"/>
          <w:szCs w:val="21"/>
          <w:highlight w:val="none"/>
        </w:rPr>
      </w:pPr>
      <w:r>
        <w:rPr>
          <w:rFonts w:hint="eastAsia" w:ascii="宋体" w:hAnsi="宋体" w:eastAsia="宋体" w:cs="宋体"/>
          <w:color w:val="auto"/>
          <w:sz w:val="21"/>
          <w:szCs w:val="21"/>
          <w:highlight w:val="none"/>
        </w:rPr>
        <w:t>11.2.2  设计人提出的合理化建议降低了工程投资、缩短了施工期限或者提高了</w:t>
      </w:r>
      <w:r>
        <w:rPr>
          <w:rFonts w:hint="eastAsia" w:ascii="宋体" w:hAnsi="宋体" w:eastAsia="宋体" w:cs="宋体"/>
          <w:color w:val="auto"/>
          <w:spacing w:val="-2"/>
          <w:sz w:val="21"/>
          <w:szCs w:val="21"/>
          <w:highlight w:val="none"/>
        </w:rPr>
        <w:t>工程经济效益的，发包人应按专用合同条款中的约定给予奖励。</w:t>
      </w:r>
    </w:p>
    <w:p w14:paraId="34E48DC3">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12.  合同价格与支付</w:t>
      </w:r>
    </w:p>
    <w:p w14:paraId="07EA98A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12.1  合同价格</w:t>
      </w:r>
    </w:p>
    <w:p w14:paraId="7172EC5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  本合同的报价方式、价格调整方式和风险范围划分，在专用合同条款中</w:t>
      </w:r>
      <w:r>
        <w:rPr>
          <w:rFonts w:hint="eastAsia" w:ascii="宋体" w:hAnsi="宋体" w:eastAsia="宋体" w:cs="宋体"/>
          <w:color w:val="auto"/>
          <w:spacing w:val="-12"/>
          <w:sz w:val="21"/>
          <w:szCs w:val="21"/>
          <w:highlight w:val="none"/>
        </w:rPr>
        <w:t>约定。</w:t>
      </w:r>
    </w:p>
    <w:p w14:paraId="5EFBC1F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12.1.2  勘察设计费用实行发包人签证制度，即设计人完成勘察设计项目后通知发包人进行验收，通过验收后由发包人代表对实施的勘察设计项目、数量、质量和</w:t>
      </w:r>
      <w:r>
        <w:rPr>
          <w:rFonts w:hint="eastAsia" w:ascii="宋体" w:hAnsi="宋体" w:eastAsia="宋体" w:cs="宋体"/>
          <w:color w:val="auto"/>
          <w:spacing w:val="-1"/>
          <w:sz w:val="21"/>
          <w:szCs w:val="21"/>
          <w:highlight w:val="none"/>
        </w:rPr>
        <w:t>实施时间签字确认，以此作为计算勘察设计费用的依据之一。</w:t>
      </w:r>
    </w:p>
    <w:p w14:paraId="7BFAAC7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12.1.3  除专用合同条款另有约定外，合同价格应当包括收集资料，踏勘现场，</w:t>
      </w:r>
      <w:r>
        <w:rPr>
          <w:rFonts w:hint="eastAsia" w:ascii="宋体" w:hAnsi="宋体" w:eastAsia="宋体" w:cs="宋体"/>
          <w:color w:val="auto"/>
          <w:spacing w:val="1"/>
          <w:sz w:val="21"/>
          <w:szCs w:val="21"/>
          <w:highlight w:val="none"/>
        </w:rPr>
        <w:t>制订纲要，进行测绘、勘探、取样、试验、测</w:t>
      </w:r>
      <w:r>
        <w:rPr>
          <w:rFonts w:hint="eastAsia" w:ascii="宋体" w:hAnsi="宋体" w:eastAsia="宋体" w:cs="宋体"/>
          <w:color w:val="auto"/>
          <w:sz w:val="21"/>
          <w:szCs w:val="21"/>
          <w:highlight w:val="none"/>
        </w:rPr>
        <w:t>试、分析、设计、评估、审查等，编制勘察设计文件，招标与施工配合等全部费用</w:t>
      </w:r>
      <w:r>
        <w:rPr>
          <w:rFonts w:hint="eastAsia" w:ascii="宋体" w:hAnsi="宋体" w:eastAsia="宋体" w:cs="宋体"/>
          <w:color w:val="auto"/>
          <w:spacing w:val="-1"/>
          <w:sz w:val="21"/>
          <w:szCs w:val="21"/>
          <w:highlight w:val="none"/>
        </w:rPr>
        <w:t>和国家规定的各项税费。</w:t>
      </w:r>
    </w:p>
    <w:p w14:paraId="3E46257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12.1.4  发包人要求设计人进行外出考察、试验</w:t>
      </w:r>
      <w:r>
        <w:rPr>
          <w:rFonts w:hint="eastAsia" w:ascii="宋体" w:hAnsi="宋体" w:eastAsia="宋体" w:cs="宋体"/>
          <w:color w:val="auto"/>
          <w:spacing w:val="-2"/>
          <w:sz w:val="21"/>
          <w:szCs w:val="21"/>
          <w:highlight w:val="none"/>
        </w:rPr>
        <w:t>检测、专项咨询或专家评审时，相应费用不含在合同价格之中，由发包人另行支付。</w:t>
      </w:r>
    </w:p>
    <w:p w14:paraId="33EBAB8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12.1.5  设计人为联合体的，发包人应根据勘察设计工作进展向联合体牵头人支付勘察设计费用，由联合体牵头人根据联合体各成员及分包人（如有）实际完成的</w:t>
      </w:r>
      <w:r>
        <w:rPr>
          <w:rFonts w:hint="eastAsia" w:ascii="宋体" w:hAnsi="宋体" w:eastAsia="宋体" w:cs="宋体"/>
          <w:color w:val="auto"/>
          <w:spacing w:val="1"/>
          <w:sz w:val="21"/>
          <w:szCs w:val="21"/>
          <w:highlight w:val="none"/>
        </w:rPr>
        <w:t>工作量及完成质量，向联合体各成员及分包人支</w:t>
      </w:r>
      <w:r>
        <w:rPr>
          <w:rFonts w:hint="eastAsia" w:ascii="宋体" w:hAnsi="宋体" w:eastAsia="宋体" w:cs="宋体"/>
          <w:color w:val="auto"/>
          <w:sz w:val="21"/>
          <w:szCs w:val="21"/>
          <w:highlight w:val="none"/>
        </w:rPr>
        <w:t>付合同价款，由此发生的税费等费</w:t>
      </w:r>
      <w:r>
        <w:rPr>
          <w:rFonts w:hint="eastAsia" w:ascii="宋体" w:hAnsi="宋体" w:eastAsia="宋体" w:cs="宋体"/>
          <w:color w:val="auto"/>
          <w:spacing w:val="1"/>
          <w:sz w:val="21"/>
          <w:szCs w:val="21"/>
          <w:highlight w:val="none"/>
        </w:rPr>
        <w:t>用统一包含在合同价格内，发包人不另行支付</w:t>
      </w:r>
      <w:r>
        <w:rPr>
          <w:rFonts w:hint="eastAsia" w:ascii="宋体" w:hAnsi="宋体" w:eastAsia="宋体" w:cs="宋体"/>
          <w:color w:val="auto"/>
          <w:sz w:val="21"/>
          <w:szCs w:val="21"/>
          <w:highlight w:val="none"/>
        </w:rPr>
        <w:t>。联合体牵头人提出书面申请时，发</w:t>
      </w:r>
      <w:r>
        <w:rPr>
          <w:rFonts w:hint="eastAsia" w:ascii="宋体" w:hAnsi="宋体" w:eastAsia="宋体" w:cs="宋体"/>
          <w:color w:val="auto"/>
          <w:spacing w:val="-3"/>
          <w:sz w:val="21"/>
          <w:szCs w:val="21"/>
          <w:highlight w:val="none"/>
        </w:rPr>
        <w:t>包人也可直接向联合体各成员支付合同价款。</w:t>
      </w:r>
    </w:p>
    <w:p w14:paraId="4D94104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12.1.6  发包人向设计人实际支付的勘察设计费，将不高于初步设计审批概算中</w:t>
      </w:r>
      <w:r>
        <w:rPr>
          <w:rFonts w:hint="eastAsia" w:ascii="宋体" w:hAnsi="宋体" w:eastAsia="宋体" w:cs="宋体"/>
          <w:color w:val="auto"/>
          <w:spacing w:val="1"/>
          <w:sz w:val="21"/>
          <w:szCs w:val="21"/>
          <w:highlight w:val="none"/>
        </w:rPr>
        <w:t>相应勘察设计费的审批额，除非勘察设计费</w:t>
      </w:r>
      <w:r>
        <w:rPr>
          <w:rFonts w:hint="eastAsia" w:ascii="宋体" w:hAnsi="宋体" w:eastAsia="宋体" w:cs="宋体"/>
          <w:color w:val="auto"/>
          <w:sz w:val="21"/>
          <w:szCs w:val="21"/>
          <w:highlight w:val="none"/>
        </w:rPr>
        <w:t>审批额依法予以调整。勘察设计费超出</w:t>
      </w:r>
      <w:r>
        <w:rPr>
          <w:rFonts w:hint="eastAsia" w:ascii="宋体" w:hAnsi="宋体" w:eastAsia="宋体" w:cs="宋体"/>
          <w:color w:val="auto"/>
          <w:spacing w:val="-7"/>
          <w:sz w:val="21"/>
          <w:szCs w:val="21"/>
          <w:highlight w:val="none"/>
        </w:rPr>
        <w:t>审批额部分发包人将予以扣除，合同价格相应变更，不足部分发包人将不另行支付。</w:t>
      </w:r>
    </w:p>
    <w:p w14:paraId="0B08C8F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2"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12.2</w:t>
      </w:r>
      <w:r>
        <w:rPr>
          <w:rFonts w:hint="eastAsia" w:ascii="宋体" w:hAnsi="宋体" w:eastAsia="宋体" w:cs="宋体"/>
          <w:b/>
          <w:bCs/>
          <w:color w:val="auto"/>
          <w:spacing w:val="6"/>
          <w:sz w:val="21"/>
          <w:szCs w:val="21"/>
          <w:highlight w:val="none"/>
        </w:rPr>
        <w:t xml:space="preserve">  </w:t>
      </w:r>
      <w:r>
        <w:rPr>
          <w:rFonts w:hint="eastAsia" w:ascii="宋体" w:hAnsi="宋体" w:eastAsia="宋体" w:cs="宋体"/>
          <w:b/>
          <w:bCs/>
          <w:color w:val="auto"/>
          <w:spacing w:val="-5"/>
          <w:sz w:val="21"/>
          <w:szCs w:val="21"/>
          <w:highlight w:val="none"/>
        </w:rPr>
        <w:t>预付款</w:t>
      </w:r>
    </w:p>
    <w:p w14:paraId="47E1936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12.2.1  预付款应专用于本工程的勘察设计。预付款的额度、支付方式在专用合</w:t>
      </w:r>
      <w:r>
        <w:rPr>
          <w:rFonts w:hint="eastAsia" w:ascii="宋体" w:hAnsi="宋体" w:eastAsia="宋体" w:cs="宋体"/>
          <w:color w:val="auto"/>
          <w:spacing w:val="1"/>
          <w:sz w:val="21"/>
          <w:szCs w:val="21"/>
          <w:highlight w:val="none"/>
        </w:rPr>
        <w:t>同条款中约定。设计人无须向发包人提交预付款保</w:t>
      </w:r>
      <w:r>
        <w:rPr>
          <w:rFonts w:hint="eastAsia" w:ascii="宋体" w:hAnsi="宋体" w:eastAsia="宋体" w:cs="宋体"/>
          <w:color w:val="auto"/>
          <w:sz w:val="21"/>
          <w:szCs w:val="21"/>
          <w:highlight w:val="none"/>
        </w:rPr>
        <w:t>函，但设计人提交的履约保证金</w:t>
      </w:r>
      <w:r>
        <w:rPr>
          <w:rFonts w:hint="eastAsia" w:ascii="宋体" w:hAnsi="宋体" w:eastAsia="宋体" w:cs="宋体"/>
          <w:color w:val="auto"/>
          <w:spacing w:val="-3"/>
          <w:sz w:val="21"/>
          <w:szCs w:val="21"/>
          <w:highlight w:val="none"/>
        </w:rPr>
        <w:t>对预付款的正常使用承担保证责任。</w:t>
      </w:r>
    </w:p>
    <w:p w14:paraId="3139C8A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12.2.2  发包人应在收到预付款支付申请后28 天</w:t>
      </w:r>
      <w:r>
        <w:rPr>
          <w:rFonts w:hint="eastAsia" w:ascii="宋体" w:hAnsi="宋体" w:eastAsia="宋体" w:cs="宋体"/>
          <w:color w:val="auto"/>
          <w:spacing w:val="-2"/>
          <w:sz w:val="21"/>
          <w:szCs w:val="21"/>
          <w:highlight w:val="none"/>
        </w:rPr>
        <w:t>内，将预付款支付给设计人；设计人应当提供等额的增值税专用发票。</w:t>
      </w:r>
    </w:p>
    <w:p w14:paraId="522AD82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4"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7"/>
          <w:sz w:val="21"/>
          <w:szCs w:val="21"/>
          <w:highlight w:val="none"/>
        </w:rPr>
        <w:t>12.3</w:t>
      </w:r>
      <w:r>
        <w:rPr>
          <w:rFonts w:hint="eastAsia" w:ascii="宋体" w:hAnsi="宋体" w:eastAsia="宋体" w:cs="宋体"/>
          <w:b/>
          <w:bCs/>
          <w:color w:val="auto"/>
          <w:spacing w:val="16"/>
          <w:w w:val="101"/>
          <w:sz w:val="21"/>
          <w:szCs w:val="21"/>
          <w:highlight w:val="none"/>
        </w:rPr>
        <w:t xml:space="preserve">  </w:t>
      </w:r>
      <w:r>
        <w:rPr>
          <w:rFonts w:hint="eastAsia" w:ascii="宋体" w:hAnsi="宋体" w:eastAsia="宋体" w:cs="宋体"/>
          <w:b/>
          <w:bCs/>
          <w:color w:val="auto"/>
          <w:spacing w:val="-7"/>
          <w:sz w:val="21"/>
          <w:szCs w:val="21"/>
          <w:highlight w:val="none"/>
        </w:rPr>
        <w:t>中期支付</w:t>
      </w:r>
    </w:p>
    <w:p w14:paraId="17337F09">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  设计人应按发包人批准或专用合同条款约定的格式及份数，向发包人提</w:t>
      </w:r>
      <w:r>
        <w:rPr>
          <w:rFonts w:hint="eastAsia" w:ascii="宋体" w:hAnsi="宋体" w:eastAsia="宋体" w:cs="宋体"/>
          <w:color w:val="auto"/>
          <w:spacing w:val="-3"/>
          <w:sz w:val="21"/>
          <w:szCs w:val="21"/>
          <w:highlight w:val="none"/>
        </w:rPr>
        <w:t>交中期支付申请，并附相应的支持性证明文件。</w:t>
      </w:r>
    </w:p>
    <w:p w14:paraId="34BD6BD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12.3.2  发包人应在收到中期支付申请后的</w:t>
      </w:r>
      <w:r>
        <w:rPr>
          <w:rFonts w:hint="eastAsia" w:ascii="宋体" w:hAnsi="宋体" w:eastAsia="宋体" w:cs="宋体"/>
          <w:color w:val="auto"/>
          <w:spacing w:val="-22"/>
          <w:sz w:val="21"/>
          <w:szCs w:val="21"/>
          <w:highlight w:val="none"/>
        </w:rPr>
        <w:t xml:space="preserve"> </w:t>
      </w:r>
      <w:r>
        <w:rPr>
          <w:rFonts w:hint="eastAsia" w:ascii="宋体" w:hAnsi="宋体" w:eastAsia="宋体" w:cs="宋体"/>
          <w:color w:val="auto"/>
          <w:spacing w:val="-3"/>
          <w:sz w:val="21"/>
          <w:szCs w:val="21"/>
          <w:highlight w:val="none"/>
        </w:rPr>
        <w:t>28</w:t>
      </w:r>
      <w:r>
        <w:rPr>
          <w:rFonts w:hint="eastAsia" w:ascii="宋体" w:hAnsi="宋体" w:eastAsia="宋体" w:cs="宋体"/>
          <w:color w:val="auto"/>
          <w:spacing w:val="33"/>
          <w:w w:val="101"/>
          <w:sz w:val="21"/>
          <w:szCs w:val="21"/>
          <w:highlight w:val="none"/>
        </w:rPr>
        <w:t xml:space="preserve"> </w:t>
      </w:r>
      <w:r>
        <w:rPr>
          <w:rFonts w:hint="eastAsia" w:ascii="宋体" w:hAnsi="宋体" w:eastAsia="宋体" w:cs="宋体"/>
          <w:color w:val="auto"/>
          <w:spacing w:val="-3"/>
          <w:sz w:val="21"/>
          <w:szCs w:val="21"/>
          <w:highlight w:val="none"/>
        </w:rPr>
        <w:t>天内，将应付款项支付给设计人；</w:t>
      </w:r>
      <w:r>
        <w:rPr>
          <w:rFonts w:hint="eastAsia" w:ascii="宋体" w:hAnsi="宋体" w:eastAsia="宋体" w:cs="宋体"/>
          <w:color w:val="auto"/>
          <w:spacing w:val="1"/>
          <w:sz w:val="21"/>
          <w:szCs w:val="21"/>
          <w:highlight w:val="none"/>
        </w:rPr>
        <w:t>设计人应当提供等额的增值税专用发票。发</w:t>
      </w:r>
      <w:r>
        <w:rPr>
          <w:rFonts w:hint="eastAsia" w:ascii="宋体" w:hAnsi="宋体" w:eastAsia="宋体" w:cs="宋体"/>
          <w:color w:val="auto"/>
          <w:sz w:val="21"/>
          <w:szCs w:val="21"/>
          <w:highlight w:val="none"/>
        </w:rPr>
        <w:t>包人未能在前述时间内完成审批或不予答复的，视为发包人同意中期支付申请。发包人不按期支付的，按专用合同条款的</w:t>
      </w:r>
      <w:r>
        <w:rPr>
          <w:rFonts w:hint="eastAsia" w:ascii="宋体" w:hAnsi="宋体" w:eastAsia="宋体" w:cs="宋体"/>
          <w:color w:val="auto"/>
          <w:spacing w:val="-4"/>
          <w:sz w:val="21"/>
          <w:szCs w:val="21"/>
          <w:highlight w:val="none"/>
        </w:rPr>
        <w:t>约定支付逾期付款违约金。</w:t>
      </w:r>
    </w:p>
    <w:p w14:paraId="51DC7F5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12.3.3</w:t>
      </w:r>
      <w:r>
        <w:rPr>
          <w:rFonts w:hint="eastAsia" w:ascii="宋体" w:hAnsi="宋体" w:eastAsia="宋体" w:cs="宋体"/>
          <w:color w:val="auto"/>
          <w:spacing w:val="19"/>
          <w:sz w:val="21"/>
          <w:szCs w:val="21"/>
          <w:highlight w:val="none"/>
        </w:rPr>
        <w:t xml:space="preserve">  </w:t>
      </w:r>
      <w:r>
        <w:rPr>
          <w:rFonts w:hint="eastAsia" w:ascii="宋体" w:hAnsi="宋体" w:eastAsia="宋体" w:cs="宋体"/>
          <w:color w:val="auto"/>
          <w:spacing w:val="-1"/>
          <w:sz w:val="21"/>
          <w:szCs w:val="21"/>
          <w:highlight w:val="none"/>
        </w:rPr>
        <w:t>中期支付涉及政府投资资金的，按照国库集中支付等国家相关规定和专</w:t>
      </w:r>
      <w:r>
        <w:rPr>
          <w:rFonts w:hint="eastAsia" w:ascii="宋体" w:hAnsi="宋体" w:eastAsia="宋体" w:cs="宋体"/>
          <w:color w:val="auto"/>
          <w:spacing w:val="-4"/>
          <w:sz w:val="21"/>
          <w:szCs w:val="21"/>
          <w:highlight w:val="none"/>
        </w:rPr>
        <w:t>用合同条款的约定执行。</w:t>
      </w:r>
    </w:p>
    <w:p w14:paraId="464CD45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8"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12.4</w:t>
      </w:r>
      <w:r>
        <w:rPr>
          <w:rFonts w:hint="eastAsia" w:ascii="宋体" w:hAnsi="宋体" w:eastAsia="宋体" w:cs="宋体"/>
          <w:b/>
          <w:bCs/>
          <w:color w:val="auto"/>
          <w:spacing w:val="12"/>
          <w:sz w:val="21"/>
          <w:szCs w:val="21"/>
          <w:highlight w:val="none"/>
        </w:rPr>
        <w:t xml:space="preserve">  </w:t>
      </w:r>
      <w:r>
        <w:rPr>
          <w:rFonts w:hint="eastAsia" w:ascii="宋体" w:hAnsi="宋体" w:eastAsia="宋体" w:cs="宋体"/>
          <w:b/>
          <w:bCs/>
          <w:color w:val="auto"/>
          <w:spacing w:val="-6"/>
          <w:sz w:val="21"/>
          <w:szCs w:val="21"/>
          <w:highlight w:val="none"/>
        </w:rPr>
        <w:t>费用结算</w:t>
      </w:r>
    </w:p>
    <w:p w14:paraId="777EEF1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12.4.1  合同工作完成后，设计人应按专用合同条款约定的</w:t>
      </w:r>
      <w:r>
        <w:rPr>
          <w:rFonts w:hint="eastAsia" w:ascii="宋体" w:hAnsi="宋体" w:eastAsia="宋体" w:cs="宋体"/>
          <w:color w:val="auto"/>
          <w:spacing w:val="-1"/>
          <w:sz w:val="21"/>
          <w:szCs w:val="21"/>
          <w:highlight w:val="none"/>
        </w:rPr>
        <w:t>份数和期限，向发包</w:t>
      </w:r>
      <w:r>
        <w:rPr>
          <w:rFonts w:hint="eastAsia" w:ascii="宋体" w:hAnsi="宋体" w:eastAsia="宋体" w:cs="宋体"/>
          <w:color w:val="auto"/>
          <w:spacing w:val="-2"/>
          <w:sz w:val="21"/>
          <w:szCs w:val="21"/>
          <w:highlight w:val="none"/>
        </w:rPr>
        <w:t>人提交勘察设计费用结算申请，并提供相关证明材料。</w:t>
      </w:r>
    </w:p>
    <w:p w14:paraId="2A9AB23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12.4.2  发包人应在收到费用结算申请后的</w:t>
      </w:r>
      <w:r>
        <w:rPr>
          <w:rFonts w:hint="eastAsia" w:ascii="宋体" w:hAnsi="宋体" w:eastAsia="宋体" w:cs="宋体"/>
          <w:color w:val="auto"/>
          <w:spacing w:val="-21"/>
          <w:sz w:val="21"/>
          <w:szCs w:val="21"/>
          <w:highlight w:val="none"/>
        </w:rPr>
        <w:t xml:space="preserve"> </w:t>
      </w:r>
      <w:r>
        <w:rPr>
          <w:rFonts w:hint="eastAsia" w:ascii="宋体" w:hAnsi="宋体" w:eastAsia="宋体" w:cs="宋体"/>
          <w:color w:val="auto"/>
          <w:spacing w:val="-3"/>
          <w:sz w:val="21"/>
          <w:szCs w:val="21"/>
          <w:highlight w:val="none"/>
        </w:rPr>
        <w:t>28</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3"/>
          <w:sz w:val="21"/>
          <w:szCs w:val="21"/>
          <w:highlight w:val="none"/>
        </w:rPr>
        <w:t>天内，将应付款项支付给设计人；</w:t>
      </w:r>
      <w:r>
        <w:rPr>
          <w:rFonts w:hint="eastAsia" w:ascii="宋体" w:hAnsi="宋体" w:eastAsia="宋体" w:cs="宋体"/>
          <w:color w:val="auto"/>
          <w:spacing w:val="1"/>
          <w:sz w:val="21"/>
          <w:szCs w:val="21"/>
          <w:highlight w:val="none"/>
        </w:rPr>
        <w:t>设计人应当提供等额的增值税专用发票。发</w:t>
      </w:r>
      <w:r>
        <w:rPr>
          <w:rFonts w:hint="eastAsia" w:ascii="宋体" w:hAnsi="宋体" w:eastAsia="宋体" w:cs="宋体"/>
          <w:color w:val="auto"/>
          <w:sz w:val="21"/>
          <w:szCs w:val="21"/>
          <w:highlight w:val="none"/>
        </w:rPr>
        <w:t>包人未能在前述时间内完成审批或不予答复的，视为发包人同意费用结算申请。发包人不按期支付的，按专用合同条款的</w:t>
      </w:r>
      <w:r>
        <w:rPr>
          <w:rFonts w:hint="eastAsia" w:ascii="宋体" w:hAnsi="宋体" w:eastAsia="宋体" w:cs="宋体"/>
          <w:color w:val="auto"/>
          <w:spacing w:val="-4"/>
          <w:sz w:val="21"/>
          <w:szCs w:val="21"/>
          <w:highlight w:val="none"/>
        </w:rPr>
        <w:t>约定支付逾期付款违约金。</w:t>
      </w:r>
    </w:p>
    <w:p w14:paraId="5C25C54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12.4.3  发包人对费用结算申请内容有异议的，有权要求设计人进行修正和提供</w:t>
      </w:r>
      <w:r>
        <w:rPr>
          <w:rFonts w:hint="eastAsia" w:ascii="宋体" w:hAnsi="宋体" w:eastAsia="宋体" w:cs="宋体"/>
          <w:color w:val="auto"/>
          <w:spacing w:val="-2"/>
          <w:sz w:val="21"/>
          <w:szCs w:val="21"/>
          <w:highlight w:val="none"/>
        </w:rPr>
        <w:t>补充资料，由设计人重新提交。设计人对此有异议的，按第</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2"/>
          <w:sz w:val="21"/>
          <w:szCs w:val="21"/>
          <w:highlight w:val="none"/>
        </w:rPr>
        <w:t>15 条的约定执行。</w:t>
      </w:r>
    </w:p>
    <w:p w14:paraId="471FED3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12.4.4  最终结清付款涉及政府投资资金的，按第</w:t>
      </w:r>
      <w:r>
        <w:rPr>
          <w:rFonts w:hint="eastAsia" w:ascii="宋体" w:hAnsi="宋体" w:eastAsia="宋体" w:cs="宋体"/>
          <w:color w:val="auto"/>
          <w:spacing w:val="-31"/>
          <w:sz w:val="21"/>
          <w:szCs w:val="21"/>
          <w:highlight w:val="none"/>
        </w:rPr>
        <w:t xml:space="preserve"> </w:t>
      </w:r>
      <w:r>
        <w:rPr>
          <w:rFonts w:hint="eastAsia" w:ascii="宋体" w:hAnsi="宋体" w:eastAsia="宋体" w:cs="宋体"/>
          <w:color w:val="auto"/>
          <w:spacing w:val="-2"/>
          <w:sz w:val="21"/>
          <w:szCs w:val="21"/>
          <w:highlight w:val="none"/>
        </w:rPr>
        <w:t>12.3.3 项</w:t>
      </w:r>
      <w:r>
        <w:rPr>
          <w:rFonts w:hint="eastAsia" w:ascii="宋体" w:hAnsi="宋体" w:eastAsia="宋体" w:cs="宋体"/>
          <w:color w:val="auto"/>
          <w:spacing w:val="-3"/>
          <w:sz w:val="21"/>
          <w:szCs w:val="21"/>
          <w:highlight w:val="none"/>
        </w:rPr>
        <w:t>的约定执行。</w:t>
      </w:r>
    </w:p>
    <w:p w14:paraId="0FD063D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2"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12.5</w:t>
      </w:r>
      <w:r>
        <w:rPr>
          <w:rFonts w:hint="eastAsia" w:ascii="宋体" w:hAnsi="宋体" w:eastAsia="宋体" w:cs="宋体"/>
          <w:b/>
          <w:bCs/>
          <w:color w:val="auto"/>
          <w:spacing w:val="8"/>
          <w:sz w:val="21"/>
          <w:szCs w:val="21"/>
          <w:highlight w:val="none"/>
        </w:rPr>
        <w:t xml:space="preserve">  </w:t>
      </w:r>
      <w:r>
        <w:rPr>
          <w:rFonts w:hint="eastAsia" w:ascii="宋体" w:hAnsi="宋体" w:eastAsia="宋体" w:cs="宋体"/>
          <w:b/>
          <w:bCs/>
          <w:color w:val="auto"/>
          <w:spacing w:val="-5"/>
          <w:sz w:val="21"/>
          <w:szCs w:val="21"/>
          <w:highlight w:val="none"/>
        </w:rPr>
        <w:t>暂列金额</w:t>
      </w:r>
    </w:p>
    <w:p w14:paraId="056470C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12.5.1  本合同的暂列金额在专用合同条款中约定。暂列金额应按发包人的书面</w:t>
      </w:r>
      <w:r>
        <w:rPr>
          <w:rFonts w:hint="eastAsia" w:ascii="宋体" w:hAnsi="宋体" w:eastAsia="宋体" w:cs="宋体"/>
          <w:color w:val="auto"/>
          <w:spacing w:val="-3"/>
          <w:sz w:val="21"/>
          <w:szCs w:val="21"/>
          <w:highlight w:val="none"/>
        </w:rPr>
        <w:t>指示全部或部分地使用，或根本不予动用。</w:t>
      </w:r>
    </w:p>
    <w:p w14:paraId="3941946D">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12.5.2  如果使用暂列金额进行某项额外勘察设计工作、专题研究、审查和会务工作，其费用应按设计人投标报价中相应项目的基本单价和实际发生的工作量经发</w:t>
      </w:r>
      <w:r>
        <w:rPr>
          <w:rFonts w:hint="eastAsia" w:ascii="宋体" w:hAnsi="宋体" w:eastAsia="宋体" w:cs="宋体"/>
          <w:color w:val="auto"/>
          <w:spacing w:val="-2"/>
          <w:sz w:val="21"/>
          <w:szCs w:val="21"/>
          <w:highlight w:val="none"/>
        </w:rPr>
        <w:t>包人核定后支付，或者按实际发生的工作费用经发包人核实后支付。</w:t>
      </w:r>
    </w:p>
    <w:p w14:paraId="4D8881C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12.6  质量保证金</w:t>
      </w:r>
    </w:p>
    <w:p w14:paraId="26A09A29">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为保证设计人的设计质量和设计服务，最后</w:t>
      </w:r>
      <w:r>
        <w:rPr>
          <w:rFonts w:hint="eastAsia" w:ascii="宋体" w:hAnsi="宋体" w:eastAsia="宋体" w:cs="宋体"/>
          <w:color w:val="auto"/>
          <w:sz w:val="21"/>
          <w:szCs w:val="21"/>
          <w:highlight w:val="none"/>
        </w:rPr>
        <w:t>一批勘察设计成果文件经上级主管</w:t>
      </w:r>
      <w:r>
        <w:rPr>
          <w:rFonts w:hint="eastAsia" w:ascii="宋体" w:hAnsi="宋体" w:eastAsia="宋体" w:cs="宋体"/>
          <w:color w:val="auto"/>
          <w:spacing w:val="-1"/>
          <w:sz w:val="21"/>
          <w:szCs w:val="21"/>
          <w:highlight w:val="none"/>
        </w:rPr>
        <w:t>部门批复之后28 天内，设计人应向发包人缴纳质量保证金。质量保证金可采用银行</w:t>
      </w:r>
      <w:r>
        <w:rPr>
          <w:rFonts w:hint="eastAsia" w:ascii="宋体" w:hAnsi="宋体" w:eastAsia="宋体" w:cs="宋体"/>
          <w:color w:val="auto"/>
          <w:spacing w:val="1"/>
          <w:sz w:val="21"/>
          <w:szCs w:val="21"/>
          <w:highlight w:val="none"/>
        </w:rPr>
        <w:t>保函或现金、支票形式，金额应符合专用合同条</w:t>
      </w:r>
      <w:r>
        <w:rPr>
          <w:rFonts w:hint="eastAsia" w:ascii="宋体" w:hAnsi="宋体" w:eastAsia="宋体" w:cs="宋体"/>
          <w:color w:val="auto"/>
          <w:sz w:val="21"/>
          <w:szCs w:val="21"/>
          <w:highlight w:val="none"/>
        </w:rPr>
        <w:t>款的规定。采用银行保函时，出具</w:t>
      </w:r>
      <w:r>
        <w:rPr>
          <w:rFonts w:hint="eastAsia" w:ascii="宋体" w:hAnsi="宋体" w:eastAsia="宋体" w:cs="宋体"/>
          <w:color w:val="auto"/>
          <w:spacing w:val="1"/>
          <w:sz w:val="21"/>
          <w:szCs w:val="21"/>
          <w:highlight w:val="none"/>
        </w:rPr>
        <w:t>保函的银行须具有相应担保能力，且按照发包人</w:t>
      </w:r>
      <w:r>
        <w:rPr>
          <w:rFonts w:hint="eastAsia" w:ascii="宋体" w:hAnsi="宋体" w:eastAsia="宋体" w:cs="宋体"/>
          <w:color w:val="auto"/>
          <w:sz w:val="21"/>
          <w:szCs w:val="21"/>
          <w:highlight w:val="none"/>
        </w:rPr>
        <w:t>批准的格式出具，所需费用由设计</w:t>
      </w:r>
      <w:r>
        <w:rPr>
          <w:rFonts w:hint="eastAsia" w:ascii="宋体" w:hAnsi="宋体" w:eastAsia="宋体" w:cs="宋体"/>
          <w:color w:val="auto"/>
          <w:spacing w:val="-2"/>
          <w:sz w:val="21"/>
          <w:szCs w:val="21"/>
          <w:highlight w:val="none"/>
        </w:rPr>
        <w:t>人承担，待项目交工证书签发后</w:t>
      </w:r>
      <w:r>
        <w:rPr>
          <w:rFonts w:hint="eastAsia" w:ascii="宋体" w:hAnsi="宋体" w:eastAsia="宋体" w:cs="宋体"/>
          <w:color w:val="auto"/>
          <w:spacing w:val="-50"/>
          <w:sz w:val="21"/>
          <w:szCs w:val="21"/>
          <w:highlight w:val="none"/>
        </w:rPr>
        <w:t xml:space="preserve"> </w:t>
      </w:r>
      <w:r>
        <w:rPr>
          <w:rFonts w:hint="eastAsia" w:ascii="宋体" w:hAnsi="宋体" w:eastAsia="宋体" w:cs="宋体"/>
          <w:color w:val="auto"/>
          <w:spacing w:val="-2"/>
          <w:sz w:val="21"/>
          <w:szCs w:val="21"/>
          <w:highlight w:val="none"/>
        </w:rPr>
        <w:t>28 天内返还给设计人。</w:t>
      </w:r>
    </w:p>
    <w:p w14:paraId="7054C764">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8"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13.</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6"/>
          <w:sz w:val="21"/>
          <w:szCs w:val="21"/>
          <w:highlight w:val="none"/>
        </w:rPr>
        <w:t>不可抗力</w:t>
      </w:r>
    </w:p>
    <w:p w14:paraId="405CA56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13.1  不可抗力的确认</w:t>
      </w:r>
    </w:p>
    <w:p w14:paraId="5C17251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13.1.1  不可抗力是指设计人和发包人在订立合同时不可预见，在履行合同过程</w:t>
      </w:r>
      <w:r>
        <w:rPr>
          <w:rFonts w:hint="eastAsia" w:ascii="宋体" w:hAnsi="宋体" w:eastAsia="宋体" w:cs="宋体"/>
          <w:color w:val="auto"/>
          <w:spacing w:val="-1"/>
          <w:sz w:val="21"/>
          <w:szCs w:val="21"/>
          <w:highlight w:val="none"/>
        </w:rPr>
        <w:t>中不可避免发生并不能克服的自然灾害和社会性突发事件，如地震、海啸、瘟疫、</w:t>
      </w:r>
      <w:r>
        <w:rPr>
          <w:rFonts w:hint="eastAsia" w:ascii="宋体" w:hAnsi="宋体" w:eastAsia="宋体" w:cs="宋体"/>
          <w:color w:val="auto"/>
          <w:spacing w:val="-2"/>
          <w:sz w:val="21"/>
          <w:szCs w:val="21"/>
          <w:highlight w:val="none"/>
        </w:rPr>
        <w:t>水灾、骚乱、暴动、战争和专用合同条款约定的其他情形。</w:t>
      </w:r>
    </w:p>
    <w:p w14:paraId="4C3199F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13.1.2  不可抗力发生后，发包人和设计人应及时认真统计所造成的损失，收集</w:t>
      </w:r>
      <w:r>
        <w:rPr>
          <w:rFonts w:hint="eastAsia" w:ascii="宋体" w:hAnsi="宋体" w:eastAsia="宋体" w:cs="宋体"/>
          <w:color w:val="auto"/>
          <w:spacing w:val="-4"/>
          <w:sz w:val="21"/>
          <w:szCs w:val="21"/>
          <w:highlight w:val="none"/>
        </w:rPr>
        <w:t>不可抗力造成损失的证据。合同双方对是否属于不可抗力或其损失的意见不</w:t>
      </w:r>
      <w:r>
        <w:rPr>
          <w:rFonts w:hint="eastAsia" w:ascii="宋体" w:hAnsi="宋体" w:eastAsia="宋体" w:cs="宋体"/>
          <w:color w:val="auto"/>
          <w:spacing w:val="-5"/>
          <w:sz w:val="21"/>
          <w:szCs w:val="21"/>
          <w:highlight w:val="none"/>
        </w:rPr>
        <w:t>一致的，由合同双方协商确定。</w:t>
      </w:r>
    </w:p>
    <w:p w14:paraId="23C55AC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13.2  不可抗力的通知</w:t>
      </w:r>
    </w:p>
    <w:p w14:paraId="206E60E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13.2.1  合同一方当事人遇到不可抗力事件，使其履行合同义务受到阻碍时，应立即通知合同另一方当事人，书面说明不可抗力和受阻碍的详细情况，并提供必要</w:t>
      </w:r>
      <w:r>
        <w:rPr>
          <w:rFonts w:hint="eastAsia" w:ascii="宋体" w:hAnsi="宋体" w:eastAsia="宋体" w:cs="宋体"/>
          <w:color w:val="auto"/>
          <w:spacing w:val="-9"/>
          <w:sz w:val="21"/>
          <w:szCs w:val="21"/>
          <w:highlight w:val="none"/>
        </w:rPr>
        <w:t>的证明。</w:t>
      </w:r>
    </w:p>
    <w:p w14:paraId="2B1F5BA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13.2.2  如不可抗力持续发生，合同一方当事人应及时向合同另一方当事人提交</w:t>
      </w:r>
      <w:r>
        <w:rPr>
          <w:rFonts w:hint="eastAsia" w:ascii="宋体" w:hAnsi="宋体" w:eastAsia="宋体" w:cs="宋体"/>
          <w:color w:val="auto"/>
          <w:spacing w:val="-3"/>
          <w:sz w:val="21"/>
          <w:szCs w:val="21"/>
          <w:highlight w:val="none"/>
        </w:rPr>
        <w:t>中间报告，说明不可抗力和履行合同受阻的情况，并于不可抗力事件结</w:t>
      </w:r>
      <w:r>
        <w:rPr>
          <w:rFonts w:hint="eastAsia" w:ascii="宋体" w:hAnsi="宋体" w:eastAsia="宋体" w:cs="宋体"/>
          <w:color w:val="auto"/>
          <w:spacing w:val="-4"/>
          <w:sz w:val="21"/>
          <w:szCs w:val="21"/>
          <w:highlight w:val="none"/>
        </w:rPr>
        <w:t>束后</w:t>
      </w:r>
      <w:r>
        <w:rPr>
          <w:rFonts w:hint="eastAsia" w:ascii="宋体" w:hAnsi="宋体" w:eastAsia="宋体" w:cs="宋体"/>
          <w:color w:val="auto"/>
          <w:spacing w:val="-54"/>
          <w:sz w:val="21"/>
          <w:szCs w:val="21"/>
          <w:highlight w:val="none"/>
        </w:rPr>
        <w:t xml:space="preserve"> </w:t>
      </w:r>
      <w:r>
        <w:rPr>
          <w:rFonts w:hint="eastAsia" w:ascii="宋体" w:hAnsi="宋体" w:eastAsia="宋体" w:cs="宋体"/>
          <w:color w:val="auto"/>
          <w:spacing w:val="-4"/>
          <w:sz w:val="21"/>
          <w:szCs w:val="21"/>
          <w:highlight w:val="none"/>
        </w:rPr>
        <w:t>28</w:t>
      </w:r>
      <w:r>
        <w:rPr>
          <w:rFonts w:hint="eastAsia" w:ascii="宋体" w:hAnsi="宋体" w:eastAsia="宋体" w:cs="宋体"/>
          <w:color w:val="auto"/>
          <w:spacing w:val="14"/>
          <w:sz w:val="21"/>
          <w:szCs w:val="21"/>
          <w:highlight w:val="none"/>
        </w:rPr>
        <w:t xml:space="preserve"> </w:t>
      </w:r>
      <w:r>
        <w:rPr>
          <w:rFonts w:hint="eastAsia" w:ascii="宋体" w:hAnsi="宋体" w:eastAsia="宋体" w:cs="宋体"/>
          <w:color w:val="auto"/>
          <w:spacing w:val="-4"/>
          <w:sz w:val="21"/>
          <w:szCs w:val="21"/>
          <w:highlight w:val="none"/>
        </w:rPr>
        <w:t>天内提交最终报告及有关资料。</w:t>
      </w:r>
    </w:p>
    <w:p w14:paraId="6B21228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13.3  不可抗力后果及其处理</w:t>
      </w:r>
    </w:p>
    <w:p w14:paraId="55D81B0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13.3.1  不可抗力引起的后果及其损失，应由合同当事人依据法律规定各自承担。</w:t>
      </w:r>
      <w:r>
        <w:rPr>
          <w:rFonts w:hint="eastAsia" w:ascii="宋体" w:hAnsi="宋体" w:eastAsia="宋体" w:cs="宋体"/>
          <w:color w:val="auto"/>
          <w:spacing w:val="-1"/>
          <w:sz w:val="21"/>
          <w:szCs w:val="21"/>
          <w:highlight w:val="none"/>
        </w:rPr>
        <w:t>不可抗力发生前已完成的勘察设计工作，应当按照合同约</w:t>
      </w:r>
      <w:r>
        <w:rPr>
          <w:rFonts w:hint="eastAsia" w:ascii="宋体" w:hAnsi="宋体" w:eastAsia="宋体" w:cs="宋体"/>
          <w:color w:val="auto"/>
          <w:spacing w:val="-2"/>
          <w:sz w:val="21"/>
          <w:szCs w:val="21"/>
          <w:highlight w:val="none"/>
        </w:rPr>
        <w:t>定进行支付。</w:t>
      </w:r>
    </w:p>
    <w:p w14:paraId="3DF804D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13.3.2  不可抗力发生后，合同当事人应当采取</w:t>
      </w:r>
      <w:r>
        <w:rPr>
          <w:rFonts w:hint="eastAsia" w:ascii="宋体" w:hAnsi="宋体" w:eastAsia="宋体" w:cs="宋体"/>
          <w:color w:val="auto"/>
          <w:spacing w:val="-2"/>
          <w:sz w:val="21"/>
          <w:szCs w:val="21"/>
          <w:highlight w:val="none"/>
        </w:rPr>
        <w:t>有效措施避免损失进一步扩大，如未采取有效措施致使损失扩大的，应当自行承担扩大部分的损失。</w:t>
      </w:r>
    </w:p>
    <w:p w14:paraId="5919D2C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13.3.3  因一方当事人迟延履行合同义务，致使</w:t>
      </w:r>
      <w:r>
        <w:rPr>
          <w:rFonts w:hint="eastAsia" w:ascii="宋体" w:hAnsi="宋体" w:eastAsia="宋体" w:cs="宋体"/>
          <w:color w:val="auto"/>
          <w:spacing w:val="-2"/>
          <w:sz w:val="21"/>
          <w:szCs w:val="21"/>
          <w:highlight w:val="none"/>
        </w:rPr>
        <w:t>迟延履行期间遭遇不可抗力的，</w:t>
      </w:r>
      <w:r>
        <w:rPr>
          <w:rFonts w:hint="eastAsia" w:ascii="宋体" w:hAnsi="宋体" w:eastAsia="宋体" w:cs="宋体"/>
          <w:color w:val="auto"/>
          <w:spacing w:val="-4"/>
          <w:sz w:val="21"/>
          <w:szCs w:val="21"/>
          <w:highlight w:val="none"/>
        </w:rPr>
        <w:t>应由该当事人承担全部损失。</w:t>
      </w:r>
    </w:p>
    <w:p w14:paraId="4489864B">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8"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14.</w:t>
      </w:r>
      <w:r>
        <w:rPr>
          <w:rFonts w:hint="eastAsia" w:ascii="宋体" w:hAnsi="宋体" w:eastAsia="宋体" w:cs="宋体"/>
          <w:b/>
          <w:bCs/>
          <w:color w:val="auto"/>
          <w:spacing w:val="5"/>
          <w:sz w:val="21"/>
          <w:szCs w:val="21"/>
          <w:highlight w:val="none"/>
        </w:rPr>
        <w:t xml:space="preserve">  </w:t>
      </w:r>
      <w:r>
        <w:rPr>
          <w:rFonts w:hint="eastAsia" w:ascii="宋体" w:hAnsi="宋体" w:eastAsia="宋体" w:cs="宋体"/>
          <w:b/>
          <w:bCs/>
          <w:color w:val="auto"/>
          <w:spacing w:val="-6"/>
          <w:sz w:val="21"/>
          <w:szCs w:val="21"/>
          <w:highlight w:val="none"/>
        </w:rPr>
        <w:t>违约</w:t>
      </w:r>
    </w:p>
    <w:p w14:paraId="75A1B99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14.1  设计人违约</w:t>
      </w:r>
    </w:p>
    <w:p w14:paraId="0FA7E8B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14.1.1 合同履行中发生下列情况之一的，属设计人违约：</w:t>
      </w:r>
    </w:p>
    <w:p w14:paraId="5E7CD518">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（1）勘察设计文件不符合法律以及合同约定；</w:t>
      </w:r>
    </w:p>
    <w:p w14:paraId="460B6F1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（2）设计人转包、违法分包或者未经发包人同意擅自分包；</w:t>
      </w:r>
    </w:p>
    <w:p w14:paraId="15CCD71F">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（3）设计人未按合同计划完成勘察设计（发包人同意延期的除外</w:t>
      </w:r>
      <w:r>
        <w:rPr>
          <w:rFonts w:hint="eastAsia" w:ascii="宋体" w:hAnsi="宋体" w:eastAsia="宋体" w:cs="宋体"/>
          <w:color w:val="auto"/>
          <w:spacing w:val="-62"/>
          <w:sz w:val="21"/>
          <w:szCs w:val="21"/>
          <w:highlight w:val="none"/>
        </w:rPr>
        <w:t>）；</w:t>
      </w:r>
    </w:p>
    <w:p w14:paraId="5F2A489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（4）设计人无法履行或停止履行合同；</w:t>
      </w:r>
    </w:p>
    <w:p w14:paraId="1DDAFC3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（5）在收到发包人或咨询单位或上级主管部门提出的审查意见后，设计人未在</w:t>
      </w:r>
      <w:r>
        <w:rPr>
          <w:rFonts w:hint="eastAsia" w:ascii="宋体" w:hAnsi="宋体" w:eastAsia="宋体" w:cs="宋体"/>
          <w:color w:val="auto"/>
          <w:spacing w:val="-2"/>
          <w:sz w:val="21"/>
          <w:szCs w:val="21"/>
          <w:highlight w:val="none"/>
        </w:rPr>
        <w:t>专用合同条款规定的期限内完成对勘察设计文件的</w:t>
      </w:r>
      <w:r>
        <w:rPr>
          <w:rFonts w:hint="eastAsia" w:ascii="宋体" w:hAnsi="宋体" w:eastAsia="宋体" w:cs="宋体"/>
          <w:color w:val="auto"/>
          <w:spacing w:val="-3"/>
          <w:sz w:val="21"/>
          <w:szCs w:val="21"/>
          <w:highlight w:val="none"/>
        </w:rPr>
        <w:t>修改；</w:t>
      </w:r>
    </w:p>
    <w:p w14:paraId="759295E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（6）设计人在投标文件中承诺的或按合同文件约定的投入本项目的主要勘察设</w:t>
      </w:r>
      <w:r>
        <w:rPr>
          <w:rFonts w:hint="eastAsia" w:ascii="宋体" w:hAnsi="宋体" w:eastAsia="宋体" w:cs="宋体"/>
          <w:color w:val="auto"/>
          <w:spacing w:val="-1"/>
          <w:sz w:val="21"/>
          <w:szCs w:val="21"/>
          <w:highlight w:val="none"/>
        </w:rPr>
        <w:t>计人员发生变化（因不可抗力引起的人员变动除外</w:t>
      </w:r>
      <w:r>
        <w:rPr>
          <w:rFonts w:hint="eastAsia" w:ascii="宋体" w:hAnsi="宋体" w:eastAsia="宋体" w:cs="宋体"/>
          <w:color w:val="auto"/>
          <w:spacing w:val="-39"/>
          <w:sz w:val="21"/>
          <w:szCs w:val="21"/>
          <w:highlight w:val="none"/>
        </w:rPr>
        <w:t>）；</w:t>
      </w:r>
    </w:p>
    <w:p w14:paraId="2C66EDCB">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（7）设计人未按照本合同第 10.1 款规定提供招标</w:t>
      </w:r>
      <w:r>
        <w:rPr>
          <w:rFonts w:hint="eastAsia" w:ascii="宋体" w:hAnsi="宋体" w:eastAsia="宋体" w:cs="宋体"/>
          <w:color w:val="auto"/>
          <w:spacing w:val="-3"/>
          <w:sz w:val="21"/>
          <w:szCs w:val="21"/>
          <w:highlight w:val="none"/>
        </w:rPr>
        <w:t>期间的配合服务；</w:t>
      </w:r>
    </w:p>
    <w:p w14:paraId="10D7B27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（8）设计人未及时选派合格的设计代表进驻施工现场，或</w:t>
      </w:r>
      <w:r>
        <w:rPr>
          <w:rFonts w:hint="eastAsia" w:ascii="宋体" w:hAnsi="宋体" w:eastAsia="宋体" w:cs="宋体"/>
          <w:color w:val="auto"/>
          <w:spacing w:val="-4"/>
          <w:sz w:val="21"/>
          <w:szCs w:val="21"/>
          <w:highlight w:val="none"/>
        </w:rPr>
        <w:t>未能在发包人和设计</w:t>
      </w:r>
      <w:r>
        <w:rPr>
          <w:rFonts w:hint="eastAsia" w:ascii="宋体" w:hAnsi="宋体" w:eastAsia="宋体" w:cs="宋体"/>
          <w:color w:val="auto"/>
          <w:spacing w:val="-1"/>
          <w:sz w:val="21"/>
          <w:szCs w:val="21"/>
          <w:highlight w:val="none"/>
        </w:rPr>
        <w:t>人约定的时间内给予答复、完成变更设计；</w:t>
      </w:r>
    </w:p>
    <w:p w14:paraId="4F874B9A">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（9）因勘察设计深度不够、资料不足、方案缺陷以及勘察设计质量低劣而被要求返工；</w:t>
      </w:r>
    </w:p>
    <w:p w14:paraId="1DD5F3E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（10）因勘察设计深度不够、资料不足、方案缺陷或质量低劣导致未通过上级主管部门的审查，或导致本项目造价调整率超过专</w:t>
      </w:r>
      <w:r>
        <w:rPr>
          <w:rFonts w:hint="eastAsia" w:ascii="宋体" w:hAnsi="宋体" w:eastAsia="宋体" w:cs="宋体"/>
          <w:color w:val="auto"/>
          <w:spacing w:val="-1"/>
          <w:sz w:val="21"/>
          <w:szCs w:val="21"/>
          <w:highlight w:val="none"/>
        </w:rPr>
        <w:t>用合同条款中约定的比例；</w:t>
      </w:r>
    </w:p>
    <w:p w14:paraId="3AD2C1F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（11）由于设计人的过失或责任引起本项目发生重大</w:t>
      </w:r>
      <w:r>
        <w:rPr>
          <w:rFonts w:hint="eastAsia" w:ascii="宋体" w:hAnsi="宋体" w:eastAsia="宋体" w:cs="宋体"/>
          <w:color w:val="auto"/>
          <w:sz w:val="21"/>
          <w:szCs w:val="21"/>
          <w:highlight w:val="none"/>
        </w:rPr>
        <w:t>设计变更、较大设计变更或单个合同段因变更引起的工程费用调整累计超过专用合同条款中约定的比例，导</w:t>
      </w:r>
      <w:r>
        <w:rPr>
          <w:rFonts w:hint="eastAsia" w:ascii="宋体" w:hAnsi="宋体" w:eastAsia="宋体" w:cs="宋体"/>
          <w:color w:val="auto"/>
          <w:spacing w:val="1"/>
          <w:sz w:val="21"/>
          <w:szCs w:val="21"/>
          <w:highlight w:val="none"/>
        </w:rPr>
        <w:t>致施工工期拖延或者给发包人造成经济损失。</w:t>
      </w:r>
      <w:r>
        <w:rPr>
          <w:rFonts w:hint="eastAsia" w:ascii="宋体" w:hAnsi="宋体" w:eastAsia="宋体" w:cs="宋体"/>
          <w:color w:val="auto"/>
          <w:sz w:val="21"/>
          <w:szCs w:val="21"/>
          <w:highlight w:val="none"/>
        </w:rPr>
        <w:t>重大设计变更及较大设计变更的划分</w:t>
      </w:r>
      <w:r>
        <w:rPr>
          <w:rFonts w:hint="eastAsia" w:ascii="宋体" w:hAnsi="宋体" w:eastAsia="宋体" w:cs="宋体"/>
          <w:color w:val="auto"/>
          <w:spacing w:val="-1"/>
          <w:sz w:val="21"/>
          <w:szCs w:val="21"/>
          <w:highlight w:val="none"/>
        </w:rPr>
        <w:t>标准参照《公路工程设计变更管理办法》的规定执行；</w:t>
      </w:r>
    </w:p>
    <w:p w14:paraId="609874E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（12）由于设计人的过失或责任导致勘察设计质量事故；</w:t>
      </w:r>
    </w:p>
    <w:p w14:paraId="44BC9752">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（13）设计人不履行合同约定的其他义务。</w:t>
      </w:r>
    </w:p>
    <w:p w14:paraId="558D76E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14.1.2  设计人发生违约情况时，发包人可向设计人发出整改通知，要求其在限定期限内纠正；逾期仍不纠正的，发包人有权解除合同并向设计人发出解除合同通</w:t>
      </w:r>
      <w:r>
        <w:rPr>
          <w:rFonts w:hint="eastAsia" w:ascii="宋体" w:hAnsi="宋体" w:eastAsia="宋体" w:cs="宋体"/>
          <w:color w:val="auto"/>
          <w:spacing w:val="1"/>
          <w:sz w:val="21"/>
          <w:szCs w:val="21"/>
          <w:highlight w:val="none"/>
        </w:rPr>
        <w:t>知。设计人应当承担由于违约所造成的费用增</w:t>
      </w:r>
      <w:r>
        <w:rPr>
          <w:rFonts w:hint="eastAsia" w:ascii="宋体" w:hAnsi="宋体" w:eastAsia="宋体" w:cs="宋体"/>
          <w:color w:val="auto"/>
          <w:sz w:val="21"/>
          <w:szCs w:val="21"/>
          <w:highlight w:val="none"/>
        </w:rPr>
        <w:t>加、周期延误和发包人损失等。发包人有权向设计人课以专用合同条款中约定的违约金，并由发包人将其违约行为上报</w:t>
      </w:r>
      <w:r>
        <w:rPr>
          <w:rFonts w:hint="eastAsia" w:ascii="宋体" w:hAnsi="宋体" w:eastAsia="宋体" w:cs="宋体"/>
          <w:color w:val="auto"/>
          <w:spacing w:val="-1"/>
          <w:sz w:val="21"/>
          <w:szCs w:val="21"/>
          <w:highlight w:val="none"/>
        </w:rPr>
        <w:t>省级交通运输主管部门，作为不良记录纳入公路建</w:t>
      </w:r>
      <w:r>
        <w:rPr>
          <w:rFonts w:hint="eastAsia" w:ascii="宋体" w:hAnsi="宋体" w:eastAsia="宋体" w:cs="宋体"/>
          <w:color w:val="auto"/>
          <w:spacing w:val="-2"/>
          <w:sz w:val="21"/>
          <w:szCs w:val="21"/>
          <w:highlight w:val="none"/>
        </w:rPr>
        <w:t>设市场信用信息管理系统。</w:t>
      </w:r>
    </w:p>
    <w:p w14:paraId="33B1E59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14.2  发包人违约</w:t>
      </w:r>
    </w:p>
    <w:p w14:paraId="30685AC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14.2.1 合同履行中发生下列情况之一的，属发包人违约：</w:t>
      </w:r>
    </w:p>
    <w:p w14:paraId="37B89575">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（1）发包人未按合同约定支付勘察设计费用；</w:t>
      </w:r>
    </w:p>
    <w:p w14:paraId="2CA2367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（2）发包人原因造成勘察设计停止；</w:t>
      </w:r>
    </w:p>
    <w:p w14:paraId="30B598C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（3）发包人无法履行或停止履行合同；</w:t>
      </w:r>
    </w:p>
    <w:p w14:paraId="7F32D317">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（4）由于发包人变更勘察设计项目、规模、条件， 或未按合同约</w:t>
      </w:r>
      <w:r>
        <w:rPr>
          <w:rFonts w:hint="eastAsia" w:ascii="宋体" w:hAnsi="宋体" w:eastAsia="宋体" w:cs="宋体"/>
          <w:color w:val="auto"/>
          <w:spacing w:val="-7"/>
          <w:sz w:val="21"/>
          <w:szCs w:val="21"/>
          <w:highlight w:val="none"/>
        </w:rPr>
        <w:t>定提供勘察设</w:t>
      </w:r>
      <w:r>
        <w:rPr>
          <w:rFonts w:hint="eastAsia" w:ascii="宋体" w:hAnsi="宋体" w:eastAsia="宋体" w:cs="宋体"/>
          <w:color w:val="auto"/>
          <w:spacing w:val="-1"/>
          <w:sz w:val="21"/>
          <w:szCs w:val="21"/>
          <w:highlight w:val="none"/>
        </w:rPr>
        <w:t>计必需的资料，造成勘察设计的返工、停工、窝工或修改设计；</w:t>
      </w:r>
    </w:p>
    <w:p w14:paraId="3B6D5178">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（5）发包人无正当理由不按时返还履约保证金、质量保证金；</w:t>
      </w:r>
    </w:p>
    <w:p w14:paraId="0727BA60">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（6）发包人不履行合同约定的其他义务。</w:t>
      </w:r>
    </w:p>
    <w:p w14:paraId="5BDA8385">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14.2.2  发包人发生违约情况时，设计人可向发包人发出暂停勘察设计通知，要求其在限定期限内纠正；逾期仍不纠正的，设计人有权解除合同并向发包人发出解除合同通知。发包人应当承担由于违约所造成的费用增加、周期延误和设计人损失</w:t>
      </w:r>
      <w:r>
        <w:rPr>
          <w:rFonts w:hint="eastAsia" w:ascii="宋体" w:hAnsi="宋体" w:eastAsia="宋体" w:cs="宋体"/>
          <w:color w:val="auto"/>
          <w:spacing w:val="-1"/>
          <w:sz w:val="21"/>
          <w:szCs w:val="21"/>
          <w:highlight w:val="none"/>
        </w:rPr>
        <w:t>等。设计人有权向发包人课以专用合同条款中约定的违约金。</w:t>
      </w:r>
    </w:p>
    <w:p w14:paraId="4EA4A0F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0" w:firstLineChars="200"/>
        <w:textAlignment w:val="baseline"/>
        <w:outlineLvl w:val="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14.3  第三人造成的违约</w:t>
      </w:r>
    </w:p>
    <w:p w14:paraId="3BC4D076">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20" w:firstLineChars="200"/>
        <w:jc w:val="both"/>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在履行合同过程中，一方当事人因第三人的原因造成违约的，应当向对方当事人承担违约责任。一方当事人和第三人之间的纠纷，依照法律规定或者按照约定解</w:t>
      </w:r>
      <w:r>
        <w:rPr>
          <w:rFonts w:hint="eastAsia" w:ascii="宋体" w:hAnsi="宋体" w:eastAsia="宋体" w:cs="宋体"/>
          <w:color w:val="auto"/>
          <w:spacing w:val="-12"/>
          <w:sz w:val="21"/>
          <w:szCs w:val="21"/>
          <w:highlight w:val="none"/>
        </w:rPr>
        <w:t>决。</w:t>
      </w:r>
    </w:p>
    <w:p w14:paraId="191770EC">
      <w:pPr>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398" w:firstLineChars="200"/>
        <w:textAlignment w:val="baseline"/>
        <w:outlineLvl w:val="1"/>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15.</w:t>
      </w:r>
      <w:r>
        <w:rPr>
          <w:rFonts w:hint="eastAsia" w:ascii="宋体" w:hAnsi="宋体" w:eastAsia="宋体" w:cs="宋体"/>
          <w:b/>
          <w:bCs/>
          <w:color w:val="auto"/>
          <w:spacing w:val="9"/>
          <w:sz w:val="21"/>
          <w:szCs w:val="21"/>
          <w:highlight w:val="none"/>
        </w:rPr>
        <w:t xml:space="preserve">  </w:t>
      </w:r>
      <w:r>
        <w:rPr>
          <w:rFonts w:hint="eastAsia" w:ascii="宋体" w:hAnsi="宋体" w:eastAsia="宋体" w:cs="宋体"/>
          <w:b/>
          <w:bCs/>
          <w:color w:val="auto"/>
          <w:spacing w:val="-6"/>
          <w:sz w:val="21"/>
          <w:szCs w:val="21"/>
          <w:highlight w:val="none"/>
        </w:rPr>
        <w:t>争议的解决</w:t>
      </w:r>
    </w:p>
    <w:p w14:paraId="108CD24E">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15.1  发包人和设计人在履行合同中发生争</w:t>
      </w:r>
      <w:r>
        <w:rPr>
          <w:rFonts w:hint="eastAsia" w:ascii="宋体" w:hAnsi="宋体" w:eastAsia="宋体" w:cs="宋体"/>
          <w:color w:val="auto"/>
          <w:spacing w:val="-2"/>
          <w:sz w:val="21"/>
          <w:szCs w:val="21"/>
          <w:highlight w:val="none"/>
        </w:rPr>
        <w:t>议的，可以友好协商解决。合同当事人友好协商解决不成的，可在专用合同条款中约定按下列一种方式解决：</w:t>
      </w:r>
    </w:p>
    <w:p w14:paraId="6E32A0B4">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（1）向约定的仲裁委员会申请仲裁；</w:t>
      </w:r>
    </w:p>
    <w:p w14:paraId="66175B91">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08"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（2）向有管辖权的人民法院提起诉讼。</w:t>
      </w:r>
    </w:p>
    <w:p w14:paraId="4CA1B463">
      <w:pPr>
        <w:pStyle w:val="6"/>
        <w:keepNext w:val="0"/>
        <w:keepLines w:val="0"/>
        <w:pageBreakBefore w:val="0"/>
        <w:widowControl w:val="0"/>
        <w:kinsoku w:val="0"/>
        <w:wordWrap/>
        <w:overflowPunct/>
        <w:topLinePunct w:val="0"/>
        <w:autoSpaceDE w:val="0"/>
        <w:autoSpaceDN w:val="0"/>
        <w:bidi w:val="0"/>
        <w:adjustRightInd w:val="0"/>
        <w:snapToGrid w:val="0"/>
        <w:spacing w:line="480" w:lineRule="exact"/>
        <w:ind w:left="0" w:right="0" w:firstLine="416" w:firstLineChars="200"/>
        <w:jc w:val="both"/>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1"/>
          <w:sz w:val="21"/>
          <w:szCs w:val="21"/>
          <w:highlight w:val="none"/>
        </w:rPr>
        <w:t>15.2  采用仲裁方式最终解决争议的项目，仲</w:t>
      </w:r>
      <w:r>
        <w:rPr>
          <w:rFonts w:hint="eastAsia" w:ascii="宋体" w:hAnsi="宋体" w:eastAsia="宋体" w:cs="宋体"/>
          <w:color w:val="auto"/>
          <w:spacing w:val="-2"/>
          <w:sz w:val="21"/>
          <w:szCs w:val="21"/>
          <w:highlight w:val="none"/>
        </w:rPr>
        <w:t>裁裁决是终局性的并对发包人和设</w:t>
      </w:r>
      <w:r>
        <w:rPr>
          <w:rFonts w:hint="eastAsia" w:ascii="宋体" w:hAnsi="宋体" w:eastAsia="宋体" w:cs="宋体"/>
          <w:color w:val="auto"/>
          <w:sz w:val="21"/>
          <w:szCs w:val="21"/>
          <w:highlight w:val="none"/>
        </w:rPr>
        <w:t>计人双方均具有约束力。全部仲裁费用应由败诉方承担，或按仲裁委员会裁决的比</w:t>
      </w:r>
      <w:r>
        <w:rPr>
          <w:rFonts w:hint="eastAsia" w:ascii="宋体" w:hAnsi="宋体" w:eastAsia="宋体" w:cs="宋体"/>
          <w:color w:val="auto"/>
          <w:spacing w:val="-9"/>
          <w:sz w:val="21"/>
          <w:szCs w:val="21"/>
          <w:highlight w:val="none"/>
        </w:rPr>
        <w:t>例分担</w:t>
      </w:r>
      <w:r>
        <w:rPr>
          <w:rFonts w:hint="eastAsia" w:ascii="宋体" w:hAnsi="宋体" w:eastAsia="宋体" w:cs="宋体"/>
          <w:color w:val="auto"/>
          <w:spacing w:val="0"/>
          <w:w w:val="100"/>
          <w:position w:val="0"/>
          <w:sz w:val="21"/>
          <w:szCs w:val="21"/>
          <w:highlight w:val="none"/>
        </w:rPr>
        <w:t>。</w:t>
      </w:r>
    </w:p>
    <w:p w14:paraId="150685C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spacing w:val="0"/>
          <w:w w:val="100"/>
          <w:position w:val="0"/>
          <w:sz w:val="21"/>
          <w:szCs w:val="21"/>
          <w:highlight w:val="none"/>
        </w:rPr>
        <w:sectPr>
          <w:headerReference r:id="rId33" w:type="default"/>
          <w:footerReference r:id="rId34" w:type="default"/>
          <w:pgSz w:w="11900" w:h="16843"/>
          <w:pgMar w:top="1378" w:right="1417" w:bottom="1208" w:left="1417" w:header="1366" w:footer="1003" w:gutter="0"/>
          <w:pgNumType w:fmt="decimal"/>
          <w:cols w:space="0" w:num="1"/>
          <w:rtlGutter w:val="0"/>
          <w:docGrid w:linePitch="0" w:charSpace="0"/>
        </w:sectPr>
      </w:pPr>
    </w:p>
    <w:p w14:paraId="63E03C6B">
      <w:pPr>
        <w:pStyle w:val="6"/>
        <w:spacing w:before="100" w:line="224" w:lineRule="auto"/>
        <w:ind w:left="2588"/>
        <w:outlineLvl w:val="2"/>
        <w:rPr>
          <w:color w:val="auto"/>
          <w:spacing w:val="0"/>
          <w:w w:val="100"/>
          <w:position w:val="0"/>
          <w:highlight w:val="none"/>
        </w:rPr>
      </w:pPr>
      <w:bookmarkStart w:id="21" w:name="bookmark23"/>
      <w:bookmarkEnd w:id="21"/>
      <w:r>
        <w:rPr>
          <w:b/>
          <w:bCs/>
          <w:color w:val="auto"/>
          <w:spacing w:val="0"/>
          <w:w w:val="100"/>
          <w:position w:val="0"/>
          <w:highlight w:val="none"/>
        </w:rPr>
        <w:t>第二节</w:t>
      </w:r>
      <w:r>
        <w:rPr>
          <w:color w:val="auto"/>
          <w:spacing w:val="0"/>
          <w:w w:val="100"/>
          <w:position w:val="0"/>
          <w:highlight w:val="none"/>
        </w:rPr>
        <w:t xml:space="preserve">  </w:t>
      </w:r>
      <w:r>
        <w:rPr>
          <w:b/>
          <w:bCs/>
          <w:color w:val="auto"/>
          <w:spacing w:val="0"/>
          <w:w w:val="100"/>
          <w:position w:val="0"/>
          <w:highlight w:val="none"/>
        </w:rPr>
        <w:t>专用合同条款</w:t>
      </w:r>
    </w:p>
    <w:p w14:paraId="1C2B7ECB">
      <w:pPr>
        <w:spacing w:line="269" w:lineRule="auto"/>
        <w:rPr>
          <w:rFonts w:ascii="Arial"/>
          <w:color w:val="auto"/>
          <w:spacing w:val="0"/>
          <w:w w:val="100"/>
          <w:position w:val="0"/>
          <w:sz w:val="21"/>
          <w:highlight w:val="none"/>
        </w:rPr>
      </w:pPr>
    </w:p>
    <w:p w14:paraId="3BBC749A">
      <w:pPr>
        <w:pStyle w:val="6"/>
        <w:spacing w:before="91" w:line="234" w:lineRule="auto"/>
        <w:ind w:left="3018"/>
        <w:rPr>
          <w:color w:val="auto"/>
          <w:spacing w:val="0"/>
          <w:w w:val="100"/>
          <w:position w:val="0"/>
          <w:sz w:val="28"/>
          <w:szCs w:val="28"/>
          <w:highlight w:val="none"/>
        </w:rPr>
      </w:pPr>
      <w:r>
        <w:rPr>
          <w:b/>
          <w:bCs/>
          <w:color w:val="auto"/>
          <w:spacing w:val="0"/>
          <w:w w:val="100"/>
          <w:position w:val="0"/>
          <w:sz w:val="28"/>
          <w:szCs w:val="28"/>
          <w:highlight w:val="none"/>
        </w:rPr>
        <w:t>（适用于</w:t>
      </w:r>
      <w:r>
        <w:rPr>
          <w:color w:val="auto"/>
          <w:spacing w:val="0"/>
          <w:w w:val="100"/>
          <w:position w:val="0"/>
          <w:sz w:val="28"/>
          <w:szCs w:val="28"/>
          <w:highlight w:val="none"/>
        </w:rPr>
        <w:t xml:space="preserve"> </w:t>
      </w:r>
      <w:r>
        <w:rPr>
          <w:rFonts w:ascii="Times New Roman" w:hAnsi="Times New Roman" w:eastAsia="Times New Roman" w:cs="Times New Roman"/>
          <w:b/>
          <w:bCs/>
          <w:color w:val="auto"/>
          <w:spacing w:val="0"/>
          <w:w w:val="100"/>
          <w:position w:val="0"/>
          <w:sz w:val="28"/>
          <w:szCs w:val="28"/>
          <w:highlight w:val="none"/>
        </w:rPr>
        <w:t xml:space="preserve">01 </w:t>
      </w:r>
      <w:r>
        <w:rPr>
          <w:b/>
          <w:bCs/>
          <w:color w:val="auto"/>
          <w:spacing w:val="0"/>
          <w:w w:val="100"/>
          <w:position w:val="0"/>
          <w:sz w:val="28"/>
          <w:szCs w:val="28"/>
          <w:highlight w:val="none"/>
        </w:rPr>
        <w:t>标段）</w:t>
      </w:r>
    </w:p>
    <w:p w14:paraId="50B6DD97">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w:t>
      </w:r>
      <w:r>
        <w:rPr>
          <w:b/>
          <w:bCs/>
          <w:color w:val="auto"/>
          <w:spacing w:val="0"/>
          <w:w w:val="100"/>
          <w:position w:val="0"/>
          <w:sz w:val="28"/>
          <w:szCs w:val="28"/>
          <w:highlight w:val="none"/>
        </w:rPr>
        <w:t>一般约定</w:t>
      </w:r>
    </w:p>
    <w:p w14:paraId="130DBDF3">
      <w:pPr>
        <w:keepNext w:val="0"/>
        <w:keepLines w:val="0"/>
        <w:pageBreakBefore w:val="0"/>
        <w:widowControl/>
        <w:kinsoku w:val="0"/>
        <w:wordWrap/>
        <w:overflowPunct/>
        <w:topLinePunct w:val="0"/>
        <w:autoSpaceDE w:val="0"/>
        <w:autoSpaceDN w:val="0"/>
        <w:bidi w:val="0"/>
        <w:adjustRightInd w:val="0"/>
        <w:snapToGrid w:val="0"/>
        <w:spacing w:line="500" w:lineRule="exact"/>
        <w:ind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1.1 </w:t>
      </w:r>
      <w:r>
        <w:rPr>
          <w:rFonts w:ascii="宋体" w:hAnsi="宋体" w:eastAsia="宋体" w:cs="宋体"/>
          <w:b/>
          <w:bCs/>
          <w:color w:val="auto"/>
          <w:spacing w:val="0"/>
          <w:w w:val="100"/>
          <w:position w:val="0"/>
          <w:sz w:val="24"/>
          <w:szCs w:val="24"/>
          <w:highlight w:val="none"/>
        </w:rPr>
        <w:t>词语定义</w:t>
      </w:r>
    </w:p>
    <w:p w14:paraId="6DD409B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"1.1.2.2" </w:instrText>
      </w:r>
      <w:r>
        <w:rPr>
          <w:color w:val="auto"/>
          <w:spacing w:val="0"/>
          <w:w w:val="100"/>
          <w:position w:val="0"/>
          <w:highlight w:val="none"/>
        </w:rPr>
        <w:fldChar w:fldCharType="separate"/>
      </w:r>
      <w:r>
        <w:rPr>
          <w:rFonts w:ascii="Times New Roman" w:hAnsi="Times New Roman" w:eastAsia="Times New Roman" w:cs="Times New Roman"/>
          <w:color w:val="auto"/>
          <w:spacing w:val="0"/>
          <w:w w:val="100"/>
          <w:position w:val="0"/>
          <w:sz w:val="21"/>
          <w:szCs w:val="21"/>
          <w:highlight w:val="none"/>
        </w:rPr>
        <w:t>1.1.2.2</w:t>
      </w:r>
      <w:r>
        <w:rPr>
          <w:rFonts w:ascii="Times New Roman" w:hAnsi="Times New Roman" w:eastAsia="Times New Roman" w:cs="Times New Roman"/>
          <w:color w:val="auto"/>
          <w:spacing w:val="0"/>
          <w:w w:val="100"/>
          <w:position w:val="0"/>
          <w:sz w:val="21"/>
          <w:szCs w:val="21"/>
          <w:highlight w:val="none"/>
        </w:rPr>
        <w:fldChar w:fldCharType="end"/>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发包人：</w:t>
      </w:r>
      <w:r>
        <w:rPr>
          <w:rFonts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eastAsia="zh-CN"/>
        </w:rPr>
        <w:t>滁州市交通运输局</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w:t>
      </w:r>
    </w:p>
    <w:p w14:paraId="7DB9D9B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"1.1.3.1" </w:instrText>
      </w:r>
      <w:r>
        <w:rPr>
          <w:color w:val="auto"/>
          <w:spacing w:val="0"/>
          <w:w w:val="100"/>
          <w:position w:val="0"/>
          <w:highlight w:val="none"/>
        </w:rPr>
        <w:fldChar w:fldCharType="separate"/>
      </w:r>
      <w:r>
        <w:rPr>
          <w:rFonts w:ascii="Times New Roman" w:hAnsi="Times New Roman" w:eastAsia="Times New Roman" w:cs="Times New Roman"/>
          <w:color w:val="auto"/>
          <w:spacing w:val="0"/>
          <w:w w:val="100"/>
          <w:position w:val="0"/>
          <w:sz w:val="21"/>
          <w:szCs w:val="21"/>
          <w:highlight w:val="none"/>
        </w:rPr>
        <w:t>1.1.3.1</w:t>
      </w:r>
      <w:r>
        <w:rPr>
          <w:rFonts w:ascii="Times New Roman" w:hAnsi="Times New Roman" w:eastAsia="Times New Roman" w:cs="Times New Roman"/>
          <w:color w:val="auto"/>
          <w:spacing w:val="0"/>
          <w:w w:val="100"/>
          <w:position w:val="0"/>
          <w:sz w:val="21"/>
          <w:szCs w:val="21"/>
          <w:highlight w:val="none"/>
        </w:rPr>
        <w:fldChar w:fldCharType="end"/>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本次进行勘察设计招标的项目为</w:t>
      </w:r>
      <w:r>
        <w:rPr>
          <w:rFonts w:ascii="宋体" w:hAnsi="宋体" w:eastAsia="宋体" w:cs="宋体"/>
          <w:color w:val="auto"/>
          <w:spacing w:val="0"/>
          <w:w w:val="100"/>
          <w:position w:val="0"/>
          <w:sz w:val="21"/>
          <w:szCs w:val="21"/>
          <w:highlight w:val="none"/>
          <w:u w:val="single" w:color="auto"/>
        </w:rPr>
        <w:t xml:space="preserve">  见招标公告</w:t>
      </w:r>
      <w:r>
        <w:rPr>
          <w:rFonts w:ascii="宋体" w:hAnsi="宋体" w:eastAsia="宋体" w:cs="宋体"/>
          <w:color w:val="auto"/>
          <w:spacing w:val="0"/>
          <w:w w:val="100"/>
          <w:position w:val="0"/>
          <w:sz w:val="21"/>
          <w:szCs w:val="21"/>
          <w:highlight w:val="none"/>
        </w:rPr>
        <w:t>。</w:t>
      </w:r>
    </w:p>
    <w:p w14:paraId="62E9B99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"1.1.3.2" </w:instrText>
      </w:r>
      <w:r>
        <w:rPr>
          <w:color w:val="auto"/>
          <w:spacing w:val="0"/>
          <w:w w:val="100"/>
          <w:position w:val="0"/>
          <w:highlight w:val="none"/>
        </w:rPr>
        <w:fldChar w:fldCharType="separate"/>
      </w:r>
      <w:r>
        <w:rPr>
          <w:rFonts w:ascii="Times New Roman" w:hAnsi="Times New Roman" w:eastAsia="Times New Roman" w:cs="Times New Roman"/>
          <w:color w:val="auto"/>
          <w:spacing w:val="0"/>
          <w:w w:val="100"/>
          <w:position w:val="0"/>
          <w:sz w:val="21"/>
          <w:szCs w:val="21"/>
          <w:highlight w:val="none"/>
        </w:rPr>
        <w:t>1.1.3.2</w:t>
      </w:r>
      <w:r>
        <w:rPr>
          <w:rFonts w:ascii="Times New Roman" w:hAnsi="Times New Roman" w:eastAsia="Times New Roman" w:cs="Times New Roman"/>
          <w:color w:val="auto"/>
          <w:spacing w:val="0"/>
          <w:w w:val="100"/>
          <w:position w:val="0"/>
          <w:sz w:val="21"/>
          <w:szCs w:val="21"/>
          <w:highlight w:val="none"/>
        </w:rPr>
        <w:fldChar w:fldCharType="end"/>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本合同包括的具体勘察设计服务内容：</w:t>
      </w:r>
      <w:r>
        <w:rPr>
          <w:rFonts w:ascii="宋体" w:hAnsi="宋体" w:eastAsia="宋体" w:cs="宋体"/>
          <w:color w:val="auto"/>
          <w:spacing w:val="0"/>
          <w:w w:val="100"/>
          <w:position w:val="0"/>
          <w:sz w:val="21"/>
          <w:szCs w:val="21"/>
          <w:highlight w:val="none"/>
          <w:u w:val="single" w:color="auto"/>
        </w:rPr>
        <w:t>见招标公告</w:t>
      </w:r>
      <w:r>
        <w:rPr>
          <w:rFonts w:ascii="宋体" w:hAnsi="宋体" w:eastAsia="宋体" w:cs="宋体"/>
          <w:color w:val="auto"/>
          <w:spacing w:val="0"/>
          <w:w w:val="100"/>
          <w:position w:val="0"/>
          <w:sz w:val="21"/>
          <w:szCs w:val="21"/>
          <w:highlight w:val="none"/>
        </w:rPr>
        <w:t>。</w:t>
      </w:r>
    </w:p>
    <w:p w14:paraId="299B686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"1.1.3.6" </w:instrText>
      </w:r>
      <w:r>
        <w:rPr>
          <w:color w:val="auto"/>
          <w:spacing w:val="0"/>
          <w:w w:val="100"/>
          <w:position w:val="0"/>
          <w:highlight w:val="none"/>
        </w:rPr>
        <w:fldChar w:fldCharType="separate"/>
      </w:r>
      <w:r>
        <w:rPr>
          <w:rFonts w:ascii="Times New Roman" w:hAnsi="Times New Roman" w:eastAsia="Times New Roman" w:cs="Times New Roman"/>
          <w:color w:val="auto"/>
          <w:spacing w:val="0"/>
          <w:w w:val="100"/>
          <w:position w:val="0"/>
          <w:sz w:val="21"/>
          <w:szCs w:val="21"/>
          <w:highlight w:val="none"/>
        </w:rPr>
        <w:t>1.1.3.6</w:t>
      </w:r>
      <w:r>
        <w:rPr>
          <w:rFonts w:ascii="Times New Roman" w:hAnsi="Times New Roman" w:eastAsia="Times New Roman" w:cs="Times New Roman"/>
          <w:color w:val="auto"/>
          <w:spacing w:val="0"/>
          <w:w w:val="100"/>
          <w:position w:val="0"/>
          <w:sz w:val="21"/>
          <w:szCs w:val="21"/>
          <w:highlight w:val="none"/>
        </w:rPr>
        <w:fldChar w:fldCharType="end"/>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本合同包括的具体勘察设计文件：</w:t>
      </w:r>
      <w:r>
        <w:rPr>
          <w:rFonts w:ascii="宋体" w:hAnsi="宋体" w:eastAsia="宋体" w:cs="宋体"/>
          <w:color w:val="auto"/>
          <w:spacing w:val="0"/>
          <w:w w:val="100"/>
          <w:position w:val="0"/>
          <w:sz w:val="21"/>
          <w:szCs w:val="21"/>
          <w:highlight w:val="none"/>
          <w:u w:val="single" w:color="auto"/>
        </w:rPr>
        <w:t>见第五章发包人要求</w:t>
      </w:r>
      <w:r>
        <w:rPr>
          <w:rFonts w:ascii="宋体" w:hAnsi="宋体" w:eastAsia="宋体" w:cs="宋体"/>
          <w:color w:val="auto"/>
          <w:spacing w:val="0"/>
          <w:w w:val="100"/>
          <w:position w:val="0"/>
          <w:sz w:val="21"/>
          <w:szCs w:val="21"/>
          <w:highlight w:val="none"/>
        </w:rPr>
        <w:t>。</w:t>
      </w:r>
    </w:p>
    <w:p w14:paraId="3319B85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1.6 </w:t>
      </w:r>
      <w:r>
        <w:rPr>
          <w:rFonts w:ascii="宋体" w:hAnsi="宋体" w:eastAsia="宋体" w:cs="宋体"/>
          <w:color w:val="auto"/>
          <w:spacing w:val="0"/>
          <w:w w:val="100"/>
          <w:position w:val="0"/>
          <w:sz w:val="21"/>
          <w:szCs w:val="21"/>
          <w:highlight w:val="none"/>
        </w:rPr>
        <w:t>文件的提供和照管</w:t>
      </w:r>
    </w:p>
    <w:p w14:paraId="7A14419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1.6.2  </w:t>
      </w:r>
      <w:r>
        <w:rPr>
          <w:rFonts w:ascii="宋体" w:hAnsi="宋体" w:eastAsia="宋体" w:cs="宋体"/>
          <w:color w:val="auto"/>
          <w:spacing w:val="0"/>
          <w:w w:val="100"/>
          <w:position w:val="0"/>
          <w:sz w:val="21"/>
          <w:szCs w:val="21"/>
          <w:highlight w:val="none"/>
        </w:rPr>
        <w:t>发包人负责提供的文件包括：</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，提供数量：</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，提供期限：</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2EABEABB">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3.</w:t>
      </w:r>
      <w:r>
        <w:rPr>
          <w:b/>
          <w:bCs/>
          <w:color w:val="auto"/>
          <w:spacing w:val="0"/>
          <w:w w:val="100"/>
          <w:position w:val="0"/>
          <w:sz w:val="28"/>
          <w:szCs w:val="28"/>
          <w:highlight w:val="none"/>
        </w:rPr>
        <w:t>发包人管理</w:t>
      </w:r>
    </w:p>
    <w:p w14:paraId="77699E1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3.2 </w:t>
      </w:r>
      <w:r>
        <w:rPr>
          <w:rFonts w:ascii="宋体" w:hAnsi="宋体" w:eastAsia="宋体" w:cs="宋体"/>
          <w:b/>
          <w:bCs/>
          <w:color w:val="auto"/>
          <w:spacing w:val="0"/>
          <w:w w:val="100"/>
          <w:position w:val="0"/>
          <w:sz w:val="24"/>
          <w:szCs w:val="24"/>
          <w:highlight w:val="none"/>
        </w:rPr>
        <w:t>监理人</w:t>
      </w:r>
    </w:p>
    <w:p w14:paraId="0FE7B73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3.2.1  </w:t>
      </w:r>
      <w:r>
        <w:rPr>
          <w:rFonts w:ascii="宋体" w:hAnsi="宋体" w:eastAsia="宋体" w:cs="宋体"/>
          <w:color w:val="auto"/>
          <w:spacing w:val="0"/>
          <w:w w:val="100"/>
          <w:position w:val="0"/>
          <w:sz w:val="21"/>
          <w:szCs w:val="21"/>
          <w:highlight w:val="none"/>
        </w:rPr>
        <w:t>本工程是否委托监理人进行勘察设计监理：</w:t>
      </w:r>
      <w:r>
        <w:rPr>
          <w:rFonts w:ascii="宋体" w:hAnsi="宋体" w:eastAsia="宋体" w:cs="宋体"/>
          <w:color w:val="auto"/>
          <w:spacing w:val="0"/>
          <w:w w:val="100"/>
          <w:position w:val="0"/>
          <w:sz w:val="21"/>
          <w:szCs w:val="21"/>
          <w:highlight w:val="none"/>
          <w:u w:val="single" w:color="auto"/>
        </w:rPr>
        <w:t>是，由发包人委托咨询人进行工程可行性研究和勘察设计咨询</w:t>
      </w:r>
      <w:r>
        <w:rPr>
          <w:rFonts w:ascii="宋体" w:hAnsi="宋体" w:eastAsia="宋体" w:cs="宋体"/>
          <w:color w:val="auto"/>
          <w:spacing w:val="0"/>
          <w:w w:val="100"/>
          <w:position w:val="0"/>
          <w:sz w:val="21"/>
          <w:szCs w:val="21"/>
          <w:highlight w:val="none"/>
        </w:rPr>
        <w:t>。</w:t>
      </w:r>
    </w:p>
    <w:p w14:paraId="148D8A0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如进行勘察设计监理，监理人的监理范围包括：</w:t>
      </w:r>
      <w:r>
        <w:rPr>
          <w:rFonts w:ascii="宋体" w:hAnsi="宋体" w:eastAsia="宋体" w:cs="宋体"/>
          <w:color w:val="auto"/>
          <w:spacing w:val="0"/>
          <w:w w:val="100"/>
          <w:position w:val="0"/>
          <w:sz w:val="21"/>
          <w:szCs w:val="21"/>
          <w:highlight w:val="none"/>
          <w:u w:val="single" w:color="auto"/>
        </w:rPr>
        <w:t>工程可行性研究和勘察设计等，详见</w:t>
      </w:r>
      <w:r>
        <w:rPr>
          <w:rFonts w:ascii="Times New Roman" w:hAnsi="Times New Roman" w:eastAsia="Times New Roman" w:cs="Times New Roman"/>
          <w:color w:val="auto"/>
          <w:spacing w:val="0"/>
          <w:w w:val="100"/>
          <w:position w:val="0"/>
          <w:sz w:val="21"/>
          <w:szCs w:val="21"/>
          <w:highlight w:val="none"/>
          <w:u w:val="single" w:color="auto"/>
        </w:rPr>
        <w:t>2</w:t>
      </w:r>
      <w:r>
        <w:rPr>
          <w:rFonts w:ascii="宋体" w:hAnsi="宋体" w:eastAsia="宋体" w:cs="宋体"/>
          <w:color w:val="auto"/>
          <w:spacing w:val="0"/>
          <w:w w:val="100"/>
          <w:position w:val="0"/>
          <w:sz w:val="21"/>
          <w:szCs w:val="21"/>
          <w:highlight w:val="none"/>
          <w:u w:val="single" w:color="auto"/>
        </w:rPr>
        <w:t xml:space="preserve">标段委托人要求 </w:t>
      </w:r>
      <w:r>
        <w:rPr>
          <w:rFonts w:ascii="宋体" w:hAnsi="宋体" w:eastAsia="宋体" w:cs="宋体"/>
          <w:color w:val="auto"/>
          <w:spacing w:val="0"/>
          <w:w w:val="100"/>
          <w:position w:val="0"/>
          <w:sz w:val="21"/>
          <w:szCs w:val="21"/>
          <w:highlight w:val="none"/>
        </w:rPr>
        <w:t>。</w:t>
      </w:r>
    </w:p>
    <w:p w14:paraId="1689F45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3.4 </w:t>
      </w:r>
      <w:r>
        <w:rPr>
          <w:rFonts w:ascii="宋体" w:hAnsi="宋体" w:eastAsia="宋体" w:cs="宋体"/>
          <w:b/>
          <w:bCs/>
          <w:color w:val="auto"/>
          <w:spacing w:val="0"/>
          <w:w w:val="100"/>
          <w:position w:val="0"/>
          <w:sz w:val="24"/>
          <w:szCs w:val="24"/>
          <w:highlight w:val="none"/>
        </w:rPr>
        <w:t>决定或答复</w:t>
      </w:r>
    </w:p>
    <w:p w14:paraId="3497A2A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3.4.1 </w:t>
      </w:r>
      <w:r>
        <w:rPr>
          <w:rFonts w:ascii="宋体" w:hAnsi="宋体" w:eastAsia="宋体" w:cs="宋体"/>
          <w:color w:val="auto"/>
          <w:spacing w:val="0"/>
          <w:w w:val="100"/>
          <w:position w:val="0"/>
          <w:sz w:val="21"/>
          <w:szCs w:val="21"/>
          <w:highlight w:val="none"/>
        </w:rPr>
        <w:t>发包人应在收到设计人书面提出的事项后天</w:t>
      </w:r>
      <w:r>
        <w:rPr>
          <w:rFonts w:ascii="Times New Roman" w:hAnsi="Times New Roman" w:eastAsia="Times New Roman" w:cs="Times New Roman"/>
          <w:color w:val="auto"/>
          <w:spacing w:val="0"/>
          <w:w w:val="100"/>
          <w:position w:val="0"/>
          <w:sz w:val="21"/>
          <w:szCs w:val="21"/>
          <w:highlight w:val="none"/>
          <w:u w:val="single" w:color="auto"/>
        </w:rPr>
        <w:t xml:space="preserve">  15  </w:t>
      </w:r>
      <w:r>
        <w:rPr>
          <w:rFonts w:ascii="宋体" w:hAnsi="宋体" w:eastAsia="宋体" w:cs="宋体"/>
          <w:color w:val="auto"/>
          <w:spacing w:val="0"/>
          <w:w w:val="100"/>
          <w:position w:val="0"/>
          <w:sz w:val="21"/>
          <w:szCs w:val="21"/>
          <w:highlight w:val="none"/>
        </w:rPr>
        <w:t>内作出书面答复。</w:t>
      </w:r>
    </w:p>
    <w:p w14:paraId="3B808ED0">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4.</w:t>
      </w:r>
      <w:r>
        <w:rPr>
          <w:b/>
          <w:bCs/>
          <w:color w:val="auto"/>
          <w:spacing w:val="0"/>
          <w:w w:val="100"/>
          <w:position w:val="0"/>
          <w:sz w:val="28"/>
          <w:szCs w:val="28"/>
          <w:highlight w:val="none"/>
        </w:rPr>
        <w:t>设计人义务</w:t>
      </w:r>
    </w:p>
    <w:p w14:paraId="2D371B6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b/>
          <w:bCs/>
          <w:color w:val="auto"/>
          <w:spacing w:val="0"/>
          <w:w w:val="100"/>
          <w:position w:val="0"/>
          <w:sz w:val="21"/>
          <w:szCs w:val="21"/>
          <w:highlight w:val="none"/>
        </w:rPr>
        <w:t xml:space="preserve">4.1.6.6 </w:t>
      </w:r>
      <w:r>
        <w:rPr>
          <w:rFonts w:ascii="宋体" w:hAnsi="宋体" w:eastAsia="宋体" w:cs="宋体"/>
          <w:b/>
          <w:bCs/>
          <w:color w:val="auto"/>
          <w:spacing w:val="0"/>
          <w:w w:val="100"/>
          <w:position w:val="0"/>
          <w:sz w:val="21"/>
          <w:szCs w:val="21"/>
          <w:highlight w:val="none"/>
        </w:rPr>
        <w:t>设计人应履行的其他义务</w:t>
      </w:r>
    </w:p>
    <w:p w14:paraId="3F45BD3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b/>
          <w:bCs/>
          <w:color w:val="auto"/>
          <w:spacing w:val="0"/>
          <w:w w:val="100"/>
          <w:position w:val="0"/>
          <w:sz w:val="21"/>
          <w:szCs w:val="21"/>
          <w:highlight w:val="none"/>
        </w:rPr>
        <w:t xml:space="preserve">4.1.6.6.1 </w:t>
      </w:r>
      <w:r>
        <w:rPr>
          <w:rFonts w:ascii="宋体" w:hAnsi="宋体" w:eastAsia="宋体" w:cs="宋体"/>
          <w:b/>
          <w:bCs/>
          <w:color w:val="auto"/>
          <w:spacing w:val="0"/>
          <w:w w:val="100"/>
          <w:position w:val="0"/>
          <w:sz w:val="21"/>
          <w:szCs w:val="21"/>
          <w:highlight w:val="none"/>
        </w:rPr>
        <w:t>设计人勘察的一般规定</w:t>
      </w:r>
    </w:p>
    <w:p w14:paraId="0018054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设计人应严格执行有关地质勘察规范和相关试验规程，确保完成相应地勘（含外勘）工作量，深化工程地质、水文地质勘察和专项研究，设计单位须加强外业调查工作，尤其加强高速公路涉及的路系、水系、三杆迁移、沿线的水文条件等的调查，提高设计基础资料的全面性、准确性，以正确指导设计，有效控制工程造价。</w:t>
      </w:r>
    </w:p>
    <w:p w14:paraId="4746073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设计人应在进场前编制《地质勘察（含外勘）工作大纲》并报发包人审查，明确全过程质量监控体系，提出相应的质量要求、标准和对策措施等。审查通过后即成为地质勘察工作的依据，勘察过程中不得随意变更《地质勘察（含外勘）工作大纲》中规定内容，确需变更时应征得发包人的书面同意。</w:t>
      </w:r>
    </w:p>
    <w:p w14:paraId="0ED63CE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）设计人地质调绘、钻探、物探等工作布置与质量要求，均应符合《公路工程地质勘察规范》（</w:t>
      </w:r>
      <w:r>
        <w:rPr>
          <w:rFonts w:ascii="Times New Roman" w:hAnsi="Times New Roman" w:eastAsia="Times New Roman" w:cs="Times New Roman"/>
          <w:color w:val="auto"/>
          <w:spacing w:val="0"/>
          <w:w w:val="100"/>
          <w:position w:val="0"/>
          <w:sz w:val="21"/>
          <w:szCs w:val="21"/>
          <w:highlight w:val="none"/>
        </w:rPr>
        <w:t>JTGC20-2011</w:t>
      </w:r>
      <w:r>
        <w:rPr>
          <w:rFonts w:ascii="宋体" w:hAnsi="宋体" w:eastAsia="宋体" w:cs="宋体"/>
          <w:color w:val="auto"/>
          <w:spacing w:val="0"/>
          <w:w w:val="100"/>
          <w:position w:val="0"/>
          <w:sz w:val="21"/>
          <w:szCs w:val="21"/>
          <w:highlight w:val="none"/>
        </w:rPr>
        <w:t>）的有关规定。</w:t>
      </w:r>
    </w:p>
    <w:p w14:paraId="48AEA42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）初步设计阶段的工程地质勘察，应围绕初步选定设计方案的需要开展，查明公路沿 线的区域地质条件，着重查明对确定路线方案的位置起控制作用的不良工程地质、桥位工程地质条件特别是与方案比选有关的主要工程地质问题等，对地质条件复杂的大型桥梁以及较大规模的地质灾害整治或特殊路基，应有专项地质勘察资料。施工图设计阶段工程地质勘察工作符合交通运输部《关于进一步加强公路勘察设计工作的若干意见》（交公路发〔</w:t>
      </w:r>
      <w:r>
        <w:rPr>
          <w:rFonts w:ascii="Times New Roman" w:hAnsi="Times New Roman" w:eastAsia="Times New Roman" w:cs="Times New Roman"/>
          <w:color w:val="auto"/>
          <w:spacing w:val="0"/>
          <w:w w:val="100"/>
          <w:position w:val="0"/>
          <w:sz w:val="21"/>
          <w:szCs w:val="21"/>
          <w:highlight w:val="none"/>
        </w:rPr>
        <w:t>2011</w:t>
      </w: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 xml:space="preserve">504 </w:t>
      </w:r>
      <w:r>
        <w:rPr>
          <w:rFonts w:ascii="宋体" w:hAnsi="宋体" w:eastAsia="宋体" w:cs="宋体"/>
          <w:color w:val="auto"/>
          <w:spacing w:val="0"/>
          <w:w w:val="100"/>
          <w:position w:val="0"/>
          <w:sz w:val="21"/>
          <w:szCs w:val="21"/>
          <w:highlight w:val="none"/>
        </w:rPr>
        <w:t>号）要求。施工过程中发现不良地质与设计文件提供的地质有较大变化的，应由勘察设计单位及时无偿完成地质补充勘察工作。</w:t>
      </w:r>
    </w:p>
    <w:p w14:paraId="5054E61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设计人应提高地质勘察的针对性和有效性，避免在地形地质条件简单、钻探方便的地方增加工作量，在地质、地形复杂，钻探困难的地方减少工作量。同时，对线位调整后钻探资料能否利用应对照规范论证分析，不能利用的，应补充钻探资料。</w:t>
      </w:r>
    </w:p>
    <w:p w14:paraId="208806A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3）</w:t>
      </w:r>
      <w:r>
        <w:rPr>
          <w:rFonts w:hint="default" w:ascii="宋体" w:hAnsi="宋体" w:eastAsia="宋体" w:cs="宋体"/>
          <w:color w:val="auto"/>
          <w:spacing w:val="0"/>
          <w:w w:val="100"/>
          <w:position w:val="0"/>
          <w:sz w:val="21"/>
          <w:szCs w:val="21"/>
          <w:highlight w:val="none"/>
        </w:rPr>
        <w:t>设计人应按照国家及行业现行规范要求，对全线特殊工点（包括高填深挖、斜陡坡、隧道高陡边仰坡、桥台高护坡、不良地质和特殊性岩土、水文地质复杂段边坡等）加大勘察深度，结合极端降雨、洪涝等灾害条件，深化边坡稳定性分析和变形机理研究，充分考虑地表水和地下水影响，增强抗灾能力冗余度。</w:t>
      </w:r>
    </w:p>
    <w:p w14:paraId="66BB2EA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hint="default"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4）</w:t>
      </w:r>
      <w:r>
        <w:rPr>
          <w:rFonts w:hint="default" w:ascii="宋体" w:hAnsi="宋体" w:eastAsia="宋体" w:cs="宋体"/>
          <w:color w:val="auto"/>
          <w:spacing w:val="0"/>
          <w:w w:val="100"/>
          <w:position w:val="0"/>
          <w:sz w:val="21"/>
          <w:szCs w:val="21"/>
          <w:highlight w:val="none"/>
        </w:rPr>
        <w:t>设计人应推行勘察据实计费制度，建立全过程质量监控体系。勘察成果文件须由勘察设计单位签字盖章，勘察设计审查发现的相关问题应按规定纳入信用评价。勘察监理工作须与勘察工作同步进行。</w:t>
      </w:r>
    </w:p>
    <w:p w14:paraId="55F8F10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）工程地质勘察实行监理制度。工程地质勘察监理单位依照审查后的勘察工作大纲和监理工作大纲对工程地质勘察进行监理，勘察监理工作与勘察工作同步进行。</w:t>
      </w:r>
    </w:p>
    <w:p w14:paraId="3A7473B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rPr>
        <w:t>）工程地质勘察实行专项验收制度。各阶段工程地质勘察结束后，由发包人组织对勘察资料和勘察报告进行验收。验收将对工程地质勘察工作情况做出评价，详细确定初勘阶 段地质勘察工作量，明确提出需要补充、完善的相关工作。</w:t>
      </w:r>
    </w:p>
    <w:p w14:paraId="77FE987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6</w:t>
      </w:r>
      <w:r>
        <w:rPr>
          <w:rFonts w:ascii="宋体" w:hAnsi="宋体" w:eastAsia="宋体" w:cs="宋体"/>
          <w:color w:val="auto"/>
          <w:spacing w:val="0"/>
          <w:w w:val="100"/>
          <w:position w:val="0"/>
          <w:sz w:val="21"/>
          <w:szCs w:val="21"/>
          <w:highlight w:val="none"/>
        </w:rPr>
        <w:t>）地质勘察必须与工程设计相结合，严防勘察与设计</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脱节</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。审查及施工过程若发现地质成果未与设计相结合或与现场揭示地质情况不符，设计人应负质量责任，并无条件进行补勘，不另计费用。</w:t>
      </w:r>
    </w:p>
    <w:p w14:paraId="5A525E3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4.1.6.6.2 </w:t>
      </w:r>
      <w:r>
        <w:rPr>
          <w:rFonts w:ascii="宋体" w:hAnsi="宋体" w:eastAsia="宋体" w:cs="宋体"/>
          <w:color w:val="auto"/>
          <w:spacing w:val="0"/>
          <w:w w:val="100"/>
          <w:position w:val="0"/>
          <w:sz w:val="21"/>
          <w:szCs w:val="21"/>
          <w:highlight w:val="none"/>
        </w:rPr>
        <w:t>设计人设计的一般规定</w:t>
      </w:r>
    </w:p>
    <w:p w14:paraId="387FBA9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）总体设计方面</w:t>
      </w:r>
    </w:p>
    <w:p w14:paraId="495C13A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 xml:space="preserve">）设计单位对全线工程设计的整体性负责，须认真贯彻落实交通运输部交公路发 </w:t>
      </w:r>
      <w:r>
        <w:rPr>
          <w:rFonts w:ascii="Times New Roman" w:hAnsi="Times New Roman" w:eastAsia="Times New Roman" w:cs="Times New Roman"/>
          <w:color w:val="auto"/>
          <w:spacing w:val="0"/>
          <w:w w:val="100"/>
          <w:position w:val="0"/>
          <w:sz w:val="21"/>
          <w:szCs w:val="21"/>
          <w:highlight w:val="none"/>
        </w:rPr>
        <w:t xml:space="preserve">[2011]504 </w:t>
      </w:r>
      <w:r>
        <w:rPr>
          <w:rFonts w:ascii="宋体" w:hAnsi="宋体" w:eastAsia="宋体" w:cs="宋体"/>
          <w:color w:val="auto"/>
          <w:spacing w:val="0"/>
          <w:w w:val="100"/>
          <w:position w:val="0"/>
          <w:sz w:val="21"/>
          <w:szCs w:val="21"/>
          <w:highlight w:val="none"/>
        </w:rPr>
        <w:t>号和省交通运输厅皖交建管</w:t>
      </w:r>
      <w:r>
        <w:rPr>
          <w:rFonts w:ascii="Times New Roman" w:hAnsi="Times New Roman" w:eastAsia="Times New Roman" w:cs="Times New Roman"/>
          <w:color w:val="auto"/>
          <w:spacing w:val="0"/>
          <w:w w:val="100"/>
          <w:position w:val="0"/>
          <w:sz w:val="21"/>
          <w:szCs w:val="21"/>
          <w:highlight w:val="none"/>
        </w:rPr>
        <w:t xml:space="preserve">[2011]399 </w:t>
      </w:r>
      <w:r>
        <w:rPr>
          <w:rFonts w:ascii="宋体" w:hAnsi="宋体" w:eastAsia="宋体" w:cs="宋体"/>
          <w:color w:val="auto"/>
          <w:spacing w:val="0"/>
          <w:w w:val="100"/>
          <w:position w:val="0"/>
          <w:sz w:val="21"/>
          <w:szCs w:val="21"/>
          <w:highlight w:val="none"/>
        </w:rPr>
        <w:t>号文件精神，进一步加强地质勘察和外业调查工作，确保资料的全面、实用、可信。编制、报审外业勘察和地质勘察指导书，做好地勘、外勘专项验收准备工作。加强总体设计工作，以保证设计成果的完整性、合理性和统一性。认真编制总体勘察设计大纲和事先作业指导书，报项目建设管理单位审查确认后执行。</w:t>
      </w:r>
    </w:p>
    <w:p w14:paraId="22ECED2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）设计人应结合沿线地形地貌、工程地质、水文地质、生态环境、人文环境、路网构 成等因素，制订具有项目自身特点的勘察设计指导思想与设计原则，要统筹考虑工程设计、自然生态环境保护和公路与社会人文景观的协调，以及施工、养护过程中对生态环境的保护和恢复措施，合理利用路线走廊资源，详细勘察，精心设计，选定技术先进、安全可靠、适用耐久、绿色环保、经济合理的工程方案。</w:t>
      </w:r>
    </w:p>
    <w:p w14:paraId="10C8908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对影响或制约路线方案的技术指标高低掌握、路基高度、路基填料、路基横断面布置方式、高路堤与高架桥、特殊桥梁、互通式立交、沿线设施布置方案、取（弃）土场等典型工程或路段方案，除进行技术、经济方案论证外，还要从道路使用安全、环境保护、土地的合理利用等方面进行综合比较；应充分吸收环境保护评估报告、水土保持评估报告、地质灾害评估报告、抗震评估报告、文物评估报告、压矿评估报告和防洪评估报告中的意见，逐项落实本项目环评报告批复意见与要求，在施工方案、便桥便道、取弃土场地等方面具体明确环保（含水保）要求，临时</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保通</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方案合理可行。</w:t>
      </w:r>
    </w:p>
    <w:p w14:paraId="2F53064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设计文件应将环保、水保批复的硬性指标纳入其中，避免与环保、水保验收脱节。</w:t>
      </w:r>
    </w:p>
    <w:p w14:paraId="480A32C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）设计人应根据现场情况合理设计施工便道、便桥、临时电力线路，并提供相应的设 计图纸和概算，由此可能发生的一切相关设计费用均应计入投标价中，发包人将不另行支付。</w:t>
      </w:r>
    </w:p>
    <w:p w14:paraId="3DE8A3E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）设计文件及概算应包括结构计算书、水文调查及计算、边坡验算等基础资料（含电子版），同步完成设计桥隧安全风险评估报告，发包人将一次安排审查。</w:t>
      </w:r>
    </w:p>
    <w:p w14:paraId="226A888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rPr>
        <w:t xml:space="preserve">）设计人应在收到发包人或发包人上级主管部门提出的审查意见后 </w:t>
      </w:r>
      <w:r>
        <w:rPr>
          <w:rFonts w:ascii="Times New Roman" w:hAnsi="Times New Roman" w:eastAsia="Times New Roman" w:cs="Times New Roman"/>
          <w:color w:val="auto"/>
          <w:spacing w:val="0"/>
          <w:w w:val="100"/>
          <w:position w:val="0"/>
          <w:sz w:val="21"/>
          <w:szCs w:val="21"/>
          <w:highlight w:val="none"/>
        </w:rPr>
        <w:t xml:space="preserve">10 </w:t>
      </w:r>
      <w:r>
        <w:rPr>
          <w:rFonts w:ascii="宋体" w:hAnsi="宋体" w:eastAsia="宋体" w:cs="宋体"/>
          <w:color w:val="auto"/>
          <w:spacing w:val="0"/>
          <w:w w:val="100"/>
          <w:position w:val="0"/>
          <w:sz w:val="21"/>
          <w:szCs w:val="21"/>
          <w:highlight w:val="none"/>
        </w:rPr>
        <w:t>天内，完成勘察设计文件的修改工作，并按合同书要求数量出版修编后的全套勘察设计文件和概预算文件。若超过本款规定的期限，将视为设计单位违约。</w:t>
      </w:r>
    </w:p>
    <w:p w14:paraId="4ADD7BC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6</w:t>
      </w:r>
      <w:r>
        <w:rPr>
          <w:rFonts w:ascii="宋体" w:hAnsi="宋体" w:eastAsia="宋体" w:cs="宋体"/>
          <w:color w:val="auto"/>
          <w:spacing w:val="0"/>
          <w:w w:val="100"/>
          <w:position w:val="0"/>
          <w:sz w:val="21"/>
          <w:szCs w:val="21"/>
          <w:highlight w:val="none"/>
        </w:rPr>
        <w:t>）根据高速公路项目开工及审批要求，设计人应及时向发包人提交项目试验段供报批的设计文件。</w:t>
      </w:r>
    </w:p>
    <w:p w14:paraId="4ADC3C8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7</w:t>
      </w:r>
      <w:r>
        <w:rPr>
          <w:rFonts w:hint="default" w:ascii="宋体" w:hAnsi="宋体" w:eastAsia="宋体" w:cs="宋体"/>
          <w:color w:val="auto"/>
          <w:spacing w:val="0"/>
          <w:w w:val="100"/>
          <w:position w:val="0"/>
          <w:sz w:val="21"/>
          <w:szCs w:val="21"/>
          <w:highlight w:val="none"/>
        </w:rPr>
        <w:t>）数字化与智慧公路建设：设计人应严格落实《关于推进公路数字化转型加快智慧公路建设发展的意见》（交公路发〔2023〕131号）、《智慧交通发展“十五五”规划》（交规划发〔2026〕71号）及《关于支持引导公路水路交通基础设施数字化转型升级的通知》（财建〔2024〕96号）要求，积极采用无人机激光雷达测绘、倾斜摄影、高分遥感、北斗定位等数字化勘测手段。本项目应采用BIM技术进行正向设计，建立基于BIM的协同设计平台，实现三维协同设计、自动生成工程量清单、参数化设计和复杂工程三维模拟分析。设计人应按要求提交BIM全信息模型设计文件，BIM模型应满足施工及未来运营养护阶段的应用需求，并在设计文件中明确数字化交付标准和格式。对复杂工点应应用BIM技术全面反映地质条件及设计施工方案。</w:t>
      </w:r>
    </w:p>
    <w:p w14:paraId="74C00BA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hint="default"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8</w:t>
      </w:r>
      <w:r>
        <w:rPr>
          <w:rFonts w:hint="default" w:ascii="宋体" w:hAnsi="宋体" w:eastAsia="宋体" w:cs="宋体"/>
          <w:color w:val="auto"/>
          <w:spacing w:val="0"/>
          <w:w w:val="100"/>
          <w:position w:val="0"/>
          <w:sz w:val="21"/>
          <w:szCs w:val="21"/>
          <w:highlight w:val="none"/>
        </w:rPr>
        <w:t>）绿色低碳与交能融合：设计人应依据《关于推动交通运输与能源融合发展的指导意见》（交规划发〔2025〕42号）及安徽省相关实施方案，贯彻绿色低碳设计理念。设计文件应单列环境保护与景观篇章，明确防治环境污染和生态破坏的具体措施，环境保护设施费用应纳入项目投资，节约集约利用土地。结合服务区、收费站、互通区、边坡等应用场景，合理规划光伏发电等清洁能源设施，预留或同步设计新能源设施接入条件，推进高速公路绿色低碳转型与交能融合发展。在项目可行性研究中应根据项目实际增加清洁能源开发利用专章。</w:t>
      </w:r>
    </w:p>
    <w:p w14:paraId="0438FC6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hint="default"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9</w:t>
      </w:r>
      <w:r>
        <w:rPr>
          <w:rFonts w:hint="default" w:ascii="宋体" w:hAnsi="宋体" w:eastAsia="宋体" w:cs="宋体"/>
          <w:color w:val="auto"/>
          <w:spacing w:val="0"/>
          <w:w w:val="100"/>
          <w:position w:val="0"/>
          <w:sz w:val="21"/>
          <w:szCs w:val="21"/>
          <w:highlight w:val="none"/>
        </w:rPr>
        <w:t>）交旅融合与品质提升：设计人应结合项目沿线自然景观和旅游资源，贯彻交旅融合理念，合理设置观景平台、旅游服务设施、标识引导系统等，提升公路服务品质和旅游功能，促进交通与旅游融合发展。设计人应根据项目特点，认真开展新课题研究、新技术应用等，及时将设计成果转换运用到项目中，提升工程的质量和品质，创新设计理念，使设计的项目达到“精品工程、优质工程、平安百年品质工程”等创优管理目标。</w:t>
      </w:r>
    </w:p>
    <w:p w14:paraId="1B94928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10</w:t>
      </w:r>
      <w:r>
        <w:rPr>
          <w:rFonts w:hint="default" w:ascii="宋体" w:hAnsi="宋体" w:eastAsia="宋体" w:cs="宋体"/>
          <w:color w:val="auto"/>
          <w:spacing w:val="0"/>
          <w:w w:val="100"/>
          <w:position w:val="0"/>
          <w:sz w:val="21"/>
          <w:szCs w:val="21"/>
          <w:highlight w:val="none"/>
        </w:rPr>
        <w:t>）四新技术推广应用： 设计人应积极推广应用新技术、新工艺、新材料、新设备（以下简称“四新技术”），在勘察设计方案中明确四新技术应用内容，并在设计文件中予以体现。对技术复杂、工程规模较大的关键节点，应开展专题技术论证，确保四新技术应用的合理性、可靠性和经济性。配合发包人做好相关课题研究成果资料的收集和申报工作。</w:t>
      </w:r>
    </w:p>
    <w:p w14:paraId="2C024E4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）路线</w:t>
      </w:r>
    </w:p>
    <w:p w14:paraId="13D2F32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应按公路勘测规范进行各阶段测量和路线调查工作，外业测量、中桩放样记录原始资料应与设计文件一同送审，由调查不细致引起的方案变更不予计费，耽误的设计时间由设计单位负责。</w:t>
      </w:r>
    </w:p>
    <w:p w14:paraId="1BC9D8A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）路基路面</w:t>
      </w:r>
    </w:p>
    <w:p w14:paraId="7CBAEB1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应尽量减少采用高填深挖路基。不得已采用时应严格按规程、规范采用工程地质测绘、物探、原位测试、取样试验等综合工程地质勘探手段进行专项工程地质勘察，加密勘探点位，在获取准确、完整的岩土物理力学参数的基础上进行稳定性分析验算，据此进行针对性设计，同时应提供详细的工程设计图表和工程数量。</w:t>
      </w:r>
    </w:p>
    <w:p w14:paraId="18B3A8E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沿河路段应保证合理的路基设计标高，加强防护工程设计，并应注意弃方处理，保护河道和沿线自然环境。要调查清楚冲刷线标高，确保沿河挡墙基础埋设在冲刷线以下至少米或嵌入微风化基岩内，必要时增加护坦，使沿河挡墙具有足够的抗洪水冲刷能力。路基边坡排水必须引入附近河道、沟渠，不能只做到红线范围。</w:t>
      </w:r>
    </w:p>
    <w:p w14:paraId="7A0472D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）应针对超重载交通、桥面的沥青铺装层等特殊路段进行专项路面设计。</w:t>
      </w:r>
    </w:p>
    <w:p w14:paraId="24B7D97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）取、弃土场、筑路材料等的调查和试验应真实可靠，符合项目实际需求。</w:t>
      </w:r>
    </w:p>
    <w:p w14:paraId="4D5EF99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）桥梁</w:t>
      </w:r>
    </w:p>
    <w:p w14:paraId="322C11D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w:t>
      </w:r>
      <w:r>
        <w:rPr>
          <w:rFonts w:ascii="Segoe UI" w:hAnsi="Segoe UI" w:eastAsia="Segoe UI" w:cs="Segoe UI"/>
          <w:i w:val="0"/>
          <w:iCs w:val="0"/>
          <w:caps w:val="0"/>
          <w:color w:val="auto"/>
          <w:spacing w:val="0"/>
          <w:sz w:val="21"/>
          <w:szCs w:val="21"/>
          <w:highlight w:val="none"/>
          <w:shd w:val="clear" w:fill="FFFFFF"/>
        </w:rPr>
        <w:t>应对特大、特殊桥梁进行多方案比选，提供技术经济比选成果表。应按交通运输部文件要求进行必要的</w:t>
      </w:r>
      <w:r>
        <w:rPr>
          <w:rFonts w:hint="default" w:ascii="Segoe UI" w:hAnsi="Segoe UI" w:eastAsia="Segoe UI" w:cs="Segoe UI"/>
          <w:b/>
          <w:bCs/>
          <w:i w:val="0"/>
          <w:iCs w:val="0"/>
          <w:caps w:val="0"/>
          <w:color w:val="auto"/>
          <w:spacing w:val="0"/>
          <w:sz w:val="21"/>
          <w:szCs w:val="21"/>
          <w:highlight w:val="none"/>
          <w:shd w:val="clear" w:fill="FFFFFF"/>
        </w:rPr>
        <w:t>桥梁和隧道工程设计安全风险评估</w:t>
      </w:r>
      <w:r>
        <w:rPr>
          <w:rFonts w:hint="default" w:ascii="Segoe UI" w:hAnsi="Segoe UI" w:eastAsia="Segoe UI" w:cs="Segoe UI"/>
          <w:i w:val="0"/>
          <w:iCs w:val="0"/>
          <w:caps w:val="0"/>
          <w:color w:val="auto"/>
          <w:spacing w:val="0"/>
          <w:sz w:val="21"/>
          <w:szCs w:val="21"/>
          <w:highlight w:val="none"/>
          <w:shd w:val="clear" w:fill="FFFFFF"/>
        </w:rPr>
        <w:t>并采取相应措施</w:t>
      </w:r>
      <w:r>
        <w:rPr>
          <w:rFonts w:ascii="宋体" w:hAnsi="宋体" w:eastAsia="宋体" w:cs="宋体"/>
          <w:color w:val="auto"/>
          <w:spacing w:val="0"/>
          <w:w w:val="100"/>
          <w:position w:val="0"/>
          <w:sz w:val="21"/>
          <w:szCs w:val="21"/>
          <w:highlight w:val="none"/>
        </w:rPr>
        <w:t>。</w:t>
      </w:r>
    </w:p>
    <w:p w14:paraId="3840A0F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）路线在跨越河道时，其桥型布置应征得水利部门的同意。对墩柱穿越集镇、地方道路等与车辆有冲突的位置，应设置防护，避免墩柱撞坏。</w:t>
      </w:r>
    </w:p>
    <w:p w14:paraId="4390665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）起桥高度应结合地形地质、水文、路基填料、弃废方利用、占地等因素综合考虑。</w:t>
      </w:r>
    </w:p>
    <w:p w14:paraId="3710FAE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）应重视标准化设计。</w:t>
      </w:r>
    </w:p>
    <w:p w14:paraId="2CD8FC1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hint="default"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5）</w:t>
      </w:r>
      <w:r>
        <w:rPr>
          <w:rFonts w:hint="default" w:ascii="宋体" w:hAnsi="宋体" w:eastAsia="宋体" w:cs="宋体"/>
          <w:color w:val="auto"/>
          <w:spacing w:val="0"/>
          <w:w w:val="100"/>
          <w:position w:val="0"/>
          <w:sz w:val="21"/>
          <w:szCs w:val="21"/>
          <w:highlight w:val="none"/>
        </w:rPr>
        <w:t>桥梁结构分析计算：设计人应对特大桥梁、特殊结构桥梁进行详细的结构分析计算，包括但不限于结构静力分析、动力分析、抗震分析、抗风分析、耐久性分析等。计算模型及结果应列入设计文件基础资料中，随设计文件一并提交审查。对连续刚构等特殊结构桥梁及复杂节点，应按要求进行同等深度的结构验算，确保结构安全可靠。</w:t>
      </w:r>
    </w:p>
    <w:p w14:paraId="33099B8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hint="eastAsia" w:ascii="宋体" w:hAnsi="宋体" w:eastAsia="宋体" w:cs="宋体"/>
          <w:color w:val="auto"/>
          <w:spacing w:val="0"/>
          <w:w w:val="100"/>
          <w:position w:val="0"/>
          <w:sz w:val="21"/>
          <w:szCs w:val="21"/>
          <w:highlight w:val="none"/>
          <w:lang w:val="en-US" w:eastAsia="zh-CN"/>
        </w:rPr>
      </w:pPr>
      <w:r>
        <w:rPr>
          <w:rFonts w:hint="eastAsia" w:ascii="宋体" w:hAnsi="宋体" w:eastAsia="宋体" w:cs="宋体"/>
          <w:color w:val="auto"/>
          <w:spacing w:val="0"/>
          <w:w w:val="100"/>
          <w:position w:val="0"/>
          <w:sz w:val="21"/>
          <w:szCs w:val="21"/>
          <w:highlight w:val="none"/>
          <w:lang w:val="en-US" w:eastAsia="zh-CN"/>
        </w:rPr>
        <w:t>6）跨越通航水域的桥梁应进行通航专项设计和通航防撞专项设计（含桥梁防船撞能力提升），充分考虑防洪要求和河床冲刷变迁影响，深化涉水边坡、挡墙、护岸、墩台等冲刷验算，优化结构物基础、系梁设置和防冲刷设计，确保行洪安全和通航安全。</w:t>
      </w:r>
    </w:p>
    <w:p w14:paraId="44B5C10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rPr>
        <w:t>）涉铁工程设计</w:t>
      </w:r>
    </w:p>
    <w:p w14:paraId="6FBBD5D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本项目的涉铁工程的所有设计内容包含在本次招标范围内（包括但不限于勘察、初步设计、施工图设计、安全评估等），中标单位须确保设计成果文件通过铁路行业主管部门同意，否则发包人有权另行发包并按实际发包金额从本项目合同价款中直接予以扣除。</w:t>
      </w:r>
    </w:p>
    <w:p w14:paraId="4BEC240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6</w:t>
      </w:r>
      <w:r>
        <w:rPr>
          <w:rFonts w:ascii="宋体" w:hAnsi="宋体" w:eastAsia="宋体" w:cs="宋体"/>
          <w:color w:val="auto"/>
          <w:spacing w:val="0"/>
          <w:w w:val="100"/>
          <w:position w:val="0"/>
          <w:sz w:val="21"/>
          <w:szCs w:val="21"/>
          <w:highlight w:val="none"/>
        </w:rPr>
        <w:t>）</w:t>
      </w:r>
      <w:r>
        <w:rPr>
          <w:rFonts w:hint="default" w:ascii="宋体" w:hAnsi="宋体" w:eastAsia="宋体" w:cs="宋体"/>
          <w:color w:val="auto"/>
          <w:spacing w:val="0"/>
          <w:w w:val="100"/>
          <w:position w:val="0"/>
          <w:sz w:val="21"/>
          <w:szCs w:val="21"/>
          <w:highlight w:val="none"/>
        </w:rPr>
        <w:t>涉燃气管道、涉高压杆线等专项设计</w:t>
      </w:r>
    </w:p>
    <w:p w14:paraId="2E11AB9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hint="default" w:ascii="宋体" w:hAnsi="宋体" w:eastAsia="宋体" w:cs="宋体"/>
          <w:color w:val="auto"/>
          <w:spacing w:val="0"/>
          <w:w w:val="100"/>
          <w:position w:val="0"/>
          <w:sz w:val="21"/>
          <w:szCs w:val="21"/>
          <w:highlight w:val="none"/>
        </w:rPr>
        <w:t>本项目的涉燃气管道、涉高压输电线路、涉油气管道等专项保护设计（包括但不限于勘察、安全评估、专项设计及报批等）均包含在本次招标范围内。设计人应开展相关安全影响评价，主动与产权单位协调并取得审批同意意见，确保设计成果文件通过相关行业主管部门或产权单位的审查。否则，发包人有权另行发包并按实际发包金额从本项目合同价款中直接予以扣除。</w:t>
      </w:r>
    </w:p>
    <w:p w14:paraId="61458D6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7</w:t>
      </w:r>
      <w:r>
        <w:rPr>
          <w:rFonts w:hint="eastAsia" w:ascii="宋体" w:hAnsi="宋体" w:eastAsia="宋体" w:cs="宋体"/>
          <w:color w:val="auto"/>
          <w:spacing w:val="0"/>
          <w:w w:val="100"/>
          <w:position w:val="0"/>
          <w:sz w:val="21"/>
          <w:szCs w:val="21"/>
          <w:highlight w:val="none"/>
          <w:lang w:eastAsia="zh-CN"/>
        </w:rPr>
        <w:t>）</w:t>
      </w:r>
      <w:r>
        <w:rPr>
          <w:rFonts w:ascii="Segoe UI" w:hAnsi="Segoe UI" w:eastAsia="Segoe UI" w:cs="Segoe UI"/>
          <w:i w:val="0"/>
          <w:iCs w:val="0"/>
          <w:caps w:val="0"/>
          <w:color w:val="auto"/>
          <w:spacing w:val="0"/>
          <w:sz w:val="21"/>
          <w:szCs w:val="21"/>
          <w:highlight w:val="none"/>
          <w:shd w:val="clear" w:fill="FFFFFF"/>
        </w:rPr>
        <w:t>高边坡专项设计：设计人应对高填深挖、不良地质和水文地质复杂段边坡进行高边坡专项设计，依据相关规范及地质勘察报告，合理分析利用工程地质勘察资料，结合计划建设工期，按照因地制宜、就地取材、综合处治的原则提出高边坡治理方案，实施动态设计、信息化施工。</w:t>
      </w:r>
    </w:p>
    <w:p w14:paraId="5C62F20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hint="eastAsia" w:ascii="宋体" w:hAnsi="宋体" w:eastAsia="宋体" w:cs="宋体"/>
          <w:color w:val="auto"/>
          <w:spacing w:val="0"/>
          <w:w w:val="100"/>
          <w:position w:val="0"/>
          <w:sz w:val="21"/>
          <w:szCs w:val="21"/>
          <w:highlight w:val="none"/>
          <w:lang w:eastAsia="zh-CN"/>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8</w:t>
      </w:r>
      <w:r>
        <w:rPr>
          <w:rFonts w:hint="eastAsia" w:ascii="宋体" w:hAnsi="宋体" w:eastAsia="宋体" w:cs="宋体"/>
          <w:color w:val="auto"/>
          <w:spacing w:val="0"/>
          <w:w w:val="100"/>
          <w:position w:val="0"/>
          <w:sz w:val="21"/>
          <w:szCs w:val="21"/>
          <w:highlight w:val="none"/>
          <w:lang w:eastAsia="zh-CN"/>
        </w:rPr>
        <w:t>）涉燃气管道、涉高压杆线等专项设计： 本项目的涉燃气管道、涉高压输电线路、涉油气管道等专项保护设计（包括但不限于勘察、安全评估、专项设计及报批等）均包含在本次招标范围内。设计人应严格按照《公路勘察设计质量安全提升专项行动方案》要求，开展相关安全影响评价，主动与产权单位协调并取得审批同意意见，确保设计成果文件通过相关行业主管部门或产权单位的审查。</w:t>
      </w:r>
    </w:p>
    <w:p w14:paraId="6769D2B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9</w:t>
      </w:r>
      <w:r>
        <w:rPr>
          <w:rFonts w:hint="eastAsia" w:ascii="宋体" w:hAnsi="宋体" w:eastAsia="宋体" w:cs="宋体"/>
          <w:color w:val="auto"/>
          <w:spacing w:val="0"/>
          <w:w w:val="100"/>
          <w:position w:val="0"/>
          <w:sz w:val="21"/>
          <w:szCs w:val="21"/>
          <w:highlight w:val="none"/>
          <w:lang w:eastAsia="zh-CN"/>
        </w:rPr>
        <w:t>）</w:t>
      </w:r>
      <w:r>
        <w:rPr>
          <w:rFonts w:ascii="宋体" w:hAnsi="宋体" w:eastAsia="宋体" w:cs="宋体"/>
          <w:color w:val="auto"/>
          <w:spacing w:val="0"/>
          <w:w w:val="100"/>
          <w:position w:val="0"/>
          <w:sz w:val="21"/>
          <w:szCs w:val="21"/>
          <w:highlight w:val="none"/>
        </w:rPr>
        <w:t>其他工程设计</w:t>
      </w:r>
    </w:p>
    <w:p w14:paraId="28F5A20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本项目其他专项设计的所有设计内容均包含在本次合同范围内，设计人须确保设计成果文件通过行业主管部门或相关产权单位同意，否则发包人有权另行发包并按实际发包金额从本项目合同价款中直接予以扣除。</w:t>
      </w:r>
    </w:p>
    <w:p w14:paraId="3B0644A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b/>
          <w:bCs/>
          <w:color w:val="auto"/>
          <w:spacing w:val="0"/>
          <w:w w:val="100"/>
          <w:position w:val="0"/>
          <w:sz w:val="21"/>
          <w:szCs w:val="21"/>
          <w:highlight w:val="none"/>
        </w:rPr>
        <w:t xml:space="preserve">4.1.6.6.3 </w:t>
      </w:r>
      <w:r>
        <w:rPr>
          <w:rFonts w:ascii="宋体" w:hAnsi="宋体" w:eastAsia="宋体" w:cs="宋体"/>
          <w:b/>
          <w:bCs/>
          <w:color w:val="auto"/>
          <w:spacing w:val="0"/>
          <w:w w:val="100"/>
          <w:position w:val="0"/>
          <w:sz w:val="21"/>
          <w:szCs w:val="21"/>
          <w:highlight w:val="none"/>
        </w:rPr>
        <w:t>设计人后续服务的一般规定</w:t>
      </w:r>
    </w:p>
    <w:p w14:paraId="0F97213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）发包人对设计代表的数量和资历条件要求：根据工程进展情况，设计人应按合同附件四规定的人员和数量，委派相关专业的设计代表常驻项目现场；在缺陷责任期，至少有</w:t>
      </w:r>
      <w:r>
        <w:rPr>
          <w:rFonts w:hint="eastAsia" w:ascii="宋体" w:hAnsi="宋体" w:eastAsia="宋体" w:cs="宋体"/>
          <w:color w:val="auto"/>
          <w:spacing w:val="0"/>
          <w:w w:val="100"/>
          <w:position w:val="0"/>
          <w:sz w:val="21"/>
          <w:szCs w:val="21"/>
          <w:highlight w:val="none"/>
          <w:lang w:val="en-US" w:eastAsia="zh-CN"/>
        </w:rPr>
        <w:t>2</w:t>
      </w:r>
      <w:r>
        <w:rPr>
          <w:rFonts w:ascii="宋体" w:hAnsi="宋体" w:eastAsia="宋体" w:cs="宋体"/>
          <w:color w:val="auto"/>
          <w:spacing w:val="0"/>
          <w:w w:val="100"/>
          <w:position w:val="0"/>
          <w:sz w:val="21"/>
          <w:szCs w:val="21"/>
          <w:highlight w:val="none"/>
        </w:rPr>
        <w:t>名设计代表协助业主解决与设计有关的工程问题。</w:t>
      </w:r>
    </w:p>
    <w:p w14:paraId="3F89BB4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）设计人在施工过程中，应积极配合业主进行工程变更设计。一般变更应在接到变更通知后7天内完成，复杂变更应在接到变更通知后15天内完成。若超过本款规定的期限，将视为设计人违约。</w:t>
      </w:r>
    </w:p>
    <w:p w14:paraId="552F355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3</w:t>
      </w:r>
      <w:r>
        <w:rPr>
          <w:rFonts w:hint="eastAsia" w:ascii="宋体" w:hAnsi="宋体" w:eastAsia="宋体" w:cs="宋体"/>
          <w:color w:val="auto"/>
          <w:spacing w:val="0"/>
          <w:w w:val="100"/>
          <w:position w:val="0"/>
          <w:sz w:val="21"/>
          <w:szCs w:val="21"/>
          <w:highlight w:val="none"/>
          <w:lang w:eastAsia="zh-CN"/>
        </w:rPr>
        <w:t>）</w:t>
      </w:r>
      <w:r>
        <w:rPr>
          <w:rFonts w:hint="default" w:ascii="宋体" w:hAnsi="宋体" w:eastAsia="宋体" w:cs="宋体"/>
          <w:color w:val="auto"/>
          <w:spacing w:val="0"/>
          <w:w w:val="100"/>
          <w:position w:val="0"/>
          <w:sz w:val="21"/>
          <w:szCs w:val="21"/>
          <w:highlight w:val="none"/>
        </w:rPr>
        <w:t>设计回溯：设计人应按交通运输部《进一步提升高速公路防灾抗灾能力设计回溯工作方案》（交办公路〔2024〕41号）及《公路勘察设计质量安全提升专项行动方案》（交办公路函〔2025〕481号）等相关规定，配合发包人开展设计回溯工作，提供设计回溯所需的勘察设计文件、设计变更资料及相关技术支持，对核查发现的问题提出整改或完善建议。设计回溯工作应贯穿项目施工及竣工验收全过程。</w:t>
      </w:r>
    </w:p>
    <w:p w14:paraId="30EFC88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hint="default"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4</w:t>
      </w:r>
      <w:r>
        <w:rPr>
          <w:rFonts w:hint="eastAsia" w:ascii="宋体" w:hAnsi="宋体" w:eastAsia="宋体" w:cs="宋体"/>
          <w:color w:val="auto"/>
          <w:spacing w:val="0"/>
          <w:w w:val="100"/>
          <w:position w:val="0"/>
          <w:sz w:val="21"/>
          <w:szCs w:val="21"/>
          <w:highlight w:val="none"/>
          <w:lang w:eastAsia="zh-CN"/>
        </w:rPr>
        <w:t>）</w:t>
      </w:r>
      <w:r>
        <w:rPr>
          <w:rFonts w:hint="default" w:ascii="宋体" w:hAnsi="宋体" w:eastAsia="宋体" w:cs="宋体"/>
          <w:color w:val="auto"/>
          <w:spacing w:val="0"/>
          <w:w w:val="100"/>
          <w:position w:val="0"/>
          <w:sz w:val="21"/>
          <w:szCs w:val="21"/>
          <w:highlight w:val="none"/>
        </w:rPr>
        <w:t>全过程参与及安全隐患排查：设计人应全过程深度参与项目建设全过程，结合施工进度情况开展过程中设计回溯和安全隐患排查工作，确保设计方案在施工中得以有效落实。设计成果须逐条说明专家审查意见和上阶段批复要求的采纳情况，项目法人应组织有关单位核查。</w:t>
      </w:r>
    </w:p>
    <w:p w14:paraId="78B7C9B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hint="default"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5</w:t>
      </w:r>
      <w:r>
        <w:rPr>
          <w:rFonts w:hint="eastAsia" w:ascii="宋体" w:hAnsi="宋体" w:eastAsia="宋体" w:cs="宋体"/>
          <w:color w:val="auto"/>
          <w:spacing w:val="0"/>
          <w:w w:val="100"/>
          <w:position w:val="0"/>
          <w:sz w:val="21"/>
          <w:szCs w:val="21"/>
          <w:highlight w:val="none"/>
          <w:lang w:eastAsia="zh-CN"/>
        </w:rPr>
        <w:t>）</w:t>
      </w:r>
      <w:r>
        <w:rPr>
          <w:rFonts w:hint="default" w:ascii="宋体" w:hAnsi="宋体" w:eastAsia="宋体" w:cs="宋体"/>
          <w:color w:val="auto"/>
          <w:spacing w:val="0"/>
          <w:w w:val="100"/>
          <w:position w:val="0"/>
          <w:sz w:val="21"/>
          <w:szCs w:val="21"/>
          <w:highlight w:val="none"/>
        </w:rPr>
        <w:t>竣工图复核：项目完工后，设计人应配合建设单位按照批复的施工图，结合施工和变更情况，编制完整、准确的竣工图。建设单位应组织施工、监理和设计单位共同对竣工图进行复核，并签字确认后方可申请竣工验收。设计差错漏碰情况应与设计费奖惩和人员绩效挂钩。</w:t>
      </w:r>
    </w:p>
    <w:p w14:paraId="7E49415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b/>
          <w:bCs/>
          <w:color w:val="auto"/>
          <w:spacing w:val="0"/>
          <w:w w:val="100"/>
          <w:position w:val="0"/>
          <w:sz w:val="21"/>
          <w:szCs w:val="21"/>
          <w:highlight w:val="none"/>
        </w:rPr>
        <w:t xml:space="preserve">4.3 </w:t>
      </w:r>
      <w:r>
        <w:rPr>
          <w:rFonts w:ascii="宋体" w:hAnsi="宋体" w:eastAsia="宋体" w:cs="宋体"/>
          <w:b/>
          <w:bCs/>
          <w:color w:val="auto"/>
          <w:spacing w:val="0"/>
          <w:w w:val="100"/>
          <w:position w:val="0"/>
          <w:sz w:val="21"/>
          <w:szCs w:val="21"/>
          <w:highlight w:val="none"/>
        </w:rPr>
        <w:t>分包和不得转包</w:t>
      </w:r>
    </w:p>
    <w:p w14:paraId="7676900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4.3.2  </w:t>
      </w:r>
      <w:r>
        <w:rPr>
          <w:rFonts w:ascii="宋体" w:hAnsi="宋体" w:eastAsia="宋体" w:cs="宋体"/>
          <w:color w:val="auto"/>
          <w:spacing w:val="0"/>
          <w:w w:val="100"/>
          <w:position w:val="0"/>
          <w:sz w:val="21"/>
          <w:szCs w:val="21"/>
          <w:highlight w:val="none"/>
        </w:rPr>
        <w:t>经发包人同意，设计人可将工程设计中跨专业或有特殊要求的勘察、设计、专题评估报告等工作进行分包。</w:t>
      </w:r>
    </w:p>
    <w:p w14:paraId="06058FD8">
      <w:pPr>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5.</w:t>
      </w:r>
      <w:r>
        <w:rPr>
          <w:b/>
          <w:bCs/>
          <w:color w:val="auto"/>
          <w:spacing w:val="0"/>
          <w:w w:val="100"/>
          <w:position w:val="0"/>
          <w:sz w:val="28"/>
          <w:szCs w:val="28"/>
          <w:highlight w:val="none"/>
        </w:rPr>
        <w:t>勘察设计要求</w:t>
      </w:r>
    </w:p>
    <w:p w14:paraId="08A1D43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5.1 </w:t>
      </w:r>
      <w:r>
        <w:rPr>
          <w:rFonts w:ascii="宋体" w:hAnsi="宋体" w:eastAsia="宋体" w:cs="宋体"/>
          <w:color w:val="auto"/>
          <w:spacing w:val="0"/>
          <w:w w:val="100"/>
          <w:position w:val="0"/>
          <w:sz w:val="21"/>
          <w:szCs w:val="21"/>
          <w:highlight w:val="none"/>
        </w:rPr>
        <w:t>一般要求</w:t>
      </w:r>
    </w:p>
    <w:p w14:paraId="6013F7C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Times New Roman" w:hAnsi="Times New Roman" w:eastAsia="Times New Roman" w:cs="Times New Roman"/>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 xml:space="preserve">增加 </w:t>
      </w:r>
      <w:r>
        <w:rPr>
          <w:rFonts w:ascii="Times New Roman" w:hAnsi="Times New Roman" w:eastAsia="Times New Roman" w:cs="Times New Roman"/>
          <w:color w:val="auto"/>
          <w:spacing w:val="0"/>
          <w:w w:val="100"/>
          <w:position w:val="0"/>
          <w:sz w:val="21"/>
          <w:szCs w:val="21"/>
          <w:highlight w:val="none"/>
        </w:rPr>
        <w:t>5.1.6-5.1.11</w:t>
      </w:r>
    </w:p>
    <w:p w14:paraId="30AC49C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5.1.6  </w:t>
      </w:r>
      <w:r>
        <w:rPr>
          <w:rFonts w:ascii="宋体" w:hAnsi="宋体" w:eastAsia="宋体" w:cs="宋体"/>
          <w:color w:val="auto"/>
          <w:spacing w:val="0"/>
          <w:w w:val="100"/>
          <w:position w:val="0"/>
          <w:sz w:val="21"/>
          <w:szCs w:val="21"/>
          <w:highlight w:val="none"/>
        </w:rPr>
        <w:t>设计人进行勘察、检测等与本项目相关的作业工程，应编制安全作业规程，并进行所属作业人员进行安全交底，配备相关安全设施，严格按照高速公路安全作业相关规定进行作业，如有违反造成安全事故，由设计人全部负责。</w:t>
      </w:r>
    </w:p>
    <w:p w14:paraId="72DA7E6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5.1.7  </w:t>
      </w:r>
      <w:r>
        <w:rPr>
          <w:rFonts w:ascii="宋体" w:hAnsi="宋体" w:eastAsia="宋体" w:cs="宋体"/>
          <w:color w:val="auto"/>
          <w:spacing w:val="0"/>
          <w:w w:val="100"/>
          <w:position w:val="0"/>
          <w:sz w:val="21"/>
          <w:szCs w:val="21"/>
          <w:highlight w:val="none"/>
        </w:rPr>
        <w:t>设计人应严格执行有关地质勘察规范和相关试验规程，确保完成相应地勘（外业调查）工作量，深化工程地质、水文地质勘察和专项研究，设计单位须加强外业调查工作，尤其加强高速公路涉及的路系、水系、三杆迁移、沿线的水文条件等的调查，提高设计基础资料的全面性、准确性，以正确指导设计，有效控制工程造价。</w:t>
      </w:r>
    </w:p>
    <w:p w14:paraId="4A2444E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5.1.8  </w:t>
      </w:r>
      <w:r>
        <w:rPr>
          <w:rFonts w:ascii="宋体" w:hAnsi="宋体" w:eastAsia="宋体" w:cs="宋体"/>
          <w:color w:val="auto"/>
          <w:spacing w:val="0"/>
          <w:w w:val="100"/>
          <w:position w:val="0"/>
          <w:sz w:val="21"/>
          <w:szCs w:val="21"/>
          <w:highlight w:val="none"/>
        </w:rPr>
        <w:t>设计人应在进场前编制《地质勘察（外业调查）工作大纲》并报发包人审查，明确全过程质量监控体系，提出相应的质量要求、标准和对策措施等。审查通过后即成为地质勘察工作的依据，勘察过程中不得随意变更《地质勘察（外业调查）工作大纲》中规定内容，确需变更时应征得发包人的书面同意。</w:t>
      </w:r>
    </w:p>
    <w:p w14:paraId="4658224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5.1.9  </w:t>
      </w:r>
      <w:r>
        <w:rPr>
          <w:rFonts w:ascii="宋体" w:hAnsi="宋体" w:eastAsia="宋体" w:cs="宋体"/>
          <w:color w:val="auto"/>
          <w:spacing w:val="0"/>
          <w:w w:val="100"/>
          <w:position w:val="0"/>
          <w:sz w:val="21"/>
          <w:szCs w:val="21"/>
          <w:highlight w:val="none"/>
        </w:rPr>
        <w:t>设计人地质调绘、钻探、物探等工作布置与质量要求，均应符合《公路工程地质勘察规范》（</w:t>
      </w:r>
      <w:r>
        <w:rPr>
          <w:rFonts w:ascii="Times New Roman" w:hAnsi="Times New Roman" w:eastAsia="Times New Roman" w:cs="Times New Roman"/>
          <w:color w:val="auto"/>
          <w:spacing w:val="0"/>
          <w:w w:val="100"/>
          <w:position w:val="0"/>
          <w:sz w:val="21"/>
          <w:szCs w:val="21"/>
          <w:highlight w:val="none"/>
        </w:rPr>
        <w:t>JTGC202011</w:t>
      </w:r>
      <w:r>
        <w:rPr>
          <w:rFonts w:ascii="宋体" w:hAnsi="宋体" w:eastAsia="宋体" w:cs="宋体"/>
          <w:color w:val="auto"/>
          <w:spacing w:val="0"/>
          <w:w w:val="100"/>
          <w:position w:val="0"/>
          <w:sz w:val="21"/>
          <w:szCs w:val="21"/>
          <w:highlight w:val="none"/>
        </w:rPr>
        <w:t>）的有关规定。</w:t>
      </w:r>
    </w:p>
    <w:p w14:paraId="3AA77AB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详细工程地质勘察应以满足施工图设计要求为目的，重点围绕桥梁构造物、不良地质路段的设计需要展开，查明工程地质及水文地质条件，准确提供工程和基础设计施工所需的地质参数，为确定构造物的位置和结构设计，提供准确完整的工程地质资料。</w:t>
      </w:r>
    </w:p>
    <w:p w14:paraId="4276DA6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）设计人对地质的描述要准确清晰，抓住工程特性、有针对性、服务性，忌笼统、 空泛、千篇一律。应提高地质勘察的针对性和有效性，避免在地形地质条件简单、钻探方便的地方增加工作量，在地质、地形复杂，钻探困难的地方减少工作量。地形地质条件复杂、工程艰巨地段应根据具体情况扩大勘察范围，加密勘探点数量。膨胀土等不良地质区段以及产状不良的软岩区段应严格按规程、规范采用工程地质测绘、物探、原位测试、取样试验等综合工程地质勘探手段进行专项工程地质勘察，加密勘探点位，在获取准确、完整的岩土物理力学参数的基础上进行稳定性分析验算，据此进行针对性加固工程设计，同时应提供详细的工程设计图表和工程数量。</w:t>
      </w:r>
    </w:p>
    <w:p w14:paraId="5E8C782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）设计人进行地质勘察时需提前两天通知设计咨询单位，以便进行地勘监理。</w:t>
      </w:r>
    </w:p>
    <w:p w14:paraId="004A3FF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）最终形成的地勘成果应包括：地勘报告（包含桥梁地质勘察报告、新建公路地质勘察报告），并要提供岩芯相册、钻进过程记录等。</w:t>
      </w:r>
    </w:p>
    <w:p w14:paraId="73F91DC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Segoe UI" w:hAnsi="Segoe UI" w:eastAsia="Segoe UI" w:cs="Segoe UI"/>
          <w:i w:val="0"/>
          <w:iCs w:val="0"/>
          <w:caps w:val="0"/>
          <w:color w:val="auto"/>
          <w:spacing w:val="0"/>
          <w:sz w:val="21"/>
          <w:szCs w:val="21"/>
          <w:highlight w:val="none"/>
          <w:shd w:val="clear" w:fill="FFFFFF"/>
        </w:rPr>
        <w:t>（5）设计人应综合运用自然灾害承灾体普查数据，加强地质灾害调查，针对高填深挖、斜陡坡、隧道高陡边仰坡、桥台高护坡、不良地质和特殊性岩土、水文地质复杂段边坡加大勘察深度，确保地质勘察成果满足《公路勘察设计质量安全提升专项行动方案》（交办公路函〔2025〕481号）的要求。</w:t>
      </w:r>
      <w:r>
        <w:rPr>
          <w:rFonts w:hint="default" w:ascii="Segoe UI" w:hAnsi="Segoe UI" w:eastAsia="Segoe UI" w:cs="Segoe UI"/>
          <w:i w:val="0"/>
          <w:iCs w:val="0"/>
          <w:caps w:val="0"/>
          <w:color w:val="auto"/>
          <w:spacing w:val="0"/>
          <w:sz w:val="21"/>
          <w:szCs w:val="21"/>
          <w:highlight w:val="none"/>
          <w:shd w:val="clear" w:fill="FFFFFF"/>
        </w:rPr>
        <w:br w:type="textWrapping"/>
      </w:r>
      <w:r>
        <w:rPr>
          <w:rFonts w:hint="default" w:ascii="Segoe UI" w:hAnsi="Segoe UI" w:eastAsia="Segoe UI" w:cs="Segoe UI"/>
          <w:i w:val="0"/>
          <w:iCs w:val="0"/>
          <w:caps w:val="0"/>
          <w:color w:val="auto"/>
          <w:spacing w:val="0"/>
          <w:sz w:val="21"/>
          <w:szCs w:val="21"/>
          <w:highlight w:val="none"/>
          <w:shd w:val="clear" w:fill="FFFFFF"/>
        </w:rPr>
        <w:t>（6）设计人应积极推动数字化勘察技术应用，鼓励采用无人机激光雷达测绘、倾斜摄影、高分遥感、北斗定位等数字化勘测手段，推进数字地勘、“BIM+GIS”等技术应用，提升勘察精度和效率。</w:t>
      </w:r>
    </w:p>
    <w:p w14:paraId="7E7512B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5.1.10 </w:t>
      </w:r>
      <w:r>
        <w:rPr>
          <w:rFonts w:ascii="宋体" w:hAnsi="宋体" w:eastAsia="宋体" w:cs="宋体"/>
          <w:color w:val="auto"/>
          <w:spacing w:val="0"/>
          <w:w w:val="100"/>
          <w:position w:val="0"/>
          <w:sz w:val="21"/>
          <w:szCs w:val="21"/>
          <w:highlight w:val="none"/>
        </w:rPr>
        <w:t>地质勘察必须与工程设计相结合，严防勘察与设计脱节。审查及施工过程若发现地质成果未与设计相结合或与现场揭示地质情况不符，设计人应负质量责任，并无条件进行补勘，不另计费用。</w:t>
      </w:r>
    </w:p>
    <w:p w14:paraId="6199A43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5.1.11 </w:t>
      </w:r>
      <w:r>
        <w:rPr>
          <w:rFonts w:ascii="宋体" w:hAnsi="宋体" w:eastAsia="宋体" w:cs="宋体"/>
          <w:color w:val="auto"/>
          <w:spacing w:val="0"/>
          <w:w w:val="100"/>
          <w:position w:val="0"/>
          <w:sz w:val="21"/>
          <w:szCs w:val="21"/>
          <w:highlight w:val="none"/>
        </w:rPr>
        <w:t>前期勘察任务完成后，由于不可预见原因需要重新补充或增加勘察内容，设计人应按照发包人的要求继续完成勘察任务，相关费用不另计。</w:t>
      </w:r>
    </w:p>
    <w:p w14:paraId="4C34A05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5.3 </w:t>
      </w:r>
      <w:r>
        <w:rPr>
          <w:rFonts w:ascii="宋体" w:hAnsi="宋体" w:eastAsia="宋体" w:cs="宋体"/>
          <w:color w:val="auto"/>
          <w:spacing w:val="0"/>
          <w:w w:val="100"/>
          <w:position w:val="0"/>
          <w:sz w:val="21"/>
          <w:szCs w:val="21"/>
          <w:highlight w:val="none"/>
        </w:rPr>
        <w:t>勘察设计范围</w:t>
      </w:r>
    </w:p>
    <w:p w14:paraId="3A74AF0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5.3.2 </w:t>
      </w:r>
      <w:r>
        <w:rPr>
          <w:rFonts w:ascii="宋体" w:hAnsi="宋体" w:eastAsia="宋体" w:cs="宋体"/>
          <w:color w:val="auto"/>
          <w:spacing w:val="0"/>
          <w:w w:val="100"/>
          <w:position w:val="0"/>
          <w:sz w:val="21"/>
          <w:szCs w:val="21"/>
          <w:highlight w:val="none"/>
        </w:rPr>
        <w:t>工程范围包括：</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w:t>
      </w:r>
      <w:r>
        <w:rPr>
          <w:rFonts w:ascii="宋体" w:hAnsi="宋体" w:eastAsia="宋体" w:cs="宋体"/>
          <w:color w:val="auto"/>
          <w:spacing w:val="0"/>
          <w:w w:val="100"/>
          <w:position w:val="0"/>
          <w:sz w:val="21"/>
          <w:szCs w:val="21"/>
          <w:highlight w:val="none"/>
          <w:u w:val="single" w:color="auto"/>
        </w:rPr>
        <w:t>。</w:t>
      </w:r>
    </w:p>
    <w:p w14:paraId="25BAB9D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Arial"/>
          <w:color w:val="auto"/>
          <w:spacing w:val="0"/>
          <w:w w:val="100"/>
          <w:position w:val="0"/>
          <w:sz w:val="21"/>
          <w:highlight w:val="none"/>
        </w:rPr>
      </w:pPr>
      <w:r>
        <w:rPr>
          <w:rFonts w:ascii="Times New Roman" w:hAnsi="Times New Roman" w:eastAsia="Times New Roman" w:cs="Times New Roman"/>
          <w:color w:val="auto"/>
          <w:spacing w:val="0"/>
          <w:w w:val="100"/>
          <w:position w:val="0"/>
          <w:sz w:val="21"/>
          <w:szCs w:val="21"/>
          <w:highlight w:val="none"/>
        </w:rPr>
        <w:t xml:space="preserve">5.3.3  </w:t>
      </w:r>
      <w:r>
        <w:rPr>
          <w:rFonts w:ascii="宋体" w:hAnsi="宋体" w:eastAsia="宋体" w:cs="宋体"/>
          <w:color w:val="auto"/>
          <w:spacing w:val="0"/>
          <w:w w:val="100"/>
          <w:position w:val="0"/>
          <w:sz w:val="21"/>
          <w:szCs w:val="21"/>
          <w:highlight w:val="none"/>
        </w:rPr>
        <w:t>阶段范围包括：可行性研究报告、相关专题评价、工程勘察、方案设计、初步设 计、施工图设计、技术设计（如有）等。</w:t>
      </w:r>
    </w:p>
    <w:p w14:paraId="3A1A2F9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5.3.4 </w:t>
      </w:r>
      <w:r>
        <w:rPr>
          <w:rFonts w:ascii="宋体" w:hAnsi="宋体" w:eastAsia="宋体" w:cs="宋体"/>
          <w:color w:val="auto"/>
          <w:spacing w:val="0"/>
          <w:w w:val="100"/>
          <w:position w:val="0"/>
          <w:sz w:val="21"/>
          <w:szCs w:val="21"/>
          <w:highlight w:val="none"/>
        </w:rPr>
        <w:t>工作范围包括</w:t>
      </w:r>
      <w:r>
        <w:rPr>
          <w:rFonts w:hint="eastAsia" w:ascii="宋体" w:hAnsi="宋体" w:eastAsia="宋体" w:cs="宋体"/>
          <w:color w:val="auto"/>
          <w:spacing w:val="0"/>
          <w:w w:val="100"/>
          <w:position w:val="0"/>
          <w:sz w:val="21"/>
          <w:szCs w:val="21"/>
          <w:highlight w:val="none"/>
        </w:rPr>
        <w:t>（包含但不限于以下部分）</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w:t>
      </w:r>
      <w:r>
        <w:rPr>
          <w:rFonts w:ascii="Times New Roman" w:hAnsi="Times New Roman" w:eastAsia="Times New Roman" w:cs="Times New Roman"/>
          <w:color w:val="auto"/>
          <w:spacing w:val="0"/>
          <w:w w:val="100"/>
          <w:position w:val="0"/>
          <w:sz w:val="21"/>
          <w:szCs w:val="21"/>
          <w:highlight w:val="none"/>
          <w:u w:val="single" w:color="auto"/>
        </w:rPr>
        <w:t>1</w:t>
      </w:r>
      <w:r>
        <w:rPr>
          <w:rFonts w:ascii="宋体" w:hAnsi="宋体" w:eastAsia="宋体" w:cs="宋体"/>
          <w:color w:val="auto"/>
          <w:spacing w:val="0"/>
          <w:w w:val="100"/>
          <w:position w:val="0"/>
          <w:sz w:val="21"/>
          <w:szCs w:val="21"/>
          <w:highlight w:val="none"/>
          <w:u w:val="single" w:color="auto"/>
        </w:rPr>
        <w:t>）</w:t>
      </w:r>
      <w:r>
        <w:rPr>
          <w:rFonts w:hint="eastAsia" w:ascii="宋体" w:hAnsi="宋体" w:eastAsia="宋体" w:cs="宋体"/>
          <w:color w:val="auto"/>
          <w:spacing w:val="0"/>
          <w:w w:val="100"/>
          <w:position w:val="0"/>
          <w:sz w:val="21"/>
          <w:szCs w:val="21"/>
          <w:highlight w:val="none"/>
          <w:u w:val="single" w:color="auto"/>
          <w:lang w:val="en-US" w:eastAsia="zh-CN"/>
        </w:rPr>
        <w:t>工程可行性研究报告的编制（包括为编制报告而进行的所有调查、踏勘、资料收集、现场勘察等）、工程可行性研究阶段和设计阶段按相关文件规定应完成的相关专题工作（包括但不限于环保、水保、规划选址、节能、防洪、通航论证、林地、地震安全、地灾、压矿、文物、用地预审、土地组卷报批、生态红线、涉路涉铁、社稳、气候可行性论证、水文站影响评价、专项地质评价、风险灾害评估、安全隐患排查、表土剥离方案、施工安全总体风险评估等等）；（2）全线路线总体、路基、路面、桥涵、隧道、路线交叉、连接线、环境保护与景观（含中央分隔带、边坡、互通等处）的初步设计和施工图设计；（3）全线交通工程与机电设施（含监控、通信、收费、供配电、照明、通风、消防等系统，收费广场预埋及收费土建基础，相关管道的预留、预埋等）的初步设计和施工图设计。（4）全线房建工程的选址、规划、初步设计和施工图设计。其中房建工程包含但不限于：服务设施、加油站、管理设施、养护设施，以及配套的给水、排水、供电、绿化、围墙等附属设施；按国家相关规范完善防雷、消防设计的审查、备案工作，并取得图纸审查合格证或相应有关部门批复。（5）涉路、涉铁、通航、防洪、防撞、水土保持专项设计、高边坡专项设计、用电、桥梁和隧道、涉燃气管道、涉高压杆线等必要的专项设计；设计概预算编制、施工方案编制、筑路材料调查、征地放样、中桩恢复及界桩敷设、总体及分标段图纸、工程量清单编制、施工招标专用技术规范编制及后续服务工作等。（6）工程可行性研究阶段和勘察设计阶段的报告及设计文件等相关材料，需通过有关部门审批</w:t>
      </w:r>
      <w:r>
        <w:rPr>
          <w:rFonts w:ascii="宋体" w:hAnsi="宋体" w:eastAsia="宋体" w:cs="宋体"/>
          <w:color w:val="auto"/>
          <w:spacing w:val="0"/>
          <w:w w:val="100"/>
          <w:position w:val="0"/>
          <w:sz w:val="21"/>
          <w:szCs w:val="21"/>
          <w:highlight w:val="none"/>
          <w:u w:val="single" w:color="auto"/>
        </w:rPr>
        <w:t>。（</w:t>
      </w:r>
      <w:r>
        <w:rPr>
          <w:rFonts w:hint="eastAsia" w:ascii="宋体" w:hAnsi="宋体" w:eastAsia="宋体" w:cs="宋体"/>
          <w:color w:val="auto"/>
          <w:spacing w:val="0"/>
          <w:w w:val="100"/>
          <w:position w:val="0"/>
          <w:sz w:val="21"/>
          <w:szCs w:val="21"/>
          <w:highlight w:val="none"/>
          <w:u w:val="single" w:color="auto"/>
          <w:lang w:val="en-US" w:eastAsia="zh-CN"/>
        </w:rPr>
        <w:t>7</w:t>
      </w:r>
      <w:r>
        <w:rPr>
          <w:rFonts w:ascii="宋体" w:hAnsi="宋体" w:eastAsia="宋体" w:cs="宋体"/>
          <w:color w:val="auto"/>
          <w:spacing w:val="0"/>
          <w:w w:val="100"/>
          <w:position w:val="0"/>
          <w:sz w:val="21"/>
          <w:szCs w:val="21"/>
          <w:highlight w:val="none"/>
          <w:u w:val="single" w:color="auto"/>
        </w:rPr>
        <w:t>）</w:t>
      </w:r>
      <w:r>
        <w:rPr>
          <w:rFonts w:hint="default" w:ascii="宋体" w:hAnsi="宋体" w:eastAsia="宋体" w:cs="宋体"/>
          <w:color w:val="auto"/>
          <w:spacing w:val="0"/>
          <w:w w:val="100"/>
          <w:position w:val="0"/>
          <w:sz w:val="21"/>
          <w:szCs w:val="21"/>
          <w:highlight w:val="none"/>
          <w:u w:val="single" w:color="auto"/>
        </w:rPr>
        <w:t>设计回溯服务：项目竣工验收后，设计人应按交通运输部《进一步提升高速公路防灾抗灾能力设计回溯工作方案》（交办公路〔2024〕41号）等相关规定，配合发包人开展设计回溯工作，提供设计回溯所需的勘察设计文件、设计变更资料及相关技术支持，对核查发现的问题提出整改或完善建议。</w:t>
      </w:r>
    </w:p>
    <w:p w14:paraId="41E5320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5.7 </w:t>
      </w:r>
      <w:r>
        <w:rPr>
          <w:rFonts w:ascii="宋体" w:hAnsi="宋体" w:eastAsia="宋体" w:cs="宋体"/>
          <w:color w:val="auto"/>
          <w:spacing w:val="0"/>
          <w:w w:val="100"/>
          <w:position w:val="0"/>
          <w:sz w:val="21"/>
          <w:szCs w:val="21"/>
          <w:highlight w:val="none"/>
        </w:rPr>
        <w:t>安全作业要求</w:t>
      </w:r>
    </w:p>
    <w:p w14:paraId="43AD4CF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5.7.1 </w:t>
      </w:r>
      <w:r>
        <w:rPr>
          <w:rFonts w:ascii="宋体" w:hAnsi="宋体" w:eastAsia="宋体" w:cs="宋体"/>
          <w:color w:val="auto"/>
          <w:spacing w:val="0"/>
          <w:w w:val="100"/>
          <w:position w:val="0"/>
          <w:sz w:val="21"/>
          <w:szCs w:val="21"/>
          <w:highlight w:val="none"/>
        </w:rPr>
        <w:t>设计人编制安全措施计划的期限：</w:t>
      </w:r>
      <w:r>
        <w:rPr>
          <w:rFonts w:ascii="宋体" w:hAnsi="宋体" w:eastAsia="宋体" w:cs="宋体"/>
          <w:color w:val="auto"/>
          <w:spacing w:val="0"/>
          <w:w w:val="100"/>
          <w:position w:val="0"/>
          <w:sz w:val="21"/>
          <w:szCs w:val="21"/>
          <w:highlight w:val="none"/>
          <w:u w:val="single" w:color="auto"/>
        </w:rPr>
        <w:t>按发包人要求执行。</w:t>
      </w:r>
    </w:p>
    <w:p w14:paraId="623DC761">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6.</w:t>
      </w:r>
      <w:r>
        <w:rPr>
          <w:b/>
          <w:bCs/>
          <w:color w:val="auto"/>
          <w:spacing w:val="0"/>
          <w:w w:val="100"/>
          <w:position w:val="0"/>
          <w:sz w:val="28"/>
          <w:szCs w:val="28"/>
          <w:highlight w:val="none"/>
        </w:rPr>
        <w:t>开始勘察设计和完成勘察设计</w:t>
      </w:r>
    </w:p>
    <w:p w14:paraId="6F52941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6.1 </w:t>
      </w:r>
      <w:r>
        <w:rPr>
          <w:rFonts w:ascii="宋体" w:hAnsi="宋体" w:eastAsia="宋体" w:cs="宋体"/>
          <w:b/>
          <w:bCs/>
          <w:color w:val="auto"/>
          <w:spacing w:val="0"/>
          <w:w w:val="100"/>
          <w:position w:val="0"/>
          <w:sz w:val="24"/>
          <w:szCs w:val="24"/>
          <w:highlight w:val="none"/>
        </w:rPr>
        <w:t>开始勘察设计</w:t>
      </w:r>
    </w:p>
    <w:p w14:paraId="2928D35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6.1.1 </w:t>
      </w:r>
      <w:r>
        <w:rPr>
          <w:rFonts w:ascii="宋体" w:hAnsi="宋体" w:eastAsia="宋体" w:cs="宋体"/>
          <w:color w:val="auto"/>
          <w:spacing w:val="0"/>
          <w:w w:val="100"/>
          <w:position w:val="0"/>
          <w:sz w:val="21"/>
          <w:szCs w:val="21"/>
          <w:highlight w:val="none"/>
        </w:rPr>
        <w:t>满足以下条件时，设计人应开始勘察设计工作：</w:t>
      </w:r>
      <w:r>
        <w:rPr>
          <w:rFonts w:ascii="宋体" w:hAnsi="宋体" w:eastAsia="宋体" w:cs="宋体"/>
          <w:color w:val="auto"/>
          <w:spacing w:val="0"/>
          <w:w w:val="100"/>
          <w:position w:val="0"/>
          <w:sz w:val="21"/>
          <w:szCs w:val="21"/>
          <w:highlight w:val="none"/>
          <w:u w:val="single" w:color="auto"/>
        </w:rPr>
        <w:t>合同签订后</w:t>
      </w:r>
      <w:r>
        <w:rPr>
          <w:rFonts w:ascii="宋体" w:hAnsi="宋体" w:eastAsia="宋体" w:cs="宋体"/>
          <w:color w:val="auto"/>
          <w:spacing w:val="0"/>
          <w:w w:val="100"/>
          <w:position w:val="0"/>
          <w:sz w:val="21"/>
          <w:szCs w:val="21"/>
          <w:highlight w:val="none"/>
        </w:rPr>
        <w:t>。</w:t>
      </w:r>
    </w:p>
    <w:p w14:paraId="56BEE1A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勘察设计服务周期安排：</w:t>
      </w:r>
    </w:p>
    <w:p w14:paraId="3F9AA6C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合同签订后</w:t>
      </w:r>
      <w:r>
        <w:rPr>
          <w:rFonts w:hint="eastAsia" w:ascii="宋体" w:hAnsi="宋体" w:eastAsia="宋体" w:cs="宋体"/>
          <w:color w:val="auto"/>
          <w:spacing w:val="0"/>
          <w:w w:val="100"/>
          <w:position w:val="0"/>
          <w:sz w:val="21"/>
          <w:szCs w:val="21"/>
          <w:highlight w:val="none"/>
          <w:u w:val="single" w:color="auto"/>
          <w:lang w:val="en-US" w:eastAsia="zh-CN"/>
        </w:rPr>
        <w:t>8个月内</w:t>
      </w:r>
      <w:r>
        <w:rPr>
          <w:rFonts w:ascii="宋体" w:hAnsi="宋体" w:eastAsia="宋体" w:cs="宋体"/>
          <w:color w:val="auto"/>
          <w:spacing w:val="0"/>
          <w:w w:val="100"/>
          <w:position w:val="0"/>
          <w:sz w:val="21"/>
          <w:szCs w:val="21"/>
          <w:highlight w:val="none"/>
          <w:u w:val="single" w:color="auto"/>
        </w:rPr>
        <w:t>提供工程可行性研究报告</w:t>
      </w:r>
      <w:r>
        <w:rPr>
          <w:rFonts w:hint="eastAsia" w:ascii="宋体" w:hAnsi="宋体" w:eastAsia="宋体" w:cs="宋体"/>
          <w:color w:val="auto"/>
          <w:spacing w:val="0"/>
          <w:w w:val="100"/>
          <w:position w:val="0"/>
          <w:sz w:val="21"/>
          <w:szCs w:val="21"/>
          <w:highlight w:val="none"/>
          <w:u w:val="single" w:color="auto"/>
          <w:lang w:eastAsia="zh-CN"/>
        </w:rPr>
        <w:t>，</w:t>
      </w:r>
      <w:r>
        <w:rPr>
          <w:rFonts w:hint="eastAsia" w:ascii="宋体" w:hAnsi="宋体" w:eastAsia="宋体" w:cs="宋体"/>
          <w:color w:val="auto"/>
          <w:spacing w:val="0"/>
          <w:w w:val="100"/>
          <w:position w:val="0"/>
          <w:sz w:val="21"/>
          <w:szCs w:val="21"/>
          <w:highlight w:val="none"/>
          <w:u w:val="single" w:color="auto"/>
          <w:lang w:val="en-US" w:eastAsia="zh-CN"/>
        </w:rPr>
        <w:t>并取得批复</w:t>
      </w:r>
      <w:r>
        <w:rPr>
          <w:rFonts w:ascii="宋体" w:hAnsi="宋体" w:eastAsia="宋体" w:cs="宋体"/>
          <w:color w:val="auto"/>
          <w:spacing w:val="0"/>
          <w:w w:val="100"/>
          <w:position w:val="0"/>
          <w:sz w:val="21"/>
          <w:szCs w:val="21"/>
          <w:highlight w:val="none"/>
          <w:u w:val="single" w:color="auto"/>
        </w:rPr>
        <w:t>；</w:t>
      </w:r>
    </w:p>
    <w:p w14:paraId="241F81A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取得工可批复后</w:t>
      </w:r>
      <w:r>
        <w:rPr>
          <w:rFonts w:hint="eastAsia" w:ascii="Times New Roman" w:hAnsi="Times New Roman" w:eastAsia="宋体" w:cs="Times New Roman"/>
          <w:color w:val="auto"/>
          <w:spacing w:val="0"/>
          <w:w w:val="100"/>
          <w:position w:val="0"/>
          <w:sz w:val="21"/>
          <w:szCs w:val="21"/>
          <w:highlight w:val="none"/>
          <w:u w:val="single" w:color="auto"/>
          <w:lang w:val="en-US" w:eastAsia="zh-CN"/>
        </w:rPr>
        <w:t>5个月</w:t>
      </w:r>
      <w:r>
        <w:rPr>
          <w:rFonts w:ascii="宋体" w:hAnsi="宋体" w:eastAsia="宋体" w:cs="宋体"/>
          <w:color w:val="auto"/>
          <w:spacing w:val="0"/>
          <w:w w:val="100"/>
          <w:position w:val="0"/>
          <w:sz w:val="21"/>
          <w:szCs w:val="21"/>
          <w:highlight w:val="none"/>
          <w:u w:val="single" w:color="auto"/>
        </w:rPr>
        <w:t>内</w:t>
      </w:r>
      <w:r>
        <w:rPr>
          <w:rFonts w:hint="eastAsia" w:ascii="宋体" w:hAnsi="宋体" w:eastAsia="宋体" w:cs="宋体"/>
          <w:color w:val="auto"/>
          <w:spacing w:val="0"/>
          <w:w w:val="100"/>
          <w:position w:val="0"/>
          <w:sz w:val="21"/>
          <w:szCs w:val="21"/>
          <w:highlight w:val="none"/>
          <w:u w:val="single" w:color="auto"/>
          <w:lang w:val="en-US" w:eastAsia="zh-CN"/>
        </w:rPr>
        <w:t>完成</w:t>
      </w:r>
      <w:r>
        <w:rPr>
          <w:rFonts w:ascii="宋体" w:hAnsi="宋体" w:eastAsia="宋体" w:cs="宋体"/>
          <w:color w:val="auto"/>
          <w:spacing w:val="0"/>
          <w:w w:val="100"/>
          <w:position w:val="0"/>
          <w:sz w:val="21"/>
          <w:szCs w:val="21"/>
          <w:highlight w:val="none"/>
          <w:u w:val="single" w:color="auto"/>
        </w:rPr>
        <w:t>初步设计文件</w:t>
      </w:r>
      <w:r>
        <w:rPr>
          <w:rFonts w:hint="eastAsia" w:ascii="宋体" w:hAnsi="宋体" w:eastAsia="宋体" w:cs="宋体"/>
          <w:color w:val="auto"/>
          <w:spacing w:val="0"/>
          <w:w w:val="100"/>
          <w:position w:val="0"/>
          <w:sz w:val="21"/>
          <w:szCs w:val="21"/>
          <w:highlight w:val="none"/>
          <w:u w:val="single" w:color="auto"/>
          <w:lang w:val="en-US" w:eastAsia="zh-CN"/>
        </w:rPr>
        <w:t>并通过审查</w:t>
      </w:r>
      <w:r>
        <w:rPr>
          <w:rFonts w:ascii="宋体" w:hAnsi="宋体" w:eastAsia="宋体" w:cs="宋体"/>
          <w:color w:val="auto"/>
          <w:spacing w:val="0"/>
          <w:w w:val="100"/>
          <w:position w:val="0"/>
          <w:sz w:val="21"/>
          <w:szCs w:val="21"/>
          <w:highlight w:val="none"/>
          <w:u w:val="single" w:color="auto"/>
        </w:rPr>
        <w:t>；</w:t>
      </w:r>
    </w:p>
    <w:p w14:paraId="1056542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初步设计文件批复后</w:t>
      </w:r>
      <w:r>
        <w:rPr>
          <w:rFonts w:hint="eastAsia" w:ascii="宋体" w:hAnsi="宋体" w:eastAsia="宋体" w:cs="宋体"/>
          <w:color w:val="auto"/>
          <w:spacing w:val="0"/>
          <w:w w:val="100"/>
          <w:position w:val="0"/>
          <w:sz w:val="21"/>
          <w:szCs w:val="21"/>
          <w:highlight w:val="none"/>
          <w:u w:val="single" w:color="auto"/>
          <w:lang w:val="en-US" w:eastAsia="zh-CN"/>
        </w:rPr>
        <w:t>5个月</w:t>
      </w:r>
      <w:r>
        <w:rPr>
          <w:rFonts w:ascii="宋体" w:hAnsi="宋体" w:eastAsia="宋体" w:cs="宋体"/>
          <w:color w:val="auto"/>
          <w:spacing w:val="0"/>
          <w:w w:val="100"/>
          <w:position w:val="0"/>
          <w:sz w:val="21"/>
          <w:szCs w:val="21"/>
          <w:highlight w:val="none"/>
          <w:u w:val="single" w:color="auto"/>
        </w:rPr>
        <w:t>内</w:t>
      </w:r>
      <w:r>
        <w:rPr>
          <w:rFonts w:hint="eastAsia" w:ascii="宋体" w:hAnsi="宋体" w:eastAsia="宋体" w:cs="宋体"/>
          <w:color w:val="auto"/>
          <w:spacing w:val="0"/>
          <w:w w:val="100"/>
          <w:position w:val="0"/>
          <w:sz w:val="21"/>
          <w:szCs w:val="21"/>
          <w:highlight w:val="none"/>
          <w:u w:val="single" w:color="auto"/>
          <w:lang w:val="en-US" w:eastAsia="zh-CN"/>
        </w:rPr>
        <w:t>完成</w:t>
      </w:r>
      <w:r>
        <w:rPr>
          <w:rFonts w:ascii="宋体" w:hAnsi="宋体" w:eastAsia="宋体" w:cs="宋体"/>
          <w:color w:val="auto"/>
          <w:spacing w:val="0"/>
          <w:w w:val="100"/>
          <w:position w:val="0"/>
          <w:sz w:val="21"/>
          <w:szCs w:val="21"/>
          <w:highlight w:val="none"/>
          <w:u w:val="single" w:color="auto"/>
        </w:rPr>
        <w:t>施工图设计文件；</w:t>
      </w:r>
    </w:p>
    <w:p w14:paraId="7164853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专题报告等根据需要分阶段及时提供。</w:t>
      </w:r>
    </w:p>
    <w:p w14:paraId="548475A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施工周期及交竣工验收期间全部后续服务；</w:t>
      </w:r>
    </w:p>
    <w:p w14:paraId="5C4ABAA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u w:val="single" w:color="auto"/>
        </w:rPr>
        <w:t>发包人有权根据同级或上级人民政府要求或上级行业主管部门要求就招标项目实施计划进行调整。</w:t>
      </w:r>
    </w:p>
    <w:p w14:paraId="3A1FBE4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6.2 </w:t>
      </w:r>
      <w:r>
        <w:rPr>
          <w:rFonts w:ascii="宋体" w:hAnsi="宋体" w:eastAsia="宋体" w:cs="宋体"/>
          <w:b/>
          <w:bCs/>
          <w:color w:val="auto"/>
          <w:spacing w:val="0"/>
          <w:w w:val="100"/>
          <w:position w:val="0"/>
          <w:sz w:val="24"/>
          <w:szCs w:val="24"/>
          <w:highlight w:val="none"/>
        </w:rPr>
        <w:t>发包人引起的周期延误</w:t>
      </w:r>
    </w:p>
    <w:p w14:paraId="3EE60C1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由于发包人原因造成勘察设计服务期限延误的，延长勘察设计服务期限的计算方法：</w:t>
      </w:r>
      <w:r>
        <w:rPr>
          <w:rFonts w:ascii="宋体" w:hAnsi="宋体" w:eastAsia="宋体" w:cs="宋体"/>
          <w:color w:val="auto"/>
          <w:spacing w:val="0"/>
          <w:w w:val="100"/>
          <w:position w:val="0"/>
          <w:sz w:val="21"/>
          <w:szCs w:val="21"/>
          <w:highlight w:val="none"/>
          <w:u w:val="single" w:color="auto"/>
        </w:rPr>
        <w:t>双方协商确认</w:t>
      </w:r>
      <w:r>
        <w:rPr>
          <w:rFonts w:ascii="宋体" w:hAnsi="宋体" w:eastAsia="宋体" w:cs="宋体"/>
          <w:color w:val="auto"/>
          <w:spacing w:val="0"/>
          <w:w w:val="100"/>
          <w:position w:val="0"/>
          <w:sz w:val="21"/>
          <w:szCs w:val="21"/>
          <w:highlight w:val="none"/>
        </w:rPr>
        <w:t>；增加勘察设计费用的计算方法：</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1C549EF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6.3 </w:t>
      </w:r>
      <w:r>
        <w:rPr>
          <w:rFonts w:ascii="宋体" w:hAnsi="宋体" w:eastAsia="宋体" w:cs="宋体"/>
          <w:b/>
          <w:bCs/>
          <w:color w:val="auto"/>
          <w:spacing w:val="0"/>
          <w:w w:val="100"/>
          <w:position w:val="0"/>
          <w:sz w:val="24"/>
          <w:szCs w:val="24"/>
          <w:highlight w:val="none"/>
        </w:rPr>
        <w:t>设计人引起的周期延误</w:t>
      </w:r>
    </w:p>
    <w:p w14:paraId="317041F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逾期违约金的计算方法：</w:t>
      </w:r>
      <w:r>
        <w:rPr>
          <w:rFonts w:ascii="宋体" w:hAnsi="宋体" w:eastAsia="宋体" w:cs="宋体"/>
          <w:color w:val="auto"/>
          <w:spacing w:val="0"/>
          <w:w w:val="100"/>
          <w:position w:val="0"/>
          <w:sz w:val="21"/>
          <w:szCs w:val="21"/>
          <w:highlight w:val="none"/>
          <w:u w:val="single" w:color="auto"/>
        </w:rPr>
        <w:t xml:space="preserve">每延误一天扣减合同金额的 </w:t>
      </w:r>
      <w:r>
        <w:rPr>
          <w:rFonts w:ascii="Times New Roman" w:hAnsi="Times New Roman" w:eastAsia="Times New Roman" w:cs="Times New Roman"/>
          <w:color w:val="auto"/>
          <w:spacing w:val="0"/>
          <w:w w:val="100"/>
          <w:position w:val="0"/>
          <w:sz w:val="21"/>
          <w:szCs w:val="21"/>
          <w:highlight w:val="none"/>
          <w:u w:val="single" w:color="auto"/>
        </w:rPr>
        <w:t>5‰</w:t>
      </w:r>
      <w:r>
        <w:rPr>
          <w:rFonts w:ascii="宋体" w:hAnsi="宋体" w:eastAsia="宋体" w:cs="宋体"/>
          <w:color w:val="auto"/>
          <w:spacing w:val="0"/>
          <w:w w:val="100"/>
          <w:position w:val="0"/>
          <w:sz w:val="21"/>
          <w:szCs w:val="21"/>
          <w:highlight w:val="none"/>
          <w:u w:val="single" w:color="auto"/>
        </w:rPr>
        <w:t>作为违约金</w:t>
      </w:r>
      <w:r>
        <w:rPr>
          <w:rFonts w:ascii="宋体" w:hAnsi="宋体" w:eastAsia="宋体" w:cs="宋体"/>
          <w:color w:val="auto"/>
          <w:spacing w:val="0"/>
          <w:w w:val="100"/>
          <w:position w:val="0"/>
          <w:sz w:val="21"/>
          <w:szCs w:val="21"/>
          <w:highlight w:val="none"/>
        </w:rPr>
        <w:t xml:space="preserve">；逾期超过 </w:t>
      </w:r>
      <w:r>
        <w:rPr>
          <w:rFonts w:ascii="Times New Roman" w:hAnsi="Times New Roman" w:eastAsia="Times New Roman" w:cs="Times New Roman"/>
          <w:color w:val="auto"/>
          <w:spacing w:val="0"/>
          <w:w w:val="100"/>
          <w:position w:val="0"/>
          <w:sz w:val="21"/>
          <w:szCs w:val="21"/>
          <w:highlight w:val="none"/>
        </w:rPr>
        <w:t xml:space="preserve">60 </w:t>
      </w:r>
      <w:r>
        <w:rPr>
          <w:rFonts w:ascii="宋体" w:hAnsi="宋体" w:eastAsia="宋体" w:cs="宋体"/>
          <w:color w:val="auto"/>
          <w:spacing w:val="0"/>
          <w:w w:val="100"/>
          <w:position w:val="0"/>
          <w:sz w:val="21"/>
          <w:szCs w:val="21"/>
          <w:highlight w:val="none"/>
        </w:rPr>
        <w:t>日，发包人有权解除合同，并要求设计人承担由此造成的全部损失，设计人应返还发包人已经支付的全部款项。</w:t>
      </w:r>
    </w:p>
    <w:p w14:paraId="70860D5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6.5 </w:t>
      </w:r>
      <w:r>
        <w:rPr>
          <w:rFonts w:ascii="宋体" w:hAnsi="宋体" w:eastAsia="宋体" w:cs="宋体"/>
          <w:b/>
          <w:bCs/>
          <w:color w:val="auto"/>
          <w:spacing w:val="0"/>
          <w:w w:val="100"/>
          <w:position w:val="0"/>
          <w:sz w:val="24"/>
          <w:szCs w:val="24"/>
          <w:highlight w:val="none"/>
        </w:rPr>
        <w:t>非人为因素引起的周期延误</w:t>
      </w:r>
    </w:p>
    <w:p w14:paraId="0AEC46F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6.5.1 </w:t>
      </w:r>
      <w:r>
        <w:rPr>
          <w:rFonts w:hint="eastAsia" w:ascii="宋体" w:hAnsi="宋体" w:eastAsia="宋体" w:cs="宋体"/>
          <w:color w:val="auto"/>
          <w:spacing w:val="0"/>
          <w:w w:val="100"/>
          <w:position w:val="0"/>
          <w:sz w:val="21"/>
          <w:szCs w:val="21"/>
          <w:highlight w:val="none"/>
        </w:rPr>
        <w:t>异常恶劣气候条件包括：</w:t>
      </w:r>
      <w:r>
        <w:rPr>
          <w:rFonts w:hint="eastAsia" w:ascii="宋体" w:hAnsi="宋体" w:eastAsia="宋体" w:cs="宋体"/>
          <w:color w:val="auto"/>
          <w:spacing w:val="0"/>
          <w:w w:val="100"/>
          <w:position w:val="0"/>
          <w:sz w:val="21"/>
          <w:szCs w:val="21"/>
          <w:highlight w:val="none"/>
          <w:u w:val="single" w:color="auto"/>
        </w:rPr>
        <w:t xml:space="preserve">      /     </w:t>
      </w:r>
      <w:r>
        <w:rPr>
          <w:rFonts w:hint="eastAsia" w:ascii="宋体" w:hAnsi="宋体" w:eastAsia="宋体" w:cs="宋体"/>
          <w:color w:val="auto"/>
          <w:spacing w:val="0"/>
          <w:w w:val="100"/>
          <w:position w:val="0"/>
          <w:sz w:val="21"/>
          <w:szCs w:val="21"/>
          <w:highlight w:val="none"/>
        </w:rPr>
        <w:t>；不利物质条件包括：</w:t>
      </w:r>
      <w:r>
        <w:rPr>
          <w:rFonts w:hint="eastAsia" w:ascii="宋体" w:hAnsi="宋体" w:eastAsia="宋体" w:cs="宋体"/>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7DB05D4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6.7 </w:t>
      </w:r>
      <w:r>
        <w:rPr>
          <w:rFonts w:ascii="宋体" w:hAnsi="宋体" w:eastAsia="宋体" w:cs="宋体"/>
          <w:b/>
          <w:bCs/>
          <w:color w:val="auto"/>
          <w:spacing w:val="0"/>
          <w:w w:val="100"/>
          <w:position w:val="0"/>
          <w:sz w:val="24"/>
          <w:szCs w:val="24"/>
          <w:highlight w:val="none"/>
        </w:rPr>
        <w:t>提前完成勘察设计</w:t>
      </w:r>
    </w:p>
    <w:p w14:paraId="40F4FA5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6.7.3  </w:t>
      </w:r>
      <w:r>
        <w:rPr>
          <w:rFonts w:ascii="宋体" w:hAnsi="宋体" w:eastAsia="宋体" w:cs="宋体"/>
          <w:color w:val="auto"/>
          <w:spacing w:val="0"/>
          <w:w w:val="100"/>
          <w:position w:val="0"/>
          <w:sz w:val="21"/>
          <w:szCs w:val="21"/>
          <w:highlight w:val="none"/>
        </w:rPr>
        <w:t>由于设计人提前完成勘察设计而给发包人带来经济效益的，发包人给予设计人如下奖励：</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1918CB71">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8.</w:t>
      </w:r>
      <w:r>
        <w:rPr>
          <w:b/>
          <w:bCs/>
          <w:color w:val="auto"/>
          <w:spacing w:val="0"/>
          <w:w w:val="100"/>
          <w:position w:val="0"/>
          <w:sz w:val="28"/>
          <w:szCs w:val="28"/>
          <w:highlight w:val="none"/>
        </w:rPr>
        <w:t>勘察设计文件</w:t>
      </w:r>
    </w:p>
    <w:p w14:paraId="5008F9C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8.1 </w:t>
      </w:r>
      <w:r>
        <w:rPr>
          <w:rFonts w:ascii="宋体" w:hAnsi="宋体" w:eastAsia="宋体" w:cs="宋体"/>
          <w:b/>
          <w:bCs/>
          <w:color w:val="auto"/>
          <w:spacing w:val="0"/>
          <w:w w:val="100"/>
          <w:position w:val="0"/>
          <w:sz w:val="24"/>
          <w:szCs w:val="24"/>
          <w:highlight w:val="none"/>
        </w:rPr>
        <w:t>勘察设计文件接收</w:t>
      </w:r>
    </w:p>
    <w:p w14:paraId="48E6EF1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8.1.3 </w:t>
      </w:r>
      <w:r>
        <w:rPr>
          <w:rFonts w:ascii="宋体" w:hAnsi="宋体" w:eastAsia="宋体" w:cs="宋体"/>
          <w:color w:val="auto"/>
          <w:spacing w:val="0"/>
          <w:w w:val="100"/>
          <w:position w:val="0"/>
          <w:sz w:val="21"/>
          <w:szCs w:val="21"/>
          <w:highlight w:val="none"/>
        </w:rPr>
        <w:t>勘察设计文件提交要求：按勘察设计服务周期安排要求提供。</w:t>
      </w:r>
    </w:p>
    <w:p w14:paraId="460236C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 xml:space="preserve">）提交可行性研究报告、勘察报告、设计文件和专题研究报告最终稿各 </w:t>
      </w:r>
      <w:r>
        <w:rPr>
          <w:rFonts w:ascii="Times New Roman" w:hAnsi="Times New Roman" w:eastAsia="Times New Roman" w:cs="Times New Roman"/>
          <w:color w:val="auto"/>
          <w:spacing w:val="0"/>
          <w:w w:val="100"/>
          <w:position w:val="0"/>
          <w:sz w:val="21"/>
          <w:szCs w:val="21"/>
          <w:highlight w:val="none"/>
        </w:rPr>
        <w:t xml:space="preserve">8 </w:t>
      </w:r>
      <w:r>
        <w:rPr>
          <w:rFonts w:ascii="宋体" w:hAnsi="宋体" w:eastAsia="宋体" w:cs="宋体"/>
          <w:color w:val="auto"/>
          <w:spacing w:val="0"/>
          <w:w w:val="100"/>
          <w:position w:val="0"/>
          <w:sz w:val="21"/>
          <w:szCs w:val="21"/>
          <w:highlight w:val="none"/>
        </w:rPr>
        <w:t>份；</w:t>
      </w:r>
    </w:p>
    <w:p w14:paraId="5484989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）根据发包人招标工作进度的需要，分批提交开展施工招标工作所需的图纸、参考资料、施工专用技术规范等招标资料（按发包人要求提供）。</w:t>
      </w:r>
    </w:p>
    <w:p w14:paraId="56D3264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）根据工作要求编绘征地拆迁图。</w:t>
      </w:r>
    </w:p>
    <w:p w14:paraId="1C31E20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）施工现场配合服务：从项目开工至项目竣工验收，施工期暂定</w:t>
      </w:r>
      <w:r>
        <w:rPr>
          <w:rFonts w:ascii="Times New Roman" w:hAnsi="Times New Roman" w:eastAsia="Times New Roman" w:cs="Times New Roman"/>
          <w:color w:val="auto"/>
          <w:spacing w:val="0"/>
          <w:w w:val="100"/>
          <w:position w:val="0"/>
          <w:sz w:val="21"/>
          <w:szCs w:val="21"/>
          <w:highlight w:val="none"/>
        </w:rPr>
        <w:t xml:space="preserve">3 </w:t>
      </w:r>
      <w:r>
        <w:rPr>
          <w:rFonts w:ascii="宋体" w:hAnsi="宋体" w:eastAsia="宋体" w:cs="宋体"/>
          <w:color w:val="auto"/>
          <w:spacing w:val="0"/>
          <w:w w:val="100"/>
          <w:position w:val="0"/>
          <w:sz w:val="21"/>
          <w:szCs w:val="21"/>
          <w:highlight w:val="none"/>
        </w:rPr>
        <w:t>年；缺陷责任期</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年。</w:t>
      </w:r>
    </w:p>
    <w:p w14:paraId="3DC6250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rPr>
        <w:t>）设计人应向发包人提供一份最终成果的计算书、一套包括各类构造物的</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2000</w:t>
      </w:r>
      <w:r>
        <w:rPr>
          <w:rFonts w:ascii="宋体" w:hAnsi="宋体" w:eastAsia="宋体" w:cs="宋体"/>
          <w:color w:val="auto"/>
          <w:spacing w:val="0"/>
          <w:w w:val="100"/>
          <w:position w:val="0"/>
          <w:sz w:val="21"/>
          <w:szCs w:val="21"/>
          <w:highlight w:val="none"/>
        </w:rPr>
        <w:t>地面数字模型（</w:t>
      </w:r>
      <w:r>
        <w:rPr>
          <w:rFonts w:ascii="Times New Roman" w:hAnsi="Times New Roman" w:eastAsia="Times New Roman" w:cs="Times New Roman"/>
          <w:color w:val="auto"/>
          <w:spacing w:val="0"/>
          <w:w w:val="100"/>
          <w:position w:val="0"/>
          <w:sz w:val="21"/>
          <w:szCs w:val="21"/>
          <w:highlight w:val="none"/>
        </w:rPr>
        <w:t>DTM</w:t>
      </w:r>
      <w:r>
        <w:rPr>
          <w:rFonts w:ascii="宋体" w:hAnsi="宋体" w:eastAsia="宋体" w:cs="宋体"/>
          <w:color w:val="auto"/>
          <w:spacing w:val="0"/>
          <w:w w:val="100"/>
          <w:position w:val="0"/>
          <w:sz w:val="21"/>
          <w:szCs w:val="21"/>
          <w:highlight w:val="none"/>
        </w:rPr>
        <w:t>）光盘或移动硬盘、两套全部存盘图纸的光盘或移动硬盘、一套包含设计全线线路总体动画漫游演示视频的光盘或移动硬盘。数据格式应在</w:t>
      </w:r>
      <w:r>
        <w:rPr>
          <w:rFonts w:ascii="Times New Roman" w:hAnsi="Times New Roman" w:eastAsia="Times New Roman" w:cs="Times New Roman"/>
          <w:color w:val="auto"/>
          <w:spacing w:val="0"/>
          <w:w w:val="100"/>
          <w:position w:val="0"/>
          <w:sz w:val="21"/>
          <w:szCs w:val="21"/>
          <w:highlight w:val="none"/>
        </w:rPr>
        <w:t>Microsoft Office</w:t>
      </w: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 xml:space="preserve">Auto CAD </w:t>
      </w:r>
      <w:r>
        <w:rPr>
          <w:rFonts w:ascii="宋体" w:hAnsi="宋体" w:eastAsia="宋体" w:cs="宋体"/>
          <w:color w:val="auto"/>
          <w:spacing w:val="0"/>
          <w:w w:val="100"/>
          <w:position w:val="0"/>
          <w:sz w:val="21"/>
          <w:szCs w:val="21"/>
          <w:highlight w:val="none"/>
        </w:rPr>
        <w:t>等常规软件下能正常使用，不得进行格式转换。</w:t>
      </w:r>
    </w:p>
    <w:p w14:paraId="067A27D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8.2 </w:t>
      </w:r>
      <w:r>
        <w:rPr>
          <w:rFonts w:ascii="宋体" w:hAnsi="宋体" w:eastAsia="宋体" w:cs="宋体"/>
          <w:b/>
          <w:bCs/>
          <w:color w:val="auto"/>
          <w:spacing w:val="0"/>
          <w:w w:val="100"/>
          <w:position w:val="0"/>
          <w:sz w:val="24"/>
          <w:szCs w:val="24"/>
          <w:highlight w:val="none"/>
        </w:rPr>
        <w:t>发包人审查勘察设计文件</w:t>
      </w:r>
    </w:p>
    <w:p w14:paraId="6DC9239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8</w:t>
      </w:r>
      <w:r>
        <w:rPr>
          <w:rFonts w:ascii="Times New Roman" w:hAnsi="Times New Roman" w:eastAsia="Times New Roman" w:cs="Times New Roman"/>
          <w:b/>
          <w:bCs/>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 xml:space="preserve">2.1 </w:t>
      </w:r>
      <w:r>
        <w:rPr>
          <w:rFonts w:ascii="宋体" w:hAnsi="宋体" w:eastAsia="宋体" w:cs="宋体"/>
          <w:color w:val="auto"/>
          <w:spacing w:val="0"/>
          <w:w w:val="100"/>
          <w:position w:val="0"/>
          <w:sz w:val="21"/>
          <w:szCs w:val="21"/>
          <w:highlight w:val="none"/>
        </w:rPr>
        <w:t>发包人审查勘察设计文件的具体范围：</w:t>
      </w:r>
      <w:r>
        <w:rPr>
          <w:rFonts w:ascii="宋体" w:hAnsi="宋体" w:eastAsia="宋体" w:cs="宋体"/>
          <w:color w:val="auto"/>
          <w:spacing w:val="0"/>
          <w:w w:val="100"/>
          <w:position w:val="0"/>
          <w:sz w:val="21"/>
          <w:szCs w:val="21"/>
          <w:highlight w:val="none"/>
          <w:u w:val="single" w:color="auto"/>
        </w:rPr>
        <w:t xml:space="preserve"> 所有成果文件 </w:t>
      </w:r>
      <w:r>
        <w:rPr>
          <w:rFonts w:ascii="宋体" w:hAnsi="宋体" w:eastAsia="宋体" w:cs="宋体"/>
          <w:color w:val="auto"/>
          <w:spacing w:val="0"/>
          <w:w w:val="100"/>
          <w:position w:val="0"/>
          <w:sz w:val="21"/>
          <w:szCs w:val="21"/>
          <w:highlight w:val="none"/>
        </w:rPr>
        <w:t>；费用分担原则：</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2C69F1EA">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10.</w:t>
      </w:r>
      <w:r>
        <w:rPr>
          <w:b/>
          <w:bCs/>
          <w:color w:val="auto"/>
          <w:spacing w:val="0"/>
          <w:w w:val="100"/>
          <w:position w:val="0"/>
          <w:sz w:val="28"/>
          <w:szCs w:val="28"/>
          <w:highlight w:val="none"/>
        </w:rPr>
        <w:t>招标和施工期间配合</w:t>
      </w:r>
    </w:p>
    <w:p w14:paraId="4B99B54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10.2 </w:t>
      </w:r>
      <w:r>
        <w:rPr>
          <w:rFonts w:ascii="宋体" w:hAnsi="宋体" w:eastAsia="宋体" w:cs="宋体"/>
          <w:b/>
          <w:bCs/>
          <w:color w:val="auto"/>
          <w:spacing w:val="0"/>
          <w:w w:val="100"/>
          <w:position w:val="0"/>
          <w:sz w:val="24"/>
          <w:szCs w:val="24"/>
          <w:highlight w:val="none"/>
        </w:rPr>
        <w:t>施工期间配合</w:t>
      </w:r>
    </w:p>
    <w:p w14:paraId="20E22EA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10.2.6 </w:t>
      </w:r>
      <w:r>
        <w:rPr>
          <w:rFonts w:ascii="宋体" w:hAnsi="宋体" w:eastAsia="宋体" w:cs="宋体"/>
          <w:color w:val="auto"/>
          <w:spacing w:val="0"/>
          <w:w w:val="100"/>
          <w:position w:val="0"/>
          <w:sz w:val="21"/>
          <w:szCs w:val="21"/>
          <w:highlight w:val="none"/>
        </w:rPr>
        <w:t>本项目对设计代表的数量和资历条件要求：常驻施工现场的设计代表应不少于</w:t>
      </w:r>
      <w:r>
        <w:rPr>
          <w:rFonts w:ascii="Times New Roman" w:hAnsi="Times New Roman" w:eastAsia="Times New Roman" w:cs="Times New Roman"/>
          <w:color w:val="auto"/>
          <w:spacing w:val="0"/>
          <w:w w:val="100"/>
          <w:position w:val="0"/>
          <w:sz w:val="21"/>
          <w:szCs w:val="21"/>
          <w:highlight w:val="none"/>
          <w:u w:val="single" w:color="auto"/>
        </w:rPr>
        <w:t xml:space="preserve">  1</w:t>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名；设计代表应由负责本勘察设计项目的专业分项负责人或项目负责人担任。</w:t>
      </w:r>
    </w:p>
    <w:p w14:paraId="5C274687">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11.</w:t>
      </w:r>
      <w:r>
        <w:rPr>
          <w:b/>
          <w:bCs/>
          <w:color w:val="auto"/>
          <w:spacing w:val="0"/>
          <w:w w:val="100"/>
          <w:position w:val="0"/>
          <w:sz w:val="28"/>
          <w:szCs w:val="28"/>
          <w:highlight w:val="none"/>
        </w:rPr>
        <w:t>合同变更</w:t>
      </w:r>
    </w:p>
    <w:p w14:paraId="3454A67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11.1 </w:t>
      </w:r>
      <w:r>
        <w:rPr>
          <w:rFonts w:ascii="宋体" w:hAnsi="宋体" w:eastAsia="宋体" w:cs="宋体"/>
          <w:b/>
          <w:bCs/>
          <w:color w:val="auto"/>
          <w:spacing w:val="0"/>
          <w:w w:val="100"/>
          <w:position w:val="0"/>
          <w:sz w:val="24"/>
          <w:szCs w:val="24"/>
          <w:highlight w:val="none"/>
        </w:rPr>
        <w:t>变更情形</w:t>
      </w:r>
    </w:p>
    <w:p w14:paraId="5A0ACFD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11.1.1 </w:t>
      </w:r>
      <w:r>
        <w:rPr>
          <w:rFonts w:ascii="宋体" w:hAnsi="宋体" w:eastAsia="宋体" w:cs="宋体"/>
          <w:color w:val="auto"/>
          <w:spacing w:val="0"/>
          <w:w w:val="100"/>
          <w:position w:val="0"/>
          <w:sz w:val="21"/>
          <w:szCs w:val="21"/>
          <w:highlight w:val="none"/>
        </w:rPr>
        <w:t>合同变更时，勘察设计服务期限的调整方法：</w:t>
      </w:r>
      <w:r>
        <w:rPr>
          <w:rFonts w:ascii="宋体" w:hAnsi="宋体" w:eastAsia="宋体" w:cs="宋体"/>
          <w:color w:val="auto"/>
          <w:spacing w:val="0"/>
          <w:w w:val="100"/>
          <w:position w:val="0"/>
          <w:sz w:val="21"/>
          <w:szCs w:val="21"/>
          <w:highlight w:val="none"/>
          <w:u w:val="single" w:color="auto"/>
        </w:rPr>
        <w:t xml:space="preserve"> 双方协商确认 </w:t>
      </w:r>
      <w:r>
        <w:rPr>
          <w:rFonts w:ascii="宋体" w:hAnsi="宋体" w:eastAsia="宋体" w:cs="宋体"/>
          <w:color w:val="auto"/>
          <w:spacing w:val="0"/>
          <w:w w:val="100"/>
          <w:position w:val="0"/>
          <w:sz w:val="21"/>
          <w:szCs w:val="21"/>
          <w:highlight w:val="none"/>
        </w:rPr>
        <w:t>；勘察设计费用的调整方法：</w:t>
      </w:r>
      <w:r>
        <w:rPr>
          <w:rFonts w:ascii="宋体" w:hAnsi="宋体" w:eastAsia="宋体" w:cs="宋体"/>
          <w:color w:val="auto"/>
          <w:spacing w:val="0"/>
          <w:w w:val="100"/>
          <w:position w:val="0"/>
          <w:sz w:val="21"/>
          <w:szCs w:val="21"/>
          <w:highlight w:val="none"/>
          <w:u w:val="single" w:color="auto"/>
        </w:rPr>
        <w:t xml:space="preserve"> 双方协商确认（除因技术标准变化而引起的设计修改及变更外，不随国家政策、法规及市场因素变化进行调整） </w:t>
      </w:r>
      <w:r>
        <w:rPr>
          <w:rFonts w:ascii="宋体" w:hAnsi="宋体" w:eastAsia="宋体" w:cs="宋体"/>
          <w:color w:val="auto"/>
          <w:spacing w:val="0"/>
          <w:w w:val="100"/>
          <w:position w:val="0"/>
          <w:sz w:val="21"/>
          <w:szCs w:val="21"/>
          <w:highlight w:val="none"/>
        </w:rPr>
        <w:t>。</w:t>
      </w:r>
    </w:p>
    <w:p w14:paraId="521EFE6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11.2 </w:t>
      </w:r>
      <w:r>
        <w:rPr>
          <w:rFonts w:ascii="宋体" w:hAnsi="宋体" w:eastAsia="宋体" w:cs="宋体"/>
          <w:b/>
          <w:bCs/>
          <w:color w:val="auto"/>
          <w:spacing w:val="0"/>
          <w:w w:val="100"/>
          <w:position w:val="0"/>
          <w:sz w:val="24"/>
          <w:szCs w:val="24"/>
          <w:highlight w:val="none"/>
        </w:rPr>
        <w:t>合理化建议</w:t>
      </w:r>
    </w:p>
    <w:p w14:paraId="58A2A1A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11.2.2 </w:t>
      </w:r>
      <w:r>
        <w:rPr>
          <w:rFonts w:ascii="宋体" w:hAnsi="宋体" w:eastAsia="宋体" w:cs="宋体"/>
          <w:color w:val="auto"/>
          <w:spacing w:val="0"/>
          <w:w w:val="100"/>
          <w:position w:val="0"/>
          <w:sz w:val="21"/>
          <w:szCs w:val="21"/>
          <w:highlight w:val="none"/>
        </w:rPr>
        <w:t>设计人提出的合理化建议降低了工程投资、缩短了施工期限或者提高了工程经济效益的，发包人给予设计人如下奖励：</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00BAABD2">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12.</w:t>
      </w:r>
      <w:r>
        <w:rPr>
          <w:b/>
          <w:bCs/>
          <w:color w:val="auto"/>
          <w:spacing w:val="0"/>
          <w:w w:val="100"/>
          <w:position w:val="0"/>
          <w:sz w:val="28"/>
          <w:szCs w:val="28"/>
          <w:highlight w:val="none"/>
        </w:rPr>
        <w:t>合同价格与支付</w:t>
      </w:r>
    </w:p>
    <w:p w14:paraId="6C70389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12.1 </w:t>
      </w:r>
      <w:r>
        <w:rPr>
          <w:rFonts w:ascii="宋体" w:hAnsi="宋体" w:eastAsia="宋体" w:cs="宋体"/>
          <w:b/>
          <w:bCs/>
          <w:color w:val="auto"/>
          <w:spacing w:val="0"/>
          <w:w w:val="100"/>
          <w:position w:val="0"/>
          <w:sz w:val="24"/>
          <w:szCs w:val="24"/>
          <w:highlight w:val="none"/>
        </w:rPr>
        <w:t>合同价格</w:t>
      </w:r>
    </w:p>
    <w:p w14:paraId="46F6E7F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12.1.1 </w:t>
      </w:r>
      <w:r>
        <w:rPr>
          <w:rFonts w:ascii="宋体" w:hAnsi="宋体" w:eastAsia="宋体" w:cs="宋体"/>
          <w:color w:val="auto"/>
          <w:spacing w:val="0"/>
          <w:w w:val="100"/>
          <w:position w:val="0"/>
          <w:sz w:val="21"/>
          <w:szCs w:val="21"/>
          <w:highlight w:val="none"/>
        </w:rPr>
        <w:t>本合同的价款确定方式：</w:t>
      </w:r>
      <w:r>
        <w:rPr>
          <w:rFonts w:ascii="宋体" w:hAnsi="宋体" w:eastAsia="宋体" w:cs="宋体"/>
          <w:color w:val="auto"/>
          <w:spacing w:val="0"/>
          <w:w w:val="100"/>
          <w:position w:val="0"/>
          <w:sz w:val="21"/>
          <w:szCs w:val="21"/>
          <w:highlight w:val="none"/>
          <w:u w:val="single" w:color="auto"/>
        </w:rPr>
        <w:t>总价合同</w:t>
      </w:r>
      <w:r>
        <w:rPr>
          <w:rFonts w:ascii="宋体" w:hAnsi="宋体" w:eastAsia="宋体" w:cs="宋体"/>
          <w:color w:val="auto"/>
          <w:spacing w:val="0"/>
          <w:w w:val="100"/>
          <w:position w:val="0"/>
          <w:sz w:val="21"/>
          <w:szCs w:val="21"/>
          <w:highlight w:val="none"/>
        </w:rPr>
        <w:t>。勘察设计费用支付阶段如下：</w:t>
      </w:r>
    </w:p>
    <w:p w14:paraId="3AA40893">
      <w:pPr>
        <w:keepNext w:val="0"/>
        <w:keepLines w:val="0"/>
        <w:pageBreakBefore w:val="0"/>
        <w:widowControl/>
        <w:tabs>
          <w:tab w:val="left" w:pos="8335"/>
        </w:tabs>
        <w:kinsoku w:val="0"/>
        <w:wordWrap/>
        <w:overflowPunct/>
        <w:topLinePunct w:val="0"/>
        <w:autoSpaceDE w:val="0"/>
        <w:autoSpaceDN w:val="0"/>
        <w:bidi w:val="0"/>
        <w:adjustRightInd w:val="0"/>
        <w:snapToGrid w:val="0"/>
        <w:spacing w:line="500" w:lineRule="exact"/>
        <w:ind w:left="0" w:right="0" w:firstLine="422" w:firstLineChars="200"/>
        <w:jc w:val="left"/>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u w:val="single" w:color="auto"/>
          <w:lang w:val="en-US" w:eastAsia="zh-CN"/>
        </w:rPr>
        <w:t>特许经营项目公司成立且项目工可批复后， 项目公司向设计人支付至合同总价款的30%，项目初步设计批复后， 项目公司向设计人支付至合同总价款的60%；项目施工图设计批复后，项目公司向设计人支付至合同价款的90%；待项目交工证书签发后28天内项目公司支付至合同价款的97% ，剩余3%在竣工验收合格后由项目公司一次性支付（若设计人采用保函等其他非现金方式缴纳质量保证金，则项目交工证书签发后28天内项目公司支付至合同价款的100%，质量保证金在竣工验收合格后由项目公司退还）</w:t>
      </w:r>
      <w:r>
        <w:rPr>
          <w:rFonts w:ascii="宋体" w:hAnsi="宋体" w:eastAsia="宋体" w:cs="宋体"/>
          <w:b/>
          <w:bCs/>
          <w:color w:val="auto"/>
          <w:spacing w:val="0"/>
          <w:w w:val="100"/>
          <w:position w:val="0"/>
          <w:sz w:val="21"/>
          <w:szCs w:val="21"/>
          <w:highlight w:val="none"/>
          <w:u w:val="single" w:color="auto"/>
        </w:rPr>
        <w:t>。</w:t>
      </w:r>
    </w:p>
    <w:p w14:paraId="56E9C1D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12.2 </w:t>
      </w:r>
      <w:r>
        <w:rPr>
          <w:rFonts w:ascii="宋体" w:hAnsi="宋体" w:eastAsia="宋体" w:cs="宋体"/>
          <w:b/>
          <w:bCs/>
          <w:color w:val="auto"/>
          <w:spacing w:val="0"/>
          <w:w w:val="100"/>
          <w:position w:val="0"/>
          <w:sz w:val="24"/>
          <w:szCs w:val="24"/>
          <w:highlight w:val="none"/>
        </w:rPr>
        <w:t>定金或预付款</w:t>
      </w:r>
    </w:p>
    <w:p w14:paraId="71A25D0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12.2.1 </w:t>
      </w:r>
      <w:r>
        <w:rPr>
          <w:rFonts w:ascii="宋体" w:hAnsi="宋体" w:eastAsia="宋体" w:cs="宋体"/>
          <w:color w:val="auto"/>
          <w:spacing w:val="0"/>
          <w:w w:val="100"/>
          <w:position w:val="0"/>
          <w:sz w:val="21"/>
          <w:szCs w:val="21"/>
          <w:highlight w:val="none"/>
        </w:rPr>
        <w:t>定金或预付款的额度、支付方式及抵扣方式：</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0421250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12.3 </w:t>
      </w:r>
      <w:r>
        <w:rPr>
          <w:rFonts w:ascii="宋体" w:hAnsi="宋体" w:eastAsia="宋体" w:cs="宋体"/>
          <w:b/>
          <w:bCs/>
          <w:color w:val="auto"/>
          <w:spacing w:val="0"/>
          <w:w w:val="100"/>
          <w:position w:val="0"/>
          <w:sz w:val="24"/>
          <w:szCs w:val="24"/>
          <w:highlight w:val="none"/>
        </w:rPr>
        <w:t>中期支付</w:t>
      </w:r>
    </w:p>
    <w:p w14:paraId="2B905C9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12.3.1 </w:t>
      </w:r>
      <w:r>
        <w:rPr>
          <w:rFonts w:ascii="宋体" w:hAnsi="宋体" w:eastAsia="宋体" w:cs="宋体"/>
          <w:color w:val="auto"/>
          <w:spacing w:val="0"/>
          <w:w w:val="100"/>
          <w:position w:val="0"/>
          <w:sz w:val="21"/>
          <w:szCs w:val="21"/>
          <w:highlight w:val="none"/>
        </w:rPr>
        <w:t>中期支付申请的格式及份数：</w:t>
      </w:r>
      <w:r>
        <w:rPr>
          <w:rFonts w:ascii="宋体" w:hAnsi="宋体" w:eastAsia="宋体" w:cs="宋体"/>
          <w:color w:val="auto"/>
          <w:spacing w:val="0"/>
          <w:w w:val="100"/>
          <w:position w:val="0"/>
          <w:sz w:val="21"/>
          <w:szCs w:val="21"/>
          <w:highlight w:val="none"/>
          <w:u w:val="single" w:color="auto"/>
        </w:rPr>
        <w:t xml:space="preserve">  按发包人要求执行  </w:t>
      </w:r>
      <w:r>
        <w:rPr>
          <w:rFonts w:ascii="宋体" w:hAnsi="宋体" w:eastAsia="宋体" w:cs="宋体"/>
          <w:color w:val="auto"/>
          <w:spacing w:val="0"/>
          <w:w w:val="100"/>
          <w:position w:val="0"/>
          <w:sz w:val="21"/>
          <w:szCs w:val="21"/>
          <w:highlight w:val="none"/>
        </w:rPr>
        <w:t>。</w:t>
      </w:r>
    </w:p>
    <w:p w14:paraId="6215C28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12.3.2 </w:t>
      </w:r>
      <w:r>
        <w:rPr>
          <w:rFonts w:ascii="宋体" w:hAnsi="宋体" w:eastAsia="宋体" w:cs="宋体"/>
          <w:color w:val="auto"/>
          <w:spacing w:val="0"/>
          <w:w w:val="100"/>
          <w:position w:val="0"/>
          <w:sz w:val="21"/>
          <w:szCs w:val="21"/>
          <w:highlight w:val="none"/>
        </w:rPr>
        <w:t xml:space="preserve">逾期付款违约金：每延期支付 </w:t>
      </w:r>
      <w:r>
        <w:rPr>
          <w:rFonts w:ascii="Times New Roman" w:hAnsi="Times New Roman" w:eastAsia="Times New Roman" w:cs="Times New Roman"/>
          <w:color w:val="auto"/>
          <w:spacing w:val="0"/>
          <w:w w:val="100"/>
          <w:position w:val="0"/>
          <w:sz w:val="21"/>
          <w:szCs w:val="21"/>
          <w:highlight w:val="none"/>
        </w:rPr>
        <w:t xml:space="preserve">1 </w:t>
      </w:r>
      <w:r>
        <w:rPr>
          <w:rFonts w:ascii="宋体" w:hAnsi="宋体" w:eastAsia="宋体" w:cs="宋体"/>
          <w:color w:val="auto"/>
          <w:spacing w:val="0"/>
          <w:w w:val="100"/>
          <w:position w:val="0"/>
          <w:sz w:val="21"/>
          <w:szCs w:val="21"/>
          <w:highlight w:val="none"/>
        </w:rPr>
        <w:t>天，发包人应付给设计人拖欠金额的</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的违 约金。</w:t>
      </w:r>
    </w:p>
    <w:p w14:paraId="74352E0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12.3.3 </w:t>
      </w:r>
      <w:r>
        <w:rPr>
          <w:rFonts w:ascii="宋体" w:hAnsi="宋体" w:eastAsia="宋体" w:cs="宋体"/>
          <w:color w:val="auto"/>
          <w:spacing w:val="0"/>
          <w:w w:val="100"/>
          <w:position w:val="0"/>
          <w:sz w:val="21"/>
          <w:szCs w:val="21"/>
          <w:highlight w:val="none"/>
        </w:rPr>
        <w:t>中期支付涉及政府投资资金的，支付规定如下：</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4893477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12.4 </w:t>
      </w:r>
      <w:r>
        <w:rPr>
          <w:rFonts w:ascii="宋体" w:hAnsi="宋体" w:eastAsia="宋体" w:cs="宋体"/>
          <w:b/>
          <w:bCs/>
          <w:color w:val="auto"/>
          <w:spacing w:val="0"/>
          <w:w w:val="100"/>
          <w:position w:val="0"/>
          <w:sz w:val="24"/>
          <w:szCs w:val="24"/>
          <w:highlight w:val="none"/>
        </w:rPr>
        <w:t>费用结算</w:t>
      </w:r>
    </w:p>
    <w:p w14:paraId="48A150F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12.4.1 </w:t>
      </w:r>
      <w:r>
        <w:rPr>
          <w:rFonts w:ascii="宋体" w:hAnsi="宋体" w:eastAsia="宋体" w:cs="宋体"/>
          <w:color w:val="auto"/>
          <w:spacing w:val="0"/>
          <w:w w:val="100"/>
          <w:position w:val="0"/>
          <w:sz w:val="21"/>
          <w:szCs w:val="21"/>
          <w:highlight w:val="none"/>
        </w:rPr>
        <w:t>勘察设计费用结算申请的份数和提交期限：</w:t>
      </w:r>
      <w:r>
        <w:rPr>
          <w:rFonts w:ascii="宋体" w:hAnsi="宋体" w:eastAsia="宋体" w:cs="宋体"/>
          <w:color w:val="auto"/>
          <w:spacing w:val="0"/>
          <w:w w:val="100"/>
          <w:position w:val="0"/>
          <w:sz w:val="21"/>
          <w:szCs w:val="21"/>
          <w:highlight w:val="none"/>
          <w:u w:val="single" w:color="auto"/>
        </w:rPr>
        <w:t xml:space="preserve"> 按发包人要求执行  </w:t>
      </w:r>
      <w:r>
        <w:rPr>
          <w:rFonts w:ascii="宋体" w:hAnsi="宋体" w:eastAsia="宋体" w:cs="宋体"/>
          <w:color w:val="auto"/>
          <w:spacing w:val="0"/>
          <w:w w:val="100"/>
          <w:position w:val="0"/>
          <w:sz w:val="21"/>
          <w:szCs w:val="21"/>
          <w:highlight w:val="none"/>
        </w:rPr>
        <w:t>。</w:t>
      </w:r>
    </w:p>
    <w:p w14:paraId="389630A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12.4.2 </w:t>
      </w:r>
      <w:r>
        <w:rPr>
          <w:rFonts w:ascii="宋体" w:hAnsi="宋体" w:eastAsia="宋体" w:cs="宋体"/>
          <w:color w:val="auto"/>
          <w:spacing w:val="0"/>
          <w:w w:val="100"/>
          <w:position w:val="0"/>
          <w:sz w:val="21"/>
          <w:szCs w:val="21"/>
          <w:highlight w:val="none"/>
        </w:rPr>
        <w:t xml:space="preserve">逾期付款违约金：每延期支付 </w:t>
      </w:r>
      <w:r>
        <w:rPr>
          <w:rFonts w:ascii="Times New Roman" w:hAnsi="Times New Roman" w:eastAsia="Times New Roman" w:cs="Times New Roman"/>
          <w:color w:val="auto"/>
          <w:spacing w:val="0"/>
          <w:w w:val="100"/>
          <w:position w:val="0"/>
          <w:sz w:val="21"/>
          <w:szCs w:val="21"/>
          <w:highlight w:val="none"/>
        </w:rPr>
        <w:t xml:space="preserve">1 </w:t>
      </w:r>
      <w:r>
        <w:rPr>
          <w:rFonts w:ascii="宋体" w:hAnsi="宋体" w:eastAsia="宋体" w:cs="宋体"/>
          <w:color w:val="auto"/>
          <w:spacing w:val="0"/>
          <w:w w:val="100"/>
          <w:position w:val="0"/>
          <w:sz w:val="21"/>
          <w:szCs w:val="21"/>
          <w:highlight w:val="none"/>
        </w:rPr>
        <w:t>天，发包人应付给设计人拖欠金额的</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的违 约金。</w:t>
      </w:r>
    </w:p>
    <w:p w14:paraId="55AC396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12.5 </w:t>
      </w:r>
      <w:r>
        <w:rPr>
          <w:rFonts w:ascii="宋体" w:hAnsi="宋体" w:eastAsia="宋体" w:cs="宋体"/>
          <w:b/>
          <w:bCs/>
          <w:color w:val="auto"/>
          <w:spacing w:val="0"/>
          <w:w w:val="100"/>
          <w:position w:val="0"/>
          <w:sz w:val="24"/>
          <w:szCs w:val="24"/>
          <w:highlight w:val="none"/>
        </w:rPr>
        <w:t>暂列金额</w:t>
      </w:r>
    </w:p>
    <w:p w14:paraId="3F5428C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12.5.1 </w:t>
      </w:r>
      <w:r>
        <w:rPr>
          <w:rFonts w:ascii="宋体" w:hAnsi="宋体" w:eastAsia="宋体" w:cs="宋体"/>
          <w:color w:val="auto"/>
          <w:spacing w:val="0"/>
          <w:w w:val="100"/>
          <w:position w:val="0"/>
          <w:sz w:val="21"/>
          <w:szCs w:val="21"/>
          <w:highlight w:val="none"/>
        </w:rPr>
        <w:t>本合同的暂列金额为工程勘察设计费的</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w:t>
      </w:r>
    </w:p>
    <w:p w14:paraId="1E73E21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12.6 </w:t>
      </w:r>
      <w:r>
        <w:rPr>
          <w:rFonts w:ascii="宋体" w:hAnsi="宋体" w:eastAsia="宋体" w:cs="宋体"/>
          <w:b/>
          <w:bCs/>
          <w:color w:val="auto"/>
          <w:spacing w:val="0"/>
          <w:w w:val="100"/>
          <w:position w:val="0"/>
          <w:sz w:val="24"/>
          <w:szCs w:val="24"/>
          <w:highlight w:val="none"/>
        </w:rPr>
        <w:t>质量保证金</w:t>
      </w:r>
    </w:p>
    <w:p w14:paraId="2ABFAE6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本项目的质量保证金为勘察设计费用总额的</w:t>
      </w:r>
      <w:r>
        <w:rPr>
          <w:rFonts w:ascii="Times New Roman" w:hAnsi="Times New Roman" w:eastAsia="Times New Roman" w:cs="Times New Roman"/>
          <w:color w:val="auto"/>
          <w:spacing w:val="0"/>
          <w:w w:val="100"/>
          <w:position w:val="0"/>
          <w:sz w:val="21"/>
          <w:szCs w:val="21"/>
          <w:highlight w:val="none"/>
          <w:u w:val="single" w:color="auto"/>
        </w:rPr>
        <w:t xml:space="preserve">  3 </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w:t>
      </w:r>
    </w:p>
    <w:p w14:paraId="1C04FDAF">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14.</w:t>
      </w:r>
      <w:r>
        <w:rPr>
          <w:b/>
          <w:bCs/>
          <w:color w:val="auto"/>
          <w:spacing w:val="0"/>
          <w:w w:val="100"/>
          <w:position w:val="0"/>
          <w:sz w:val="28"/>
          <w:szCs w:val="28"/>
          <w:highlight w:val="none"/>
        </w:rPr>
        <w:t>违约</w:t>
      </w:r>
    </w:p>
    <w:p w14:paraId="7B2CEEC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14.1 </w:t>
      </w:r>
      <w:r>
        <w:rPr>
          <w:rFonts w:ascii="宋体" w:hAnsi="宋体" w:eastAsia="宋体" w:cs="宋体"/>
          <w:b/>
          <w:bCs/>
          <w:color w:val="auto"/>
          <w:spacing w:val="0"/>
          <w:w w:val="100"/>
          <w:position w:val="0"/>
          <w:sz w:val="24"/>
          <w:szCs w:val="24"/>
          <w:highlight w:val="none"/>
        </w:rPr>
        <w:t>设计人违约</w:t>
      </w:r>
    </w:p>
    <w:p w14:paraId="1B5E9AC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14.1.2 </w:t>
      </w:r>
      <w:r>
        <w:rPr>
          <w:rFonts w:ascii="宋体" w:hAnsi="宋体" w:eastAsia="宋体" w:cs="宋体"/>
          <w:color w:val="auto"/>
          <w:spacing w:val="0"/>
          <w:w w:val="100"/>
          <w:position w:val="0"/>
          <w:sz w:val="21"/>
          <w:szCs w:val="21"/>
          <w:highlight w:val="none"/>
        </w:rPr>
        <w:t>设计人发生违约情况时，发包人有权向设计人课以违约金，具体约定如下：</w:t>
      </w:r>
    </w:p>
    <w:p w14:paraId="3F02D58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u w:val="single" w:color="auto"/>
        </w:rPr>
        <w:t>因勘察设计深度不够、资料不足、方案缺陷以及勘察设计质量低劣等质量问题，</w:t>
      </w:r>
      <w:r>
        <w:rPr>
          <w:rFonts w:ascii="宋体" w:hAnsi="宋体" w:eastAsia="宋体" w:cs="宋体"/>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u w:val="single" w:color="auto"/>
        </w:rPr>
        <w:t>而被要求返工从而造成质量问题的且超过概算的，除由设计人负责继续完善勘察设计外，业主还可视造成的时间延误或费用损失，扣除设计人合同价 1～20%的违约金，直至解除勘察设计合同。</w:t>
      </w:r>
    </w:p>
    <w:p w14:paraId="147B120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如果勘察设计深度不够、资料不足、方案缺陷或质量低劣等质量问题，经修改后仍未达到勘察设计相关深度要求的或未通过上级主管单位的审查时，业主有权中止设计合同，取消设计人履行下阶段工作的资格，并可按合同价的 10%计扣设计人的违约金。</w:t>
      </w:r>
    </w:p>
    <w:p w14:paraId="667B7A4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在勘察设计过程中，如果设计人未能按照发包人要求提供相应勘察设计资料的且经督促后仍未按时提供的，每延期 1 天，将按合同价的 5‰计扣设计人的违约金。</w:t>
      </w:r>
    </w:p>
    <w:p w14:paraId="10F7D35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因设计人原因导致未能按约定的时间提供设计文件的（发包人同意延长期限的除外），每延期 1 天，业主将按合同价的 5‰计扣设计人的违约金。</w:t>
      </w:r>
    </w:p>
    <w:p w14:paraId="08A523D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中标人将各专题设计任务转包或未经业主同意私自分包的，发包人将有权解除合同，并计扣中标人合同价 3%～5%的违约金。</w:t>
      </w:r>
    </w:p>
    <w:p w14:paraId="04C897C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6</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设计单位需采取有效措施确保设计作业过程中不出现安全责任事故，否则除履行相应责任外，将按合同价的 1%～5%计扣设计人的违约金。</w:t>
      </w:r>
    </w:p>
    <w:p w14:paraId="7FB2581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u w:val="single" w:color="auto"/>
        </w:rPr>
        <w:t>上述所有违约金在支付合同价款时扣除。</w:t>
      </w:r>
    </w:p>
    <w:p w14:paraId="791DEFD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jc w:val="left"/>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14.2 </w:t>
      </w:r>
      <w:r>
        <w:rPr>
          <w:rFonts w:ascii="宋体" w:hAnsi="宋体" w:eastAsia="宋体" w:cs="宋体"/>
          <w:b/>
          <w:bCs/>
          <w:color w:val="auto"/>
          <w:spacing w:val="0"/>
          <w:w w:val="100"/>
          <w:position w:val="0"/>
          <w:sz w:val="24"/>
          <w:szCs w:val="24"/>
          <w:highlight w:val="none"/>
        </w:rPr>
        <w:t>发包人违约</w:t>
      </w:r>
    </w:p>
    <w:p w14:paraId="10CF7E6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14.2.3 </w:t>
      </w:r>
      <w:r>
        <w:rPr>
          <w:rFonts w:ascii="宋体" w:hAnsi="宋体" w:eastAsia="宋体" w:cs="宋体"/>
          <w:color w:val="auto"/>
          <w:spacing w:val="0"/>
          <w:w w:val="100"/>
          <w:position w:val="0"/>
          <w:sz w:val="21"/>
          <w:szCs w:val="21"/>
          <w:highlight w:val="none"/>
        </w:rPr>
        <w:t>在合同履行期间，发包人要求终止或解除合同的（但并非设计人原因造成），发包人按设计人完成的实际工作量支付费用。</w:t>
      </w:r>
    </w:p>
    <w:p w14:paraId="424B556C">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jc w:val="left"/>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15.</w:t>
      </w:r>
      <w:r>
        <w:rPr>
          <w:b/>
          <w:bCs/>
          <w:color w:val="auto"/>
          <w:spacing w:val="0"/>
          <w:w w:val="100"/>
          <w:position w:val="0"/>
          <w:sz w:val="28"/>
          <w:szCs w:val="28"/>
          <w:highlight w:val="none"/>
        </w:rPr>
        <w:t>争议的解决</w:t>
      </w:r>
    </w:p>
    <w:p w14:paraId="3C5B8E1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15.1 </w:t>
      </w:r>
      <w:r>
        <w:rPr>
          <w:rFonts w:ascii="宋体" w:hAnsi="宋体" w:eastAsia="宋体" w:cs="宋体"/>
          <w:color w:val="auto"/>
          <w:spacing w:val="0"/>
          <w:w w:val="100"/>
          <w:position w:val="0"/>
          <w:sz w:val="21"/>
          <w:szCs w:val="21"/>
          <w:highlight w:val="none"/>
        </w:rPr>
        <w:t>争议的最终解决方式：</w:t>
      </w:r>
      <w:r>
        <w:rPr>
          <w:rFonts w:ascii="宋体" w:hAnsi="宋体" w:eastAsia="宋体" w:cs="宋体"/>
          <w:color w:val="auto"/>
          <w:spacing w:val="0"/>
          <w:w w:val="100"/>
          <w:position w:val="0"/>
          <w:sz w:val="21"/>
          <w:szCs w:val="21"/>
          <w:highlight w:val="none"/>
          <w:u w:val="single" w:color="auto"/>
        </w:rPr>
        <w:t xml:space="preserve">  诉讼  </w:t>
      </w:r>
    </w:p>
    <w:p w14:paraId="6397EF8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如采用仲裁，仲裁机构名称：</w:t>
      </w:r>
      <w:r>
        <w:rPr>
          <w:rFonts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eastAsia="zh-CN"/>
        </w:rPr>
        <w:t>滁州</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仲裁委员会。</w:t>
      </w:r>
    </w:p>
    <w:p w14:paraId="2B5115D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jc w:val="left"/>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如采用诉讼，诉讼机构名称：</w:t>
      </w:r>
      <w:r>
        <w:rPr>
          <w:rFonts w:ascii="宋体" w:hAnsi="宋体" w:eastAsia="宋体" w:cs="宋体"/>
          <w:color w:val="auto"/>
          <w:spacing w:val="0"/>
          <w:w w:val="100"/>
          <w:position w:val="0"/>
          <w:sz w:val="21"/>
          <w:szCs w:val="21"/>
          <w:highlight w:val="none"/>
          <w:u w:val="single" w:color="auto"/>
        </w:rPr>
        <w:t xml:space="preserve">  发包人所在地 </w:t>
      </w:r>
      <w:r>
        <w:rPr>
          <w:rFonts w:ascii="宋体" w:hAnsi="宋体" w:eastAsia="宋体" w:cs="宋体"/>
          <w:color w:val="auto"/>
          <w:spacing w:val="0"/>
          <w:w w:val="100"/>
          <w:position w:val="0"/>
          <w:sz w:val="21"/>
          <w:szCs w:val="21"/>
          <w:highlight w:val="none"/>
        </w:rPr>
        <w:t>法院。</w:t>
      </w:r>
    </w:p>
    <w:p w14:paraId="74753457">
      <w:pPr>
        <w:spacing w:line="220" w:lineRule="auto"/>
        <w:rPr>
          <w:rFonts w:ascii="宋体" w:hAnsi="宋体" w:eastAsia="宋体" w:cs="宋体"/>
          <w:color w:val="auto"/>
          <w:spacing w:val="0"/>
          <w:w w:val="100"/>
          <w:position w:val="0"/>
          <w:sz w:val="21"/>
          <w:szCs w:val="21"/>
          <w:highlight w:val="none"/>
        </w:rPr>
        <w:sectPr>
          <w:headerReference r:id="rId35" w:type="default"/>
          <w:footerReference r:id="rId36" w:type="default"/>
          <w:pgSz w:w="11900" w:h="16843"/>
          <w:pgMar w:top="1378" w:right="1417" w:bottom="1208" w:left="1417" w:header="1366" w:footer="1003" w:gutter="0"/>
          <w:pgNumType w:fmt="decimal"/>
          <w:cols w:space="0" w:num="1"/>
          <w:rtlGutter w:val="0"/>
          <w:docGrid w:linePitch="0" w:charSpace="0"/>
        </w:sectPr>
      </w:pPr>
    </w:p>
    <w:p w14:paraId="5BF7A6BF">
      <w:pPr>
        <w:pStyle w:val="6"/>
        <w:spacing w:before="101" w:line="224" w:lineRule="auto"/>
        <w:ind w:left="2588"/>
        <w:outlineLvl w:val="2"/>
        <w:rPr>
          <w:color w:val="auto"/>
          <w:spacing w:val="0"/>
          <w:w w:val="100"/>
          <w:position w:val="0"/>
          <w:highlight w:val="none"/>
        </w:rPr>
      </w:pPr>
      <w:bookmarkStart w:id="22" w:name="bookmark24"/>
      <w:bookmarkEnd w:id="22"/>
      <w:r>
        <w:rPr>
          <w:b/>
          <w:bCs/>
          <w:color w:val="auto"/>
          <w:spacing w:val="0"/>
          <w:w w:val="100"/>
          <w:position w:val="0"/>
          <w:highlight w:val="none"/>
        </w:rPr>
        <w:t>第二节</w:t>
      </w:r>
      <w:r>
        <w:rPr>
          <w:color w:val="auto"/>
          <w:spacing w:val="0"/>
          <w:w w:val="100"/>
          <w:position w:val="0"/>
          <w:highlight w:val="none"/>
        </w:rPr>
        <w:t xml:space="preserve">  </w:t>
      </w:r>
      <w:r>
        <w:rPr>
          <w:b/>
          <w:bCs/>
          <w:color w:val="auto"/>
          <w:spacing w:val="0"/>
          <w:w w:val="100"/>
          <w:position w:val="0"/>
          <w:highlight w:val="none"/>
        </w:rPr>
        <w:t>专用合同条款</w:t>
      </w:r>
    </w:p>
    <w:p w14:paraId="178132D4">
      <w:pPr>
        <w:spacing w:line="269" w:lineRule="auto"/>
        <w:rPr>
          <w:rFonts w:ascii="Arial"/>
          <w:color w:val="auto"/>
          <w:spacing w:val="0"/>
          <w:w w:val="100"/>
          <w:position w:val="0"/>
          <w:sz w:val="21"/>
          <w:highlight w:val="none"/>
        </w:rPr>
      </w:pPr>
    </w:p>
    <w:p w14:paraId="33D8E7F2">
      <w:pPr>
        <w:pStyle w:val="6"/>
        <w:spacing w:before="91" w:line="234" w:lineRule="auto"/>
        <w:ind w:left="3018"/>
        <w:rPr>
          <w:color w:val="auto"/>
          <w:spacing w:val="0"/>
          <w:w w:val="100"/>
          <w:position w:val="0"/>
          <w:sz w:val="28"/>
          <w:szCs w:val="28"/>
          <w:highlight w:val="none"/>
        </w:rPr>
      </w:pPr>
      <w:r>
        <w:rPr>
          <w:b/>
          <w:bCs/>
          <w:color w:val="auto"/>
          <w:spacing w:val="0"/>
          <w:w w:val="100"/>
          <w:position w:val="0"/>
          <w:sz w:val="28"/>
          <w:szCs w:val="28"/>
          <w:highlight w:val="none"/>
        </w:rPr>
        <w:t>（适用于</w:t>
      </w:r>
      <w:r>
        <w:rPr>
          <w:color w:val="auto"/>
          <w:spacing w:val="0"/>
          <w:w w:val="100"/>
          <w:position w:val="0"/>
          <w:sz w:val="28"/>
          <w:szCs w:val="28"/>
          <w:highlight w:val="none"/>
        </w:rPr>
        <w:t xml:space="preserve"> </w:t>
      </w:r>
      <w:r>
        <w:rPr>
          <w:rFonts w:ascii="Times New Roman" w:hAnsi="Times New Roman" w:eastAsia="Times New Roman" w:cs="Times New Roman"/>
          <w:b/>
          <w:bCs/>
          <w:color w:val="auto"/>
          <w:spacing w:val="0"/>
          <w:w w:val="100"/>
          <w:position w:val="0"/>
          <w:sz w:val="28"/>
          <w:szCs w:val="28"/>
          <w:highlight w:val="none"/>
        </w:rPr>
        <w:t xml:space="preserve">02 </w:t>
      </w:r>
      <w:r>
        <w:rPr>
          <w:b/>
          <w:bCs/>
          <w:color w:val="auto"/>
          <w:spacing w:val="0"/>
          <w:w w:val="100"/>
          <w:position w:val="0"/>
          <w:sz w:val="28"/>
          <w:szCs w:val="28"/>
          <w:highlight w:val="none"/>
        </w:rPr>
        <w:t>标段）</w:t>
      </w:r>
    </w:p>
    <w:p w14:paraId="4BC3F3BF">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w:t>
      </w:r>
      <w:r>
        <w:rPr>
          <w:b/>
          <w:bCs/>
          <w:color w:val="auto"/>
          <w:spacing w:val="0"/>
          <w:w w:val="100"/>
          <w:position w:val="0"/>
          <w:sz w:val="28"/>
          <w:szCs w:val="28"/>
          <w:highlight w:val="none"/>
        </w:rPr>
        <w:t>一般约定</w:t>
      </w:r>
    </w:p>
    <w:p w14:paraId="50BC2FA8">
      <w:pPr>
        <w:keepNext w:val="0"/>
        <w:keepLines w:val="0"/>
        <w:pageBreakBefore w:val="0"/>
        <w:widowControl/>
        <w:kinsoku w:val="0"/>
        <w:wordWrap/>
        <w:overflowPunct/>
        <w:topLinePunct w:val="0"/>
        <w:autoSpaceDE w:val="0"/>
        <w:autoSpaceDN w:val="0"/>
        <w:bidi w:val="0"/>
        <w:adjustRightInd w:val="0"/>
        <w:snapToGrid w:val="0"/>
        <w:spacing w:line="500" w:lineRule="exact"/>
        <w:ind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1.1 </w:t>
      </w:r>
      <w:r>
        <w:rPr>
          <w:rFonts w:ascii="宋体" w:hAnsi="宋体" w:eastAsia="宋体" w:cs="宋体"/>
          <w:b/>
          <w:bCs/>
          <w:color w:val="auto"/>
          <w:spacing w:val="0"/>
          <w:w w:val="100"/>
          <w:position w:val="0"/>
          <w:sz w:val="24"/>
          <w:szCs w:val="24"/>
          <w:highlight w:val="none"/>
        </w:rPr>
        <w:t>词语定义</w:t>
      </w:r>
    </w:p>
    <w:p w14:paraId="246CD68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"1.1.2.2" </w:instrText>
      </w:r>
      <w:r>
        <w:rPr>
          <w:color w:val="auto"/>
          <w:spacing w:val="0"/>
          <w:w w:val="100"/>
          <w:position w:val="0"/>
          <w:highlight w:val="none"/>
        </w:rPr>
        <w:fldChar w:fldCharType="separate"/>
      </w:r>
      <w:r>
        <w:rPr>
          <w:rFonts w:ascii="Times New Roman" w:hAnsi="Times New Roman" w:eastAsia="Times New Roman" w:cs="Times New Roman"/>
          <w:color w:val="auto"/>
          <w:spacing w:val="0"/>
          <w:w w:val="100"/>
          <w:position w:val="0"/>
          <w:sz w:val="21"/>
          <w:szCs w:val="21"/>
          <w:highlight w:val="none"/>
        </w:rPr>
        <w:t>1.1.2.2</w:t>
      </w:r>
      <w:r>
        <w:rPr>
          <w:rFonts w:ascii="Times New Roman" w:hAnsi="Times New Roman" w:eastAsia="Times New Roman" w:cs="Times New Roman"/>
          <w:color w:val="auto"/>
          <w:spacing w:val="0"/>
          <w:w w:val="100"/>
          <w:position w:val="0"/>
          <w:sz w:val="21"/>
          <w:szCs w:val="21"/>
          <w:highlight w:val="none"/>
        </w:rPr>
        <w:fldChar w:fldCharType="end"/>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发包人：</w:t>
      </w:r>
      <w:r>
        <w:rPr>
          <w:rFonts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eastAsia="zh-CN"/>
        </w:rPr>
        <w:t>滁州市交通运输局</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w:t>
      </w:r>
    </w:p>
    <w:p w14:paraId="0C47DB9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"1.1.2.2" </w:instrText>
      </w:r>
      <w:r>
        <w:rPr>
          <w:color w:val="auto"/>
          <w:spacing w:val="0"/>
          <w:w w:val="100"/>
          <w:position w:val="0"/>
          <w:highlight w:val="none"/>
        </w:rPr>
        <w:fldChar w:fldCharType="separate"/>
      </w:r>
      <w:r>
        <w:rPr>
          <w:rFonts w:ascii="Times New Roman" w:hAnsi="Times New Roman" w:eastAsia="Times New Roman" w:cs="Times New Roman"/>
          <w:color w:val="auto"/>
          <w:spacing w:val="0"/>
          <w:w w:val="100"/>
          <w:position w:val="0"/>
          <w:sz w:val="21"/>
          <w:szCs w:val="21"/>
          <w:highlight w:val="none"/>
        </w:rPr>
        <w:t>1.1.2.2</w:t>
      </w:r>
      <w:r>
        <w:rPr>
          <w:rFonts w:ascii="Times New Roman" w:hAnsi="Times New Roman" w:eastAsia="Times New Roman" w:cs="Times New Roman"/>
          <w:color w:val="auto"/>
          <w:spacing w:val="0"/>
          <w:w w:val="100"/>
          <w:position w:val="0"/>
          <w:sz w:val="21"/>
          <w:szCs w:val="21"/>
          <w:highlight w:val="none"/>
        </w:rPr>
        <w:fldChar w:fldCharType="end"/>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咨询人：</w:t>
      </w:r>
      <w:r>
        <w:rPr>
          <w:rFonts w:ascii="宋体" w:hAnsi="宋体" w:eastAsia="宋体" w:cs="宋体"/>
          <w:color w:val="auto"/>
          <w:spacing w:val="0"/>
          <w:w w:val="100"/>
          <w:position w:val="0"/>
          <w:sz w:val="21"/>
          <w:szCs w:val="21"/>
          <w:highlight w:val="none"/>
          <w:u w:val="single" w:color="auto"/>
        </w:rPr>
        <w:t>指与发包人签订合同协议书的当事人，以及取得该当事人资格的合法继承人。是承担本项目设计咨询工作的主体，承担设计咨询工作。即合同协议书中的</w:t>
      </w:r>
      <w:r>
        <w:rPr>
          <w:rFonts w:ascii="Times New Roman" w:hAnsi="Times New Roman" w:eastAsia="Times New Roman" w:cs="Times New Roman"/>
          <w:color w:val="auto"/>
          <w:spacing w:val="0"/>
          <w:w w:val="100"/>
          <w:position w:val="0"/>
          <w:sz w:val="21"/>
          <w:szCs w:val="21"/>
          <w:highlight w:val="none"/>
          <w:u w:val="single" w:color="auto"/>
        </w:rPr>
        <w:t>“</w:t>
      </w:r>
      <w:r>
        <w:rPr>
          <w:rFonts w:ascii="宋体" w:hAnsi="宋体" w:eastAsia="宋体" w:cs="宋体"/>
          <w:color w:val="auto"/>
          <w:spacing w:val="0"/>
          <w:w w:val="100"/>
          <w:position w:val="0"/>
          <w:sz w:val="21"/>
          <w:szCs w:val="21"/>
          <w:highlight w:val="none"/>
          <w:u w:val="single" w:color="auto"/>
        </w:rPr>
        <w:t>乙方</w:t>
      </w:r>
      <w:r>
        <w:rPr>
          <w:rFonts w:ascii="Times New Roman" w:hAnsi="Times New Roman" w:eastAsia="Times New Roman" w:cs="Times New Roman"/>
          <w:color w:val="auto"/>
          <w:spacing w:val="0"/>
          <w:w w:val="100"/>
          <w:position w:val="0"/>
          <w:sz w:val="21"/>
          <w:szCs w:val="21"/>
          <w:highlight w:val="none"/>
          <w:u w:val="single" w:color="auto"/>
        </w:rPr>
        <w:t>”</w:t>
      </w:r>
      <w:r>
        <w:rPr>
          <w:rFonts w:ascii="宋体" w:hAnsi="宋体" w:eastAsia="宋体" w:cs="宋体"/>
          <w:color w:val="auto"/>
          <w:spacing w:val="0"/>
          <w:w w:val="100"/>
          <w:position w:val="0"/>
          <w:sz w:val="21"/>
          <w:szCs w:val="21"/>
          <w:highlight w:val="none"/>
          <w:u w:val="single" w:color="auto"/>
        </w:rPr>
        <w:t>。</w:t>
      </w:r>
    </w:p>
    <w:p w14:paraId="33561E9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color w:val="auto"/>
          <w:spacing w:val="0"/>
          <w:w w:val="100"/>
          <w:position w:val="0"/>
          <w:highlight w:val="none"/>
        </w:rPr>
        <w:fldChar w:fldCharType="begin"/>
      </w:r>
      <w:r>
        <w:rPr>
          <w:color w:val="auto"/>
          <w:spacing w:val="0"/>
          <w:w w:val="100"/>
          <w:position w:val="0"/>
          <w:highlight w:val="none"/>
        </w:rPr>
        <w:instrText xml:space="preserve"> HYPERLINK "1.1.3.1" </w:instrText>
      </w:r>
      <w:r>
        <w:rPr>
          <w:color w:val="auto"/>
          <w:spacing w:val="0"/>
          <w:w w:val="100"/>
          <w:position w:val="0"/>
          <w:highlight w:val="none"/>
        </w:rPr>
        <w:fldChar w:fldCharType="separate"/>
      </w:r>
      <w:r>
        <w:rPr>
          <w:rFonts w:ascii="Times New Roman" w:hAnsi="Times New Roman" w:eastAsia="Times New Roman" w:cs="Times New Roman"/>
          <w:color w:val="auto"/>
          <w:spacing w:val="0"/>
          <w:w w:val="100"/>
          <w:position w:val="0"/>
          <w:sz w:val="21"/>
          <w:szCs w:val="21"/>
          <w:highlight w:val="none"/>
        </w:rPr>
        <w:t>1.1.3.1</w:t>
      </w:r>
      <w:r>
        <w:rPr>
          <w:rFonts w:ascii="Times New Roman" w:hAnsi="Times New Roman" w:eastAsia="Times New Roman" w:cs="Times New Roman"/>
          <w:color w:val="auto"/>
          <w:spacing w:val="0"/>
          <w:w w:val="100"/>
          <w:position w:val="0"/>
          <w:sz w:val="21"/>
          <w:szCs w:val="21"/>
          <w:highlight w:val="none"/>
        </w:rPr>
        <w:fldChar w:fldCharType="end"/>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本次进行勘察设计招标的项目为：</w:t>
      </w:r>
      <w:r>
        <w:rPr>
          <w:rFonts w:ascii="宋体" w:hAnsi="宋体" w:eastAsia="宋体" w:cs="宋体"/>
          <w:color w:val="auto"/>
          <w:spacing w:val="0"/>
          <w:w w:val="100"/>
          <w:position w:val="0"/>
          <w:sz w:val="21"/>
          <w:szCs w:val="21"/>
          <w:highlight w:val="none"/>
          <w:u w:val="single" w:color="auto"/>
        </w:rPr>
        <w:t>见招标公告。</w:t>
      </w:r>
    </w:p>
    <w:p w14:paraId="3FFBA06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1.6 </w:t>
      </w:r>
      <w:r>
        <w:rPr>
          <w:rFonts w:ascii="宋体" w:hAnsi="宋体" w:eastAsia="宋体" w:cs="宋体"/>
          <w:color w:val="auto"/>
          <w:spacing w:val="0"/>
          <w:w w:val="100"/>
          <w:position w:val="0"/>
          <w:sz w:val="21"/>
          <w:szCs w:val="21"/>
          <w:highlight w:val="none"/>
        </w:rPr>
        <w:t>文件的提供和照管</w:t>
      </w:r>
    </w:p>
    <w:p w14:paraId="6DAC0F9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1.6.2 </w:t>
      </w:r>
      <w:r>
        <w:rPr>
          <w:rFonts w:ascii="宋体" w:hAnsi="宋体" w:eastAsia="宋体" w:cs="宋体"/>
          <w:color w:val="auto"/>
          <w:spacing w:val="0"/>
          <w:w w:val="100"/>
          <w:position w:val="0"/>
          <w:sz w:val="21"/>
          <w:szCs w:val="21"/>
          <w:highlight w:val="none"/>
        </w:rPr>
        <w:t>发包人负责提供的文件包括：</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，提供数量：</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，提供期限：</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6FE78C21">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3.</w:t>
      </w:r>
      <w:r>
        <w:rPr>
          <w:b/>
          <w:bCs/>
          <w:color w:val="auto"/>
          <w:spacing w:val="0"/>
          <w:w w:val="100"/>
          <w:position w:val="0"/>
          <w:sz w:val="28"/>
          <w:szCs w:val="28"/>
          <w:highlight w:val="none"/>
        </w:rPr>
        <w:t>发包人管理</w:t>
      </w:r>
    </w:p>
    <w:p w14:paraId="71FE044F">
      <w:pPr>
        <w:keepNext w:val="0"/>
        <w:keepLines w:val="0"/>
        <w:pageBreakBefore w:val="0"/>
        <w:widowControl/>
        <w:kinsoku w:val="0"/>
        <w:wordWrap/>
        <w:overflowPunct/>
        <w:topLinePunct w:val="0"/>
        <w:autoSpaceDE w:val="0"/>
        <w:autoSpaceDN w:val="0"/>
        <w:bidi w:val="0"/>
        <w:adjustRightInd w:val="0"/>
        <w:snapToGrid w:val="0"/>
        <w:spacing w:line="500" w:lineRule="exact"/>
        <w:ind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3.2 </w:t>
      </w:r>
      <w:r>
        <w:rPr>
          <w:rFonts w:ascii="宋体" w:hAnsi="宋体" w:eastAsia="宋体" w:cs="宋体"/>
          <w:b/>
          <w:bCs/>
          <w:color w:val="auto"/>
          <w:spacing w:val="0"/>
          <w:w w:val="100"/>
          <w:position w:val="0"/>
          <w:sz w:val="24"/>
          <w:szCs w:val="24"/>
          <w:highlight w:val="none"/>
        </w:rPr>
        <w:t>监理人</w:t>
      </w:r>
    </w:p>
    <w:p w14:paraId="159E474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3.2.1 </w:t>
      </w:r>
      <w:r>
        <w:rPr>
          <w:rFonts w:ascii="宋体" w:hAnsi="宋体" w:eastAsia="宋体" w:cs="宋体"/>
          <w:color w:val="auto"/>
          <w:spacing w:val="0"/>
          <w:w w:val="100"/>
          <w:position w:val="0"/>
          <w:sz w:val="21"/>
          <w:szCs w:val="21"/>
          <w:highlight w:val="none"/>
        </w:rPr>
        <w:t>本工程是否委托监理人进行勘察设计监理：</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1B49C37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如进行勘察设计监理，监理人的监理范围包括：</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u w:val="single" w:color="auto"/>
        </w:rPr>
        <w:t>。</w:t>
      </w:r>
    </w:p>
    <w:p w14:paraId="4B2A566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3.4 </w:t>
      </w:r>
      <w:r>
        <w:rPr>
          <w:rFonts w:ascii="宋体" w:hAnsi="宋体" w:eastAsia="宋体" w:cs="宋体"/>
          <w:b/>
          <w:bCs/>
          <w:color w:val="auto"/>
          <w:spacing w:val="0"/>
          <w:w w:val="100"/>
          <w:position w:val="0"/>
          <w:sz w:val="24"/>
          <w:szCs w:val="24"/>
          <w:highlight w:val="none"/>
        </w:rPr>
        <w:t>决定或答复</w:t>
      </w:r>
    </w:p>
    <w:p w14:paraId="0C213E3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3.4.1 </w:t>
      </w:r>
      <w:r>
        <w:rPr>
          <w:rFonts w:ascii="宋体" w:hAnsi="宋体" w:eastAsia="宋体" w:cs="宋体"/>
          <w:color w:val="auto"/>
          <w:spacing w:val="0"/>
          <w:w w:val="100"/>
          <w:position w:val="0"/>
          <w:sz w:val="21"/>
          <w:szCs w:val="21"/>
          <w:highlight w:val="none"/>
        </w:rPr>
        <w:t>发包人应在收到</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书面提出的事项后天</w:t>
      </w:r>
      <w:r>
        <w:rPr>
          <w:rFonts w:ascii="Times New Roman" w:hAnsi="Times New Roman" w:eastAsia="Times New Roman" w:cs="Times New Roman"/>
          <w:color w:val="auto"/>
          <w:spacing w:val="0"/>
          <w:w w:val="100"/>
          <w:position w:val="0"/>
          <w:sz w:val="21"/>
          <w:szCs w:val="21"/>
          <w:highlight w:val="none"/>
          <w:u w:val="single" w:color="auto"/>
        </w:rPr>
        <w:t xml:space="preserve">    7   </w:t>
      </w:r>
      <w:r>
        <w:rPr>
          <w:rFonts w:ascii="宋体" w:hAnsi="宋体" w:eastAsia="宋体" w:cs="宋体"/>
          <w:color w:val="auto"/>
          <w:spacing w:val="0"/>
          <w:w w:val="100"/>
          <w:position w:val="0"/>
          <w:sz w:val="21"/>
          <w:szCs w:val="21"/>
          <w:highlight w:val="none"/>
        </w:rPr>
        <w:t>内作出书面答复。</w:t>
      </w:r>
    </w:p>
    <w:p w14:paraId="75AF87C1">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4.</w:t>
      </w:r>
      <w:r>
        <w:rPr>
          <w:b/>
          <w:bCs/>
          <w:color w:val="auto"/>
          <w:spacing w:val="0"/>
          <w:w w:val="100"/>
          <w:position w:val="0"/>
          <w:sz w:val="28"/>
          <w:szCs w:val="28"/>
          <w:highlight w:val="none"/>
        </w:rPr>
        <w:t>咨询人义务</w:t>
      </w:r>
    </w:p>
    <w:p w14:paraId="27D1E28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4.1.6.6 </w:t>
      </w:r>
      <w:r>
        <w:rPr>
          <w:rFonts w:ascii="宋体" w:hAnsi="宋体" w:eastAsia="宋体" w:cs="宋体"/>
          <w:color w:val="auto"/>
          <w:spacing w:val="0"/>
          <w:w w:val="100"/>
          <w:position w:val="0"/>
          <w:sz w:val="21"/>
          <w:szCs w:val="21"/>
          <w:highlight w:val="none"/>
        </w:rPr>
        <w:t>咨询人应履行的其他义务</w:t>
      </w:r>
    </w:p>
    <w:p w14:paraId="5854A10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4.1.6.6.1 </w:t>
      </w:r>
      <w:r>
        <w:rPr>
          <w:rFonts w:ascii="宋体" w:hAnsi="宋体" w:eastAsia="宋体" w:cs="宋体"/>
          <w:color w:val="auto"/>
          <w:spacing w:val="0"/>
          <w:w w:val="100"/>
          <w:position w:val="0"/>
          <w:sz w:val="21"/>
          <w:szCs w:val="21"/>
          <w:highlight w:val="none"/>
        </w:rPr>
        <w:t>承包人根据国家及部颁的现行技术标准、规范、规程、编制办法和批准文件等，配合本项目的勘察设计过程，对合同范围内的工作内容进行全面的勘察设计咨询。承包人应对本项目勘察、设计方案的合理性、结构安全可靠性、文件资料的完整性、系统性和科学性、工程造价的经济性、交通安全等进行评价，提出勘察设计咨询意见和建议，并提供正式咨询报告和各阶段交通安全评价报告，同时派专家参加该项目设计审查会议，并对勘察设计单位根据审查会提出的修改意见的修改执行情况和根据意见修改后的勘察设计文件进行再次审查，并提交咨询确认意见。承包人应积极配合招标人对本项目的安排，提供对设计变更的咨询意见。</w:t>
      </w:r>
      <w:r>
        <w:rPr>
          <w:rFonts w:ascii="Segoe UI" w:hAnsi="Segoe UI" w:eastAsia="Segoe UI" w:cs="Segoe UI"/>
          <w:i w:val="0"/>
          <w:iCs w:val="0"/>
          <w:caps w:val="0"/>
          <w:color w:val="auto"/>
          <w:spacing w:val="0"/>
          <w:sz w:val="21"/>
          <w:szCs w:val="21"/>
          <w:highlight w:val="none"/>
          <w:shd w:val="clear" w:fill="FFFFFF"/>
        </w:rPr>
        <w:t>咨询人的设计咨询范围应同步包含对</w:t>
      </w:r>
      <w:r>
        <w:rPr>
          <w:rFonts w:hint="default" w:ascii="Segoe UI" w:hAnsi="Segoe UI" w:eastAsia="Segoe UI" w:cs="Segoe UI"/>
          <w:b/>
          <w:bCs/>
          <w:i w:val="0"/>
          <w:iCs w:val="0"/>
          <w:caps w:val="0"/>
          <w:color w:val="auto"/>
          <w:spacing w:val="0"/>
          <w:sz w:val="21"/>
          <w:szCs w:val="21"/>
          <w:highlight w:val="none"/>
          <w:shd w:val="clear" w:fill="FFFFFF"/>
        </w:rPr>
        <w:t>BIM数字化设计成果</w:t>
      </w:r>
      <w:r>
        <w:rPr>
          <w:rFonts w:hint="default" w:ascii="Segoe UI" w:hAnsi="Segoe UI" w:eastAsia="Segoe UI" w:cs="Segoe UI"/>
          <w:i w:val="0"/>
          <w:iCs w:val="0"/>
          <w:caps w:val="0"/>
          <w:color w:val="auto"/>
          <w:spacing w:val="0"/>
          <w:sz w:val="21"/>
          <w:szCs w:val="21"/>
          <w:highlight w:val="none"/>
          <w:shd w:val="clear" w:fill="FFFFFF"/>
        </w:rPr>
        <w:t>、</w:t>
      </w:r>
      <w:r>
        <w:rPr>
          <w:rFonts w:hint="default" w:ascii="Segoe UI" w:hAnsi="Segoe UI" w:eastAsia="Segoe UI" w:cs="Segoe UI"/>
          <w:b/>
          <w:bCs/>
          <w:i w:val="0"/>
          <w:iCs w:val="0"/>
          <w:caps w:val="0"/>
          <w:color w:val="auto"/>
          <w:spacing w:val="0"/>
          <w:sz w:val="21"/>
          <w:szCs w:val="21"/>
          <w:highlight w:val="none"/>
          <w:shd w:val="clear" w:fill="FFFFFF"/>
        </w:rPr>
        <w:t>交能融合及绿色低碳设计</w:t>
      </w:r>
      <w:r>
        <w:rPr>
          <w:rFonts w:hint="default" w:ascii="Segoe UI" w:hAnsi="Segoe UI" w:eastAsia="Segoe UI" w:cs="Segoe UI"/>
          <w:i w:val="0"/>
          <w:iCs w:val="0"/>
          <w:caps w:val="0"/>
          <w:color w:val="auto"/>
          <w:spacing w:val="0"/>
          <w:sz w:val="21"/>
          <w:szCs w:val="21"/>
          <w:highlight w:val="none"/>
          <w:shd w:val="clear" w:fill="FFFFFF"/>
        </w:rPr>
        <w:t>、</w:t>
      </w:r>
      <w:r>
        <w:rPr>
          <w:rFonts w:hint="default" w:ascii="Segoe UI" w:hAnsi="Segoe UI" w:eastAsia="Segoe UI" w:cs="Segoe UI"/>
          <w:b/>
          <w:bCs/>
          <w:i w:val="0"/>
          <w:iCs w:val="0"/>
          <w:caps w:val="0"/>
          <w:color w:val="auto"/>
          <w:spacing w:val="0"/>
          <w:sz w:val="21"/>
          <w:szCs w:val="21"/>
          <w:highlight w:val="none"/>
          <w:shd w:val="clear" w:fill="FFFFFF"/>
        </w:rPr>
        <w:t>涉燃气及高压杆线专项设计</w:t>
      </w:r>
      <w:r>
        <w:rPr>
          <w:rFonts w:hint="default" w:ascii="Segoe UI" w:hAnsi="Segoe UI" w:eastAsia="Segoe UI" w:cs="Segoe UI"/>
          <w:i w:val="0"/>
          <w:iCs w:val="0"/>
          <w:caps w:val="0"/>
          <w:color w:val="auto"/>
          <w:spacing w:val="0"/>
          <w:sz w:val="21"/>
          <w:szCs w:val="21"/>
          <w:highlight w:val="none"/>
          <w:shd w:val="clear" w:fill="FFFFFF"/>
        </w:rPr>
        <w:t>、</w:t>
      </w:r>
      <w:r>
        <w:rPr>
          <w:rFonts w:hint="default" w:ascii="Segoe UI" w:hAnsi="Segoe UI" w:eastAsia="Segoe UI" w:cs="Segoe UI"/>
          <w:b/>
          <w:bCs/>
          <w:i w:val="0"/>
          <w:iCs w:val="0"/>
          <w:caps w:val="0"/>
          <w:color w:val="auto"/>
          <w:spacing w:val="0"/>
          <w:sz w:val="21"/>
          <w:szCs w:val="21"/>
          <w:highlight w:val="none"/>
          <w:shd w:val="clear" w:fill="FFFFFF"/>
        </w:rPr>
        <w:t>气候可行性论证及防洪评价等专题</w:t>
      </w:r>
      <w:r>
        <w:rPr>
          <w:rFonts w:hint="default" w:ascii="Segoe UI" w:hAnsi="Segoe UI" w:eastAsia="Segoe UI" w:cs="Segoe UI"/>
          <w:i w:val="0"/>
          <w:iCs w:val="0"/>
          <w:caps w:val="0"/>
          <w:color w:val="auto"/>
          <w:spacing w:val="0"/>
          <w:sz w:val="21"/>
          <w:szCs w:val="21"/>
          <w:highlight w:val="none"/>
          <w:shd w:val="clear" w:fill="FFFFFF"/>
        </w:rPr>
        <w:t>的审查，并出具相应的咨询确认意见。咨询人应重点关注上述内容是否符合国家及行业最新标准规范，相关审查费用已包含在合同总价中。</w:t>
      </w:r>
    </w:p>
    <w:p w14:paraId="1CE0A51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4.1.6.6.2 </w:t>
      </w:r>
      <w:r>
        <w:rPr>
          <w:rFonts w:ascii="宋体" w:hAnsi="宋体" w:eastAsia="宋体" w:cs="宋体"/>
          <w:color w:val="auto"/>
          <w:spacing w:val="0"/>
          <w:w w:val="100"/>
          <w:position w:val="0"/>
          <w:sz w:val="21"/>
          <w:szCs w:val="21"/>
          <w:highlight w:val="none"/>
        </w:rPr>
        <w:t>详勘监理工作</w:t>
      </w:r>
    </w:p>
    <w:p w14:paraId="5A57100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）承包人应成立详勘监理组，由投标文件和合同附件三约定的人员担任地勘监理负责人和监理员，地勘监理负责人代表承包人全面主持详勘监理工作，对详勘监理工作负全面责任。</w:t>
      </w:r>
    </w:p>
    <w:p w14:paraId="0A7CC29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地勘监理负责人代表承包人负责对地质调绘、钻探、原位测试、物探、室内试验、水文地质勘察、地质资料整理、工程测量、路基路面排水、管网、管线调查、桥梁及涵洞勘测等工作过程及其完成的原始资料、报告、图件等进行监理，包括野外勘察及室内资料整理的全过程。保证</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按照国家及部颁的现行技术标准、规范、规程、编制办法和批准文件、招标文件等的要求进行地质勘察、勘测工作，确保</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保质、保量、按时完成详勘工作。</w:t>
      </w:r>
    </w:p>
    <w:p w14:paraId="5A20734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）依据相关规范要求对</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的详勘计划书、人员配备及人员资格、勘察、勘测手段、方法和程序、机具设备的数量和质量、相关仪器、设备的标定情况、详勘现场工作环境等进行审查，并提出书面意见。</w:t>
      </w:r>
    </w:p>
    <w:p w14:paraId="235E3BF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）监理人员应审查以下工作内容是否真实可靠、是否满足规范、规程和本项目详勘工作要求、是否满足工程建设标准强制性条文的执行情况、是否满足招标文件的要求：</w:t>
      </w:r>
    </w:p>
    <w:p w14:paraId="1684125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）工程测量、路基路面及排水勘测与调查、桥梁及涵洞勘测、工程地质、水文地质调查的范围、内容和精度；</w:t>
      </w:r>
    </w:p>
    <w:p w14:paraId="1CBC853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）钻探、试坑及原位测试等勘探点的数量、深度及勘探工艺、勘探点布置的合理性及现场记录和成果资料；</w:t>
      </w:r>
    </w:p>
    <w:p w14:paraId="35EFC0E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）各种试样的数量、取样、包装、运输和保管方法、试验项目、试验方法和成果资料；</w:t>
      </w:r>
    </w:p>
    <w:p w14:paraId="6CB67B4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）物探方法的选择、工作过程、成果资料及相应的地质资料；</w:t>
      </w:r>
    </w:p>
    <w:p w14:paraId="69576AA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rPr>
        <w:t>）水文地质调查测绘、试验方法、试验过程及成果资料；</w:t>
      </w:r>
    </w:p>
    <w:p w14:paraId="03280D3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6</w:t>
      </w:r>
      <w:r>
        <w:rPr>
          <w:rFonts w:ascii="宋体" w:hAnsi="宋体" w:eastAsia="宋体" w:cs="宋体"/>
          <w:color w:val="auto"/>
          <w:spacing w:val="0"/>
          <w:w w:val="100"/>
          <w:position w:val="0"/>
          <w:sz w:val="21"/>
          <w:szCs w:val="21"/>
          <w:highlight w:val="none"/>
        </w:rPr>
        <w:t>）对勘探试验资料的综合分析，地质报告内容及主要结论和评价意见。</w:t>
      </w:r>
    </w:p>
    <w:p w14:paraId="04F913C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rPr>
        <w:t>）承包人在必要时要对关键工程、重要的勘察、勘测等进行平行测试。</w:t>
      </w:r>
    </w:p>
    <w:p w14:paraId="04F19F2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6</w:t>
      </w:r>
      <w:r>
        <w:rPr>
          <w:rFonts w:ascii="宋体" w:hAnsi="宋体" w:eastAsia="宋体" w:cs="宋体"/>
          <w:color w:val="auto"/>
          <w:spacing w:val="0"/>
          <w:w w:val="100"/>
          <w:position w:val="0"/>
          <w:sz w:val="21"/>
          <w:szCs w:val="21"/>
          <w:highlight w:val="none"/>
        </w:rPr>
        <w:t>）监理人员应审查</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有关安全操作的规章制度，检查现场执行情况。</w:t>
      </w:r>
    </w:p>
    <w:p w14:paraId="43E5413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4.1.6.6.3 </w:t>
      </w:r>
      <w:r>
        <w:rPr>
          <w:rFonts w:ascii="宋体" w:hAnsi="宋体" w:eastAsia="宋体" w:cs="宋体"/>
          <w:color w:val="auto"/>
          <w:spacing w:val="0"/>
          <w:w w:val="100"/>
          <w:position w:val="0"/>
          <w:sz w:val="21"/>
          <w:szCs w:val="21"/>
          <w:highlight w:val="none"/>
        </w:rPr>
        <w:t>发包人向承包人提供的所有资料均为保密资料，承包人除在履行本合同下义务时可向受雇于承包人的相关研究人员透露外，不能在任何情况下（包括本合同有效期内及之后）向第三者透露。</w:t>
      </w:r>
    </w:p>
    <w:p w14:paraId="464745D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4.1.6.6.4 </w:t>
      </w:r>
      <w:r>
        <w:rPr>
          <w:rFonts w:ascii="宋体" w:hAnsi="宋体" w:eastAsia="宋体" w:cs="宋体"/>
          <w:color w:val="auto"/>
          <w:spacing w:val="0"/>
          <w:w w:val="100"/>
          <w:position w:val="0"/>
          <w:sz w:val="21"/>
          <w:szCs w:val="21"/>
          <w:highlight w:val="none"/>
        </w:rPr>
        <w:t>在合同履行期间，未经发包人批准，项目负责人、地勘监理负责人、各分项负责人不得更换。承包人应提供投标文件中承诺的投入本项目的主要人员的联系方式，并保证联系的畅通。</w:t>
      </w:r>
    </w:p>
    <w:p w14:paraId="0BEF4E6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4.1.6.6.5 </w:t>
      </w:r>
      <w:r>
        <w:rPr>
          <w:rFonts w:ascii="宋体" w:hAnsi="宋体" w:eastAsia="宋体" w:cs="宋体"/>
          <w:color w:val="auto"/>
          <w:spacing w:val="0"/>
          <w:w w:val="100"/>
          <w:position w:val="0"/>
          <w:sz w:val="21"/>
          <w:szCs w:val="21"/>
          <w:highlight w:val="none"/>
        </w:rPr>
        <w:t>如果承包人投入的工作人员不能胜任工作、渎职或从事其他违法活动，发包人有权以书面形式提出更换要求，承包人应立即派出不低于原工作人员相应资历的人员替换。</w:t>
      </w:r>
    </w:p>
    <w:p w14:paraId="4CEFAFA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4.1.6.6.6 </w:t>
      </w:r>
      <w:r>
        <w:rPr>
          <w:rFonts w:ascii="宋体" w:hAnsi="宋体" w:eastAsia="宋体" w:cs="宋体"/>
          <w:color w:val="auto"/>
          <w:spacing w:val="0"/>
          <w:w w:val="100"/>
          <w:position w:val="0"/>
          <w:sz w:val="21"/>
          <w:szCs w:val="21"/>
          <w:highlight w:val="none"/>
        </w:rPr>
        <w:t>承包人的工作进度没有达到投标文件中承诺的进度计划时，发包人有权提出要求增加工作人员，承包人应立即安排，其费用被认为已包含在合同价格之中。</w:t>
      </w:r>
    </w:p>
    <w:p w14:paraId="794E98C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4.1.6.6.7 </w:t>
      </w:r>
      <w:r>
        <w:rPr>
          <w:rFonts w:ascii="宋体" w:hAnsi="宋体" w:eastAsia="宋体" w:cs="宋体"/>
          <w:color w:val="auto"/>
          <w:spacing w:val="0"/>
          <w:w w:val="100"/>
          <w:position w:val="0"/>
          <w:sz w:val="21"/>
          <w:szCs w:val="21"/>
          <w:highlight w:val="none"/>
        </w:rPr>
        <w:t>咨询单位按咨询合同要求开展工作，提供各阶段的设计咨询报告，对所提出的咨询意见负责，发包人将组织相关专家对咨询报告进行审查、验收，承包人承担相关会务费、评审费用等。重点加强以下工作：</w:t>
      </w:r>
    </w:p>
    <w:p w14:paraId="6F96013B">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编制《地质勘察监理工作大纲》报发包人审查，自行赴现场实地核查设计单位的地质勘察工作量和工作质量是否满足要求，提出明确、具体的意见，现场核查并确认详勘工作量。详勘监理工作必须与勘察工作同步进行。详勘工作结束后提交详勘监理报告，明确是否可进行详勘外业验收。</w:t>
      </w:r>
    </w:p>
    <w:p w14:paraId="40D3734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现场核查设计单位的外业勘测工作，重点核查重要桥梁、互通立交、不良地质及大型防护工程等路段是否进行了实地放线，水文测量及调查工作是否足够，各专业调查资料是否充分等。外业工作结束后提交勘测监理报告，明确是否可进行外业验收。对地勘成果进行验收并提交初步验收报告。</w:t>
      </w:r>
    </w:p>
    <w:p w14:paraId="58670BF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）施工图设计阶段重点对连续刚构等特殊结构桥梁、现浇桥梁、大型滑坡治理工程、高边坡防护工程等重要结构物与设计单位进行同等深度的结构验算，并对验算结果承担责任。</w:t>
      </w:r>
    </w:p>
    <w:p w14:paraId="2E3421F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）按安全评价的相关要求对设计单位提交的设计成果文件进行交通安全评价报告。</w:t>
      </w:r>
    </w:p>
    <w:p w14:paraId="1DE4E0D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rPr>
        <w:t>）房建工程设计咨询审查应满足房屋建筑行业监管要求，房建工程需委托第三方具有图纸审查资质的单位进行图纸审查的，由</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委托具有资质的单位进行审查，相关费用由</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承担。</w:t>
      </w:r>
    </w:p>
    <w:p w14:paraId="52D2D29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6</w:t>
      </w:r>
      <w:r>
        <w:rPr>
          <w:rFonts w:ascii="宋体" w:hAnsi="宋体" w:eastAsia="宋体" w:cs="宋体"/>
          <w:color w:val="auto"/>
          <w:spacing w:val="0"/>
          <w:w w:val="100"/>
          <w:position w:val="0"/>
          <w:sz w:val="21"/>
          <w:szCs w:val="21"/>
          <w:highlight w:val="none"/>
        </w:rPr>
        <w:t>）咨询报告应针对性强、重点突出，主要说明设计存在的问题及咨询单位的建议方案，应尽量减少叙述性内容。</w:t>
      </w:r>
    </w:p>
    <w:p w14:paraId="694FA56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7</w:t>
      </w:r>
      <w:r>
        <w:rPr>
          <w:rFonts w:ascii="宋体" w:hAnsi="宋体" w:eastAsia="宋体" w:cs="宋体"/>
          <w:color w:val="auto"/>
          <w:spacing w:val="0"/>
          <w:w w:val="100"/>
          <w:position w:val="0"/>
          <w:sz w:val="21"/>
          <w:szCs w:val="21"/>
          <w:highlight w:val="none"/>
        </w:rPr>
        <w:t>）落实</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双院制</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咨询和详勘监理责任制，咨询、监理人员签认审查、监理意见，严格落实审查、监理质量责任追究制度。</w:t>
      </w:r>
    </w:p>
    <w:p w14:paraId="32A454E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8</w:t>
      </w:r>
      <w:r>
        <w:rPr>
          <w:rFonts w:ascii="宋体" w:hAnsi="宋体" w:eastAsia="宋体" w:cs="宋体"/>
          <w:color w:val="auto"/>
          <w:spacing w:val="0"/>
          <w:w w:val="100"/>
          <w:position w:val="0"/>
          <w:sz w:val="21"/>
          <w:szCs w:val="21"/>
          <w:highlight w:val="none"/>
        </w:rPr>
        <w:t>）房建工程施工图设计咨询审查应满足房屋建筑行业监管要求。</w:t>
      </w:r>
    </w:p>
    <w:p w14:paraId="43DF53D2">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5.</w:t>
      </w:r>
      <w:r>
        <w:rPr>
          <w:b/>
          <w:bCs/>
          <w:color w:val="auto"/>
          <w:spacing w:val="0"/>
          <w:w w:val="100"/>
          <w:position w:val="0"/>
          <w:sz w:val="28"/>
          <w:szCs w:val="28"/>
          <w:highlight w:val="none"/>
        </w:rPr>
        <w:t>设计咨询要求</w:t>
      </w:r>
    </w:p>
    <w:p w14:paraId="3D6C120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5.3 </w:t>
      </w:r>
      <w:r>
        <w:rPr>
          <w:rFonts w:ascii="宋体" w:hAnsi="宋体" w:eastAsia="宋体" w:cs="宋体"/>
          <w:b/>
          <w:bCs/>
          <w:color w:val="auto"/>
          <w:spacing w:val="0"/>
          <w:w w:val="100"/>
          <w:position w:val="0"/>
          <w:sz w:val="24"/>
          <w:szCs w:val="24"/>
          <w:highlight w:val="none"/>
        </w:rPr>
        <w:t>设计咨询范围</w:t>
      </w:r>
    </w:p>
    <w:p w14:paraId="198EAA4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5.3.2 </w:t>
      </w:r>
      <w:r>
        <w:rPr>
          <w:rFonts w:ascii="宋体" w:hAnsi="宋体" w:eastAsia="宋体" w:cs="宋体"/>
          <w:color w:val="auto"/>
          <w:spacing w:val="0"/>
          <w:w w:val="100"/>
          <w:position w:val="0"/>
          <w:sz w:val="21"/>
          <w:szCs w:val="21"/>
          <w:highlight w:val="none"/>
        </w:rPr>
        <w:t>工程范围包括：</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w:t>
      </w:r>
      <w:r>
        <w:rPr>
          <w:rFonts w:ascii="宋体" w:hAnsi="宋体" w:eastAsia="宋体" w:cs="宋体"/>
          <w:color w:val="auto"/>
          <w:spacing w:val="0"/>
          <w:w w:val="100"/>
          <w:position w:val="0"/>
          <w:sz w:val="21"/>
          <w:szCs w:val="21"/>
          <w:highlight w:val="none"/>
          <w:u w:val="single" w:color="auto"/>
        </w:rPr>
        <w:t>。</w:t>
      </w:r>
    </w:p>
    <w:p w14:paraId="2A12CDC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5.3.3  </w:t>
      </w:r>
      <w:r>
        <w:rPr>
          <w:rFonts w:ascii="宋体" w:hAnsi="宋体" w:eastAsia="宋体" w:cs="宋体"/>
          <w:color w:val="auto"/>
          <w:spacing w:val="0"/>
          <w:w w:val="100"/>
          <w:position w:val="0"/>
          <w:sz w:val="21"/>
          <w:szCs w:val="21"/>
          <w:highlight w:val="none"/>
        </w:rPr>
        <w:t>阶段范围包括：</w:t>
      </w:r>
      <w:r>
        <w:rPr>
          <w:rFonts w:hint="eastAsia" w:ascii="宋体" w:hAnsi="宋体" w:eastAsia="宋体" w:cs="宋体"/>
          <w:color w:val="auto"/>
          <w:spacing w:val="0"/>
          <w:w w:val="100"/>
          <w:position w:val="0"/>
          <w:sz w:val="21"/>
          <w:szCs w:val="21"/>
          <w:highlight w:val="none"/>
          <w:u w:val="single" w:color="auto"/>
        </w:rPr>
        <w:t>勘察、设计所有工作内容的设计咨询、地勘监理和交通安全评价报告的编制（上述工作内容均包含工可、初步设计及施工图设计阶段）</w:t>
      </w:r>
      <w:r>
        <w:rPr>
          <w:rFonts w:ascii="宋体" w:hAnsi="宋体" w:eastAsia="宋体" w:cs="宋体"/>
          <w:color w:val="auto"/>
          <w:spacing w:val="0"/>
          <w:w w:val="100"/>
          <w:position w:val="0"/>
          <w:sz w:val="21"/>
          <w:szCs w:val="21"/>
          <w:highlight w:val="none"/>
          <w:u w:val="single" w:color="auto"/>
        </w:rPr>
        <w:t>，房建工程设计咨询审查应满足房屋建筑行业相关要求并通过审查。</w:t>
      </w:r>
    </w:p>
    <w:p w14:paraId="53BB764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5.3.4 </w:t>
      </w:r>
      <w:r>
        <w:rPr>
          <w:rFonts w:ascii="宋体" w:hAnsi="宋体" w:eastAsia="宋体" w:cs="宋体"/>
          <w:color w:val="auto"/>
          <w:spacing w:val="0"/>
          <w:w w:val="100"/>
          <w:position w:val="0"/>
          <w:sz w:val="21"/>
          <w:szCs w:val="21"/>
          <w:highlight w:val="none"/>
        </w:rPr>
        <w:t>工作范围包括</w:t>
      </w:r>
      <w:r>
        <w:rPr>
          <w:rFonts w:hint="eastAsia" w:ascii="宋体" w:hAnsi="宋体" w:eastAsia="宋体" w:cs="宋体"/>
          <w:color w:val="auto"/>
          <w:spacing w:val="0"/>
          <w:w w:val="100"/>
          <w:position w:val="0"/>
          <w:sz w:val="21"/>
          <w:szCs w:val="21"/>
          <w:highlight w:val="none"/>
        </w:rPr>
        <w:t>（包含但不限于以下部分）</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lang w:val="en-US" w:eastAsia="zh-CN"/>
        </w:rPr>
        <w:t>（1）</w:t>
      </w:r>
      <w:r>
        <w:rPr>
          <w:rFonts w:hint="eastAsia" w:ascii="宋体" w:hAnsi="宋体" w:eastAsia="宋体" w:cs="宋体"/>
          <w:color w:val="auto"/>
          <w:spacing w:val="0"/>
          <w:w w:val="100"/>
          <w:position w:val="0"/>
          <w:sz w:val="21"/>
          <w:szCs w:val="21"/>
          <w:highlight w:val="none"/>
          <w:u w:val="single" w:color="auto"/>
          <w:lang w:val="en-US" w:eastAsia="zh-CN"/>
        </w:rPr>
        <w:t>01标段的所有工作内容的设计咨询、地勘监理和三阶段（工可、初设、施工图）项目安全性评价报告、公路施工安全总体风险评估报告的编制。（2）房建工程设计咨询审查，并满足房屋建筑行业监管要求。（3）招标工程量清单、控制价复核等工作。（4）项目建设期重大设计变更咨询。（5）组织重点方案论证和专家评审</w:t>
      </w:r>
      <w:r>
        <w:rPr>
          <w:rFonts w:ascii="宋体" w:hAnsi="宋体" w:eastAsia="宋体" w:cs="宋体"/>
          <w:color w:val="auto"/>
          <w:spacing w:val="0"/>
          <w:w w:val="100"/>
          <w:position w:val="0"/>
          <w:sz w:val="21"/>
          <w:szCs w:val="21"/>
          <w:highlight w:val="none"/>
          <w:u w:val="single" w:color="auto"/>
        </w:rPr>
        <w:t>。（</w:t>
      </w:r>
      <w:r>
        <w:rPr>
          <w:rFonts w:hint="eastAsia" w:ascii="宋体" w:hAnsi="宋体" w:eastAsia="宋体" w:cs="宋体"/>
          <w:color w:val="auto"/>
          <w:spacing w:val="0"/>
          <w:w w:val="100"/>
          <w:position w:val="0"/>
          <w:sz w:val="21"/>
          <w:szCs w:val="21"/>
          <w:highlight w:val="none"/>
          <w:u w:val="single" w:color="auto"/>
          <w:lang w:val="en-US" w:eastAsia="zh-CN"/>
        </w:rPr>
        <w:t>6</w:t>
      </w:r>
      <w:r>
        <w:rPr>
          <w:rFonts w:ascii="宋体" w:hAnsi="宋体" w:eastAsia="宋体" w:cs="宋体"/>
          <w:color w:val="auto"/>
          <w:spacing w:val="0"/>
          <w:w w:val="100"/>
          <w:position w:val="0"/>
          <w:sz w:val="21"/>
          <w:szCs w:val="21"/>
          <w:highlight w:val="none"/>
          <w:u w:val="single" w:color="auto"/>
        </w:rPr>
        <w:t>）</w:t>
      </w:r>
      <w:r>
        <w:rPr>
          <w:rFonts w:hint="default" w:ascii="宋体" w:hAnsi="宋体" w:eastAsia="宋体" w:cs="宋体"/>
          <w:color w:val="auto"/>
          <w:spacing w:val="0"/>
          <w:w w:val="100"/>
          <w:position w:val="0"/>
          <w:sz w:val="21"/>
          <w:szCs w:val="21"/>
          <w:highlight w:val="none"/>
          <w:u w:val="single" w:color="auto"/>
        </w:rPr>
        <w:t>设计回溯咨询： 咨询人应按交通运输部《进一步提升高速公路防灾抗灾能力设计回溯工作方案》（交办公路〔2024〕41号）等相关规定，配合发包人对设计回溯核查报告进行审查，提供技术咨询意见。</w:t>
      </w:r>
    </w:p>
    <w:p w14:paraId="278E96D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5.7 </w:t>
      </w:r>
      <w:r>
        <w:rPr>
          <w:rFonts w:ascii="宋体" w:hAnsi="宋体" w:eastAsia="宋体" w:cs="宋体"/>
          <w:b/>
          <w:bCs/>
          <w:color w:val="auto"/>
          <w:spacing w:val="0"/>
          <w:w w:val="100"/>
          <w:position w:val="0"/>
          <w:sz w:val="24"/>
          <w:szCs w:val="24"/>
          <w:highlight w:val="none"/>
        </w:rPr>
        <w:t>安全作业要求</w:t>
      </w:r>
    </w:p>
    <w:p w14:paraId="1A45105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5.7.1 </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编制安全措施计划的期限：</w:t>
      </w:r>
      <w:r>
        <w:rPr>
          <w:rFonts w:ascii="宋体" w:hAnsi="宋体" w:eastAsia="宋体" w:cs="宋体"/>
          <w:color w:val="auto"/>
          <w:spacing w:val="0"/>
          <w:w w:val="100"/>
          <w:position w:val="0"/>
          <w:sz w:val="21"/>
          <w:szCs w:val="21"/>
          <w:highlight w:val="none"/>
          <w:u w:val="single" w:color="auto"/>
        </w:rPr>
        <w:t>按发包人要求执行。</w:t>
      </w:r>
    </w:p>
    <w:p w14:paraId="72DA0EF1">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6.</w:t>
      </w:r>
      <w:r>
        <w:rPr>
          <w:b/>
          <w:bCs/>
          <w:color w:val="auto"/>
          <w:spacing w:val="0"/>
          <w:w w:val="100"/>
          <w:position w:val="0"/>
          <w:sz w:val="28"/>
          <w:szCs w:val="28"/>
          <w:highlight w:val="none"/>
        </w:rPr>
        <w:t>开始设计咨询和完成设计咨询</w:t>
      </w:r>
    </w:p>
    <w:p w14:paraId="30AA98E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6.1 </w:t>
      </w:r>
      <w:r>
        <w:rPr>
          <w:rFonts w:ascii="宋体" w:hAnsi="宋体" w:eastAsia="宋体" w:cs="宋体"/>
          <w:b/>
          <w:bCs/>
          <w:color w:val="auto"/>
          <w:spacing w:val="0"/>
          <w:w w:val="100"/>
          <w:position w:val="0"/>
          <w:sz w:val="24"/>
          <w:szCs w:val="24"/>
          <w:highlight w:val="none"/>
        </w:rPr>
        <w:t>开始设计咨询</w:t>
      </w:r>
    </w:p>
    <w:p w14:paraId="58E1FB0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6.1.1 </w:t>
      </w:r>
      <w:r>
        <w:rPr>
          <w:rFonts w:ascii="宋体" w:hAnsi="宋体" w:eastAsia="宋体" w:cs="宋体"/>
          <w:color w:val="auto"/>
          <w:spacing w:val="0"/>
          <w:w w:val="100"/>
          <w:position w:val="0"/>
          <w:sz w:val="21"/>
          <w:szCs w:val="21"/>
          <w:highlight w:val="none"/>
        </w:rPr>
        <w:t>满足以下条件时，</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应开始勘察设计工作：</w:t>
      </w:r>
      <w:r>
        <w:rPr>
          <w:rFonts w:ascii="宋体" w:hAnsi="宋体" w:eastAsia="宋体" w:cs="宋体"/>
          <w:color w:val="auto"/>
          <w:spacing w:val="0"/>
          <w:w w:val="100"/>
          <w:position w:val="0"/>
          <w:sz w:val="21"/>
          <w:szCs w:val="21"/>
          <w:highlight w:val="none"/>
          <w:u w:val="single" w:color="auto"/>
        </w:rPr>
        <w:t xml:space="preserve">    合同签订后    </w:t>
      </w:r>
      <w:r>
        <w:rPr>
          <w:rFonts w:ascii="宋体" w:hAnsi="宋体" w:eastAsia="宋体" w:cs="宋体"/>
          <w:color w:val="auto"/>
          <w:spacing w:val="0"/>
          <w:w w:val="100"/>
          <w:position w:val="0"/>
          <w:sz w:val="21"/>
          <w:szCs w:val="21"/>
          <w:highlight w:val="none"/>
        </w:rPr>
        <w:t>。</w:t>
      </w:r>
    </w:p>
    <w:p w14:paraId="228F52A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设计咨询服务周期安排：</w:t>
      </w:r>
    </w:p>
    <w:p w14:paraId="3709766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地勘监理工作须与勘察工作同步进行；</w:t>
      </w:r>
    </w:p>
    <w:p w14:paraId="33BB6A1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 xml:space="preserve">设计咨询工作与设计工作同步进行，并在设计单位提交设计文件后 </w:t>
      </w:r>
      <w:r>
        <w:rPr>
          <w:rFonts w:ascii="Times New Roman" w:hAnsi="Times New Roman" w:eastAsia="Times New Roman" w:cs="Times New Roman"/>
          <w:color w:val="auto"/>
          <w:spacing w:val="0"/>
          <w:w w:val="100"/>
          <w:position w:val="0"/>
          <w:sz w:val="21"/>
          <w:szCs w:val="21"/>
          <w:highlight w:val="none"/>
          <w:u w:val="single" w:color="auto"/>
        </w:rPr>
        <w:t xml:space="preserve">15 </w:t>
      </w:r>
      <w:r>
        <w:rPr>
          <w:rFonts w:ascii="宋体" w:hAnsi="宋体" w:eastAsia="宋体" w:cs="宋体"/>
          <w:color w:val="auto"/>
          <w:spacing w:val="0"/>
          <w:w w:val="100"/>
          <w:position w:val="0"/>
          <w:sz w:val="21"/>
          <w:szCs w:val="21"/>
          <w:highlight w:val="none"/>
          <w:u w:val="single" w:color="auto"/>
        </w:rPr>
        <w:t>日内，出具咨询报告和阶段交通安全评价报告。</w:t>
      </w:r>
    </w:p>
    <w:p w14:paraId="75F60B6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u w:val="single" w:color="auto"/>
        </w:rPr>
        <w:t>发包人有权根据同级或上级人民政府要求或上级行业主管部门要求就招标项目实施计划进行调整。</w:t>
      </w:r>
    </w:p>
    <w:p w14:paraId="10E3E07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6.2 </w:t>
      </w:r>
      <w:r>
        <w:rPr>
          <w:rFonts w:ascii="宋体" w:hAnsi="宋体" w:eastAsia="宋体" w:cs="宋体"/>
          <w:b/>
          <w:bCs/>
          <w:color w:val="auto"/>
          <w:spacing w:val="0"/>
          <w:w w:val="100"/>
          <w:position w:val="0"/>
          <w:sz w:val="24"/>
          <w:szCs w:val="24"/>
          <w:highlight w:val="none"/>
        </w:rPr>
        <w:t>发包人引起的周期延误</w:t>
      </w:r>
    </w:p>
    <w:p w14:paraId="57AED81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由于发包人原因造成勘察设计服务期限延误的，延长勘察设计服务期限的计算方法：</w:t>
      </w:r>
      <w:r>
        <w:rPr>
          <w:rFonts w:ascii="宋体" w:hAnsi="宋体" w:eastAsia="宋体" w:cs="宋体"/>
          <w:color w:val="auto"/>
          <w:spacing w:val="0"/>
          <w:w w:val="100"/>
          <w:position w:val="0"/>
          <w:sz w:val="21"/>
          <w:szCs w:val="21"/>
          <w:highlight w:val="none"/>
          <w:u w:val="single" w:color="auto"/>
        </w:rPr>
        <w:t>双方协商</w:t>
      </w:r>
      <w:r>
        <w:rPr>
          <w:rFonts w:ascii="宋体" w:hAnsi="宋体" w:eastAsia="宋体" w:cs="宋体"/>
          <w:color w:val="auto"/>
          <w:spacing w:val="0"/>
          <w:w w:val="100"/>
          <w:position w:val="0"/>
          <w:sz w:val="21"/>
          <w:szCs w:val="21"/>
          <w:highlight w:val="none"/>
        </w:rPr>
        <w:t>；增加勘察设计费用的计算方法：</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2F492BB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6.3 </w:t>
      </w:r>
      <w:r>
        <w:rPr>
          <w:rFonts w:ascii="宋体" w:hAnsi="宋体" w:eastAsia="宋体" w:cs="宋体"/>
          <w:b/>
          <w:bCs/>
          <w:color w:val="auto"/>
          <w:spacing w:val="0"/>
          <w:w w:val="100"/>
          <w:position w:val="0"/>
          <w:sz w:val="24"/>
          <w:szCs w:val="24"/>
          <w:highlight w:val="none"/>
        </w:rPr>
        <w:t>咨询人引起的周期延误</w:t>
      </w:r>
    </w:p>
    <w:p w14:paraId="744FDE7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逾期违约金的计算方法：</w:t>
      </w:r>
      <w:r>
        <w:rPr>
          <w:rFonts w:ascii="宋体" w:hAnsi="宋体" w:eastAsia="宋体" w:cs="宋体"/>
          <w:color w:val="auto"/>
          <w:spacing w:val="0"/>
          <w:w w:val="100"/>
          <w:position w:val="0"/>
          <w:sz w:val="21"/>
          <w:szCs w:val="21"/>
          <w:highlight w:val="none"/>
          <w:u w:val="single" w:color="auto"/>
        </w:rPr>
        <w:t xml:space="preserve">每延误一天扣减合同金额的 </w:t>
      </w:r>
      <w:r>
        <w:rPr>
          <w:rFonts w:ascii="Times New Roman" w:hAnsi="Times New Roman" w:eastAsia="Times New Roman" w:cs="Times New Roman"/>
          <w:color w:val="auto"/>
          <w:spacing w:val="0"/>
          <w:w w:val="100"/>
          <w:position w:val="0"/>
          <w:sz w:val="21"/>
          <w:szCs w:val="21"/>
          <w:highlight w:val="none"/>
          <w:u w:val="single" w:color="auto"/>
        </w:rPr>
        <w:t>5‰</w:t>
      </w:r>
      <w:r>
        <w:rPr>
          <w:rFonts w:ascii="宋体" w:hAnsi="宋体" w:eastAsia="宋体" w:cs="宋体"/>
          <w:color w:val="auto"/>
          <w:spacing w:val="0"/>
          <w:w w:val="100"/>
          <w:position w:val="0"/>
          <w:sz w:val="21"/>
          <w:szCs w:val="21"/>
          <w:highlight w:val="none"/>
          <w:u w:val="single" w:color="auto"/>
        </w:rPr>
        <w:t>作为违约金</w:t>
      </w:r>
      <w:r>
        <w:rPr>
          <w:rFonts w:ascii="宋体" w:hAnsi="宋体" w:eastAsia="宋体" w:cs="宋体"/>
          <w:color w:val="auto"/>
          <w:spacing w:val="0"/>
          <w:w w:val="100"/>
          <w:position w:val="0"/>
          <w:sz w:val="21"/>
          <w:szCs w:val="21"/>
          <w:highlight w:val="none"/>
        </w:rPr>
        <w:t>；逾期违约金的最高限额：</w:t>
      </w:r>
      <w:r>
        <w:rPr>
          <w:rFonts w:ascii="宋体" w:hAnsi="宋体" w:eastAsia="宋体" w:cs="宋体"/>
          <w:color w:val="auto"/>
          <w:spacing w:val="0"/>
          <w:w w:val="100"/>
          <w:position w:val="0"/>
          <w:sz w:val="21"/>
          <w:szCs w:val="21"/>
          <w:highlight w:val="none"/>
          <w:u w:val="single" w:color="auto"/>
        </w:rPr>
        <w:t xml:space="preserve">合同总价款的 </w:t>
      </w:r>
      <w:r>
        <w:rPr>
          <w:rFonts w:ascii="Times New Roman" w:hAnsi="Times New Roman" w:eastAsia="Times New Roman" w:cs="Times New Roman"/>
          <w:color w:val="auto"/>
          <w:spacing w:val="0"/>
          <w:w w:val="100"/>
          <w:position w:val="0"/>
          <w:sz w:val="21"/>
          <w:szCs w:val="21"/>
          <w:highlight w:val="none"/>
          <w:u w:val="single" w:color="auto"/>
        </w:rPr>
        <w:t>10%</w:t>
      </w:r>
      <w:r>
        <w:rPr>
          <w:rFonts w:ascii="宋体" w:hAnsi="宋体" w:eastAsia="宋体" w:cs="宋体"/>
          <w:color w:val="auto"/>
          <w:spacing w:val="0"/>
          <w:w w:val="100"/>
          <w:position w:val="0"/>
          <w:sz w:val="21"/>
          <w:szCs w:val="21"/>
          <w:highlight w:val="none"/>
        </w:rPr>
        <w:t>。</w:t>
      </w:r>
    </w:p>
    <w:p w14:paraId="0933FA6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6.5 </w:t>
      </w:r>
      <w:r>
        <w:rPr>
          <w:rFonts w:ascii="宋体" w:hAnsi="宋体" w:eastAsia="宋体" w:cs="宋体"/>
          <w:b/>
          <w:bCs/>
          <w:color w:val="auto"/>
          <w:spacing w:val="0"/>
          <w:w w:val="100"/>
          <w:position w:val="0"/>
          <w:sz w:val="24"/>
          <w:szCs w:val="24"/>
          <w:highlight w:val="none"/>
        </w:rPr>
        <w:t>非人为因素引起的周期延误</w:t>
      </w:r>
    </w:p>
    <w:p w14:paraId="695E36E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6.5.1 </w:t>
      </w:r>
      <w:r>
        <w:rPr>
          <w:rFonts w:hint="eastAsia" w:ascii="宋体" w:hAnsi="宋体" w:eastAsia="宋体" w:cs="宋体"/>
          <w:color w:val="auto"/>
          <w:spacing w:val="0"/>
          <w:w w:val="100"/>
          <w:position w:val="0"/>
          <w:sz w:val="21"/>
          <w:szCs w:val="21"/>
          <w:highlight w:val="none"/>
        </w:rPr>
        <w:t>异常恶劣气候条件包括：</w:t>
      </w:r>
      <w:r>
        <w:rPr>
          <w:rFonts w:hint="eastAsia" w:ascii="宋体" w:hAnsi="宋体" w:eastAsia="宋体" w:cs="宋体"/>
          <w:color w:val="auto"/>
          <w:spacing w:val="0"/>
          <w:w w:val="100"/>
          <w:position w:val="0"/>
          <w:sz w:val="21"/>
          <w:szCs w:val="21"/>
          <w:highlight w:val="none"/>
          <w:u w:val="single" w:color="auto"/>
        </w:rPr>
        <w:t xml:space="preserve">    /  </w:t>
      </w:r>
      <w:r>
        <w:rPr>
          <w:rFonts w:hint="eastAsia" w:ascii="宋体" w:hAnsi="宋体" w:eastAsia="宋体" w:cs="宋体"/>
          <w:color w:val="auto"/>
          <w:spacing w:val="0"/>
          <w:w w:val="100"/>
          <w:position w:val="0"/>
          <w:sz w:val="21"/>
          <w:szCs w:val="21"/>
          <w:highlight w:val="none"/>
        </w:rPr>
        <w:t>；不利物质条件包括：</w:t>
      </w:r>
      <w:r>
        <w:rPr>
          <w:rFonts w:hint="eastAsia" w:ascii="宋体" w:hAnsi="宋体" w:eastAsia="宋体" w:cs="宋体"/>
          <w:color w:val="auto"/>
          <w:spacing w:val="0"/>
          <w:w w:val="100"/>
          <w:position w:val="0"/>
          <w:sz w:val="21"/>
          <w:szCs w:val="21"/>
          <w:highlight w:val="none"/>
          <w:u w:val="single" w:color="auto"/>
        </w:rPr>
        <w:t xml:space="preserve">    /  </w:t>
      </w:r>
      <w:r>
        <w:rPr>
          <w:rFonts w:hint="eastAsia" w:ascii="宋体" w:hAnsi="宋体" w:eastAsia="宋体" w:cs="宋体"/>
          <w:color w:val="auto"/>
          <w:spacing w:val="0"/>
          <w:w w:val="100"/>
          <w:position w:val="0"/>
          <w:sz w:val="21"/>
          <w:szCs w:val="21"/>
          <w:highlight w:val="none"/>
        </w:rPr>
        <w:t>。</w:t>
      </w:r>
    </w:p>
    <w:p w14:paraId="7BE7186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6.7 </w:t>
      </w:r>
      <w:r>
        <w:rPr>
          <w:rFonts w:ascii="宋体" w:hAnsi="宋体" w:eastAsia="宋体" w:cs="宋体"/>
          <w:b/>
          <w:bCs/>
          <w:color w:val="auto"/>
          <w:spacing w:val="0"/>
          <w:w w:val="100"/>
          <w:position w:val="0"/>
          <w:sz w:val="24"/>
          <w:szCs w:val="24"/>
          <w:highlight w:val="none"/>
        </w:rPr>
        <w:t>提前完成设计咨询</w:t>
      </w:r>
    </w:p>
    <w:p w14:paraId="37F59E4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6.7.3  </w:t>
      </w:r>
      <w:r>
        <w:rPr>
          <w:rFonts w:ascii="宋体" w:hAnsi="宋体" w:eastAsia="宋体" w:cs="宋体"/>
          <w:color w:val="auto"/>
          <w:spacing w:val="0"/>
          <w:w w:val="100"/>
          <w:position w:val="0"/>
          <w:sz w:val="21"/>
          <w:szCs w:val="21"/>
          <w:highlight w:val="none"/>
        </w:rPr>
        <w:t>由于</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提前完成勘察设计而给发包人带来经济效益的，发包人给予</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如下奖励：</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74ADD45C">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8.</w:t>
      </w:r>
      <w:r>
        <w:rPr>
          <w:b/>
          <w:bCs/>
          <w:color w:val="auto"/>
          <w:spacing w:val="0"/>
          <w:w w:val="100"/>
          <w:position w:val="0"/>
          <w:sz w:val="28"/>
          <w:szCs w:val="28"/>
          <w:highlight w:val="none"/>
        </w:rPr>
        <w:t>设计咨询文件</w:t>
      </w:r>
    </w:p>
    <w:p w14:paraId="3F188D2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8.1 </w:t>
      </w:r>
      <w:r>
        <w:rPr>
          <w:rFonts w:ascii="宋体" w:hAnsi="宋体" w:eastAsia="宋体" w:cs="宋体"/>
          <w:b/>
          <w:bCs/>
          <w:color w:val="auto"/>
          <w:spacing w:val="0"/>
          <w:w w:val="100"/>
          <w:position w:val="0"/>
          <w:sz w:val="24"/>
          <w:szCs w:val="24"/>
          <w:highlight w:val="none"/>
        </w:rPr>
        <w:t>勘察设计文件接收</w:t>
      </w:r>
    </w:p>
    <w:p w14:paraId="498ABD6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8.1.3  </w:t>
      </w:r>
      <w:r>
        <w:rPr>
          <w:rFonts w:ascii="宋体" w:hAnsi="宋体" w:eastAsia="宋体" w:cs="宋体"/>
          <w:color w:val="auto"/>
          <w:spacing w:val="0"/>
          <w:w w:val="100"/>
          <w:position w:val="0"/>
          <w:sz w:val="21"/>
          <w:szCs w:val="21"/>
          <w:highlight w:val="none"/>
        </w:rPr>
        <w:t>设计咨询文件提交要求：</w:t>
      </w:r>
      <w:r>
        <w:rPr>
          <w:rFonts w:ascii="宋体" w:hAnsi="宋体" w:eastAsia="宋体" w:cs="宋体"/>
          <w:color w:val="auto"/>
          <w:spacing w:val="0"/>
          <w:w w:val="100"/>
          <w:position w:val="0"/>
          <w:sz w:val="21"/>
          <w:szCs w:val="21"/>
          <w:highlight w:val="none"/>
          <w:u w:val="single" w:color="auto"/>
        </w:rPr>
        <w:t>咨询人根据发包人通知要求，做好相应工程设计咨询文件提交工作，具体如下：</w:t>
      </w:r>
    </w:p>
    <w:p w14:paraId="7703E46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工可阶段咨询报告：工可编制单位提交工可报告</w:t>
      </w:r>
      <w:r>
        <w:rPr>
          <w:rFonts w:ascii="Times New Roman" w:hAnsi="Times New Roman" w:eastAsia="Times New Roman" w:cs="Times New Roman"/>
          <w:color w:val="auto"/>
          <w:spacing w:val="0"/>
          <w:w w:val="100"/>
          <w:position w:val="0"/>
          <w:sz w:val="21"/>
          <w:szCs w:val="21"/>
          <w:highlight w:val="none"/>
          <w:u w:val="single" w:color="auto"/>
        </w:rPr>
        <w:t>15</w:t>
      </w:r>
      <w:r>
        <w:rPr>
          <w:rFonts w:ascii="宋体" w:hAnsi="宋体" w:eastAsia="宋体" w:cs="宋体"/>
          <w:color w:val="auto"/>
          <w:spacing w:val="0"/>
          <w:w w:val="100"/>
          <w:position w:val="0"/>
          <w:sz w:val="21"/>
          <w:szCs w:val="21"/>
          <w:highlight w:val="none"/>
          <w:u w:val="single" w:color="auto"/>
        </w:rPr>
        <w:t>日后，提交工可咨询报告</w:t>
      </w:r>
      <w:r>
        <w:rPr>
          <w:rFonts w:ascii="Times New Roman" w:hAnsi="Times New Roman" w:eastAsia="Times New Roman" w:cs="Times New Roman"/>
          <w:color w:val="auto"/>
          <w:spacing w:val="0"/>
          <w:w w:val="100"/>
          <w:position w:val="0"/>
          <w:sz w:val="21"/>
          <w:szCs w:val="21"/>
          <w:highlight w:val="none"/>
          <w:u w:val="single" w:color="auto"/>
        </w:rPr>
        <w:t>5</w:t>
      </w:r>
      <w:r>
        <w:rPr>
          <w:rFonts w:ascii="宋体" w:hAnsi="宋体" w:eastAsia="宋体" w:cs="宋体"/>
          <w:color w:val="auto"/>
          <w:spacing w:val="0"/>
          <w:w w:val="100"/>
          <w:position w:val="0"/>
          <w:sz w:val="21"/>
          <w:szCs w:val="21"/>
          <w:highlight w:val="none"/>
          <w:u w:val="single" w:color="auto"/>
        </w:rPr>
        <w:t>份。</w:t>
      </w:r>
    </w:p>
    <w:p w14:paraId="566B697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u w:val="single" w:color="auto"/>
        </w:rPr>
        <w:t>安全评价报告：工可编制单位和勘察设计单位提交相应资料后 15 天完成对应阶段安全评价报告编制，提交 5 份。</w:t>
      </w:r>
    </w:p>
    <w:p w14:paraId="09CD322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u w:val="single" w:color="auto"/>
        </w:rPr>
        <w:t>地质初勘监理大纲和初勘监理工作报告：中标通知书发布后 15 日内提交地质初勘监理大纲，勘察设计单位提交地质初勘报告后 15 日内提交地质初勘监理工作报告 5 份。</w:t>
      </w:r>
    </w:p>
    <w:p w14:paraId="4B4C19C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u w:val="single" w:color="auto"/>
        </w:rPr>
        <w:t>初步设计咨询报告：勘察设计单位提交初步设计文件 15 日后，提交初步设计咨询报告 5 份。</w:t>
      </w:r>
    </w:p>
    <w:p w14:paraId="56A9804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u w:val="single" w:color="auto"/>
        </w:rPr>
        <w:t>地质详勘监理大纲和详勘监理工作报告：在施工图勘察设计开展前提交地质详勘监理大纲，勘察设计单位提交地质详勘报告 15 日内提交地质详勘监理工作报告 5 份。</w:t>
      </w:r>
    </w:p>
    <w:p w14:paraId="6A3C431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（6）</w:t>
      </w:r>
      <w:r>
        <w:rPr>
          <w:rFonts w:ascii="宋体" w:hAnsi="宋体" w:eastAsia="宋体" w:cs="宋体"/>
          <w:color w:val="auto"/>
          <w:spacing w:val="0"/>
          <w:w w:val="100"/>
          <w:position w:val="0"/>
          <w:sz w:val="21"/>
          <w:szCs w:val="21"/>
          <w:highlight w:val="none"/>
          <w:u w:val="single" w:color="auto"/>
        </w:rPr>
        <w:t>施工图咨询报告：勘察设计单位提交施工图设计文件 15 日后，提交施工图设计咨询报告 5 份。</w:t>
      </w:r>
    </w:p>
    <w:p w14:paraId="5347B09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（7）</w:t>
      </w:r>
      <w:r>
        <w:rPr>
          <w:rFonts w:ascii="宋体" w:hAnsi="宋体" w:eastAsia="宋体" w:cs="宋体"/>
          <w:color w:val="auto"/>
          <w:spacing w:val="0"/>
          <w:w w:val="100"/>
          <w:position w:val="0"/>
          <w:sz w:val="21"/>
          <w:szCs w:val="21"/>
          <w:highlight w:val="none"/>
          <w:u w:val="single" w:color="auto"/>
        </w:rPr>
        <w:t>安徽省人民政府或行业主管部门对项目开工另有要求时，工作周期将按要求予以调整。</w:t>
      </w:r>
    </w:p>
    <w:p w14:paraId="3C307A7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提交成果所需出版费用已经含在总费用之中，发包人将不另行支付。</w:t>
      </w:r>
    </w:p>
    <w:p w14:paraId="0BC83D64">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8.2 </w:t>
      </w:r>
      <w:r>
        <w:rPr>
          <w:rFonts w:ascii="宋体" w:hAnsi="宋体" w:eastAsia="宋体" w:cs="宋体"/>
          <w:b/>
          <w:bCs/>
          <w:color w:val="auto"/>
          <w:spacing w:val="0"/>
          <w:w w:val="100"/>
          <w:position w:val="0"/>
          <w:sz w:val="24"/>
          <w:szCs w:val="24"/>
          <w:highlight w:val="none"/>
        </w:rPr>
        <w:t>发包人审查设计咨询文件</w:t>
      </w:r>
    </w:p>
    <w:p w14:paraId="7E6F5F0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8</w:t>
      </w:r>
      <w:r>
        <w:rPr>
          <w:rFonts w:ascii="Times New Roman" w:hAnsi="Times New Roman" w:eastAsia="Times New Roman" w:cs="Times New Roman"/>
          <w:b/>
          <w:bCs/>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2.1 发包人审查勘察设计文件的具体范围：</w:t>
      </w:r>
      <w:r>
        <w:rPr>
          <w:rFonts w:ascii="宋体" w:hAnsi="宋体" w:eastAsia="宋体" w:cs="宋体"/>
          <w:color w:val="auto"/>
          <w:spacing w:val="0"/>
          <w:w w:val="100"/>
          <w:position w:val="0"/>
          <w:sz w:val="21"/>
          <w:szCs w:val="21"/>
          <w:highlight w:val="none"/>
          <w:u w:val="single" w:color="auto"/>
        </w:rPr>
        <w:t xml:space="preserve"> 所有成果文件 </w:t>
      </w:r>
      <w:r>
        <w:rPr>
          <w:rFonts w:ascii="宋体" w:hAnsi="宋体" w:eastAsia="宋体" w:cs="宋体"/>
          <w:color w:val="auto"/>
          <w:spacing w:val="0"/>
          <w:w w:val="100"/>
          <w:position w:val="0"/>
          <w:sz w:val="21"/>
          <w:szCs w:val="21"/>
          <w:highlight w:val="none"/>
        </w:rPr>
        <w:t>；费用分担原则：</w:t>
      </w:r>
      <w:r>
        <w:rPr>
          <w:rFonts w:ascii="宋体" w:hAnsi="宋体" w:eastAsia="宋体" w:cs="宋体"/>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4EA726C2">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 xml:space="preserve">9.  </w:t>
      </w:r>
      <w:r>
        <w:rPr>
          <w:b/>
          <w:bCs/>
          <w:color w:val="auto"/>
          <w:spacing w:val="0"/>
          <w:w w:val="100"/>
          <w:position w:val="0"/>
          <w:sz w:val="28"/>
          <w:szCs w:val="28"/>
          <w:highlight w:val="none"/>
        </w:rPr>
        <w:t>设计责任与保险</w:t>
      </w:r>
    </w:p>
    <w:p w14:paraId="32E956D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9.4  </w:t>
      </w:r>
      <w:r>
        <w:rPr>
          <w:rFonts w:ascii="宋体" w:hAnsi="宋体" w:eastAsia="宋体" w:cs="宋体"/>
          <w:b/>
          <w:bCs/>
          <w:color w:val="auto"/>
          <w:spacing w:val="0"/>
          <w:w w:val="100"/>
          <w:position w:val="0"/>
          <w:sz w:val="24"/>
          <w:szCs w:val="24"/>
          <w:highlight w:val="none"/>
        </w:rPr>
        <w:t>设计责任保险</w:t>
      </w:r>
    </w:p>
    <w:p w14:paraId="29E347E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9.4.1 发包人是否要求咨询人提供工程设计咨询责任险：</w:t>
      </w:r>
      <w:r>
        <w:rPr>
          <w:rFonts w:ascii="宋体" w:hAnsi="宋体" w:eastAsia="宋体" w:cs="宋体"/>
          <w:color w:val="auto"/>
          <w:spacing w:val="0"/>
          <w:w w:val="100"/>
          <w:position w:val="0"/>
          <w:sz w:val="21"/>
          <w:szCs w:val="21"/>
          <w:highlight w:val="none"/>
          <w:u w:val="single" w:color="auto"/>
        </w:rPr>
        <w:t xml:space="preserve">。否 </w:t>
      </w:r>
      <w:r>
        <w:rPr>
          <w:rFonts w:ascii="Segoe UI Symbol" w:hAnsi="Segoe UI Symbol" w:eastAsia="Segoe UI Symbol" w:cs="Segoe UI Symbol"/>
          <w:color w:val="auto"/>
          <w:spacing w:val="0"/>
          <w:w w:val="100"/>
          <w:position w:val="0"/>
          <w:sz w:val="21"/>
          <w:szCs w:val="21"/>
          <w:highlight w:val="none"/>
          <w:u w:val="single" w:color="auto"/>
        </w:rPr>
        <w:t>☑</w:t>
      </w:r>
      <w:r>
        <w:rPr>
          <w:rFonts w:ascii="宋体" w:hAnsi="宋体" w:eastAsia="宋体" w:cs="宋体"/>
          <w:color w:val="auto"/>
          <w:spacing w:val="0"/>
          <w:w w:val="100"/>
          <w:position w:val="0"/>
          <w:sz w:val="21"/>
          <w:szCs w:val="21"/>
          <w:highlight w:val="none"/>
          <w:u w:val="single" w:color="auto"/>
        </w:rPr>
        <w:t>是。</w:t>
      </w:r>
    </w:p>
    <w:p w14:paraId="684F44EC">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10.</w:t>
      </w:r>
      <w:r>
        <w:rPr>
          <w:b/>
          <w:bCs/>
          <w:color w:val="auto"/>
          <w:spacing w:val="0"/>
          <w:w w:val="100"/>
          <w:position w:val="0"/>
          <w:sz w:val="28"/>
          <w:szCs w:val="28"/>
          <w:highlight w:val="none"/>
        </w:rPr>
        <w:t>招标和施工期间配合</w:t>
      </w:r>
    </w:p>
    <w:p w14:paraId="2AD3C89C">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10.2 </w:t>
      </w:r>
      <w:r>
        <w:rPr>
          <w:rFonts w:ascii="宋体" w:hAnsi="宋体" w:eastAsia="宋体" w:cs="宋体"/>
          <w:b/>
          <w:bCs/>
          <w:color w:val="auto"/>
          <w:spacing w:val="0"/>
          <w:w w:val="100"/>
          <w:position w:val="0"/>
          <w:sz w:val="24"/>
          <w:szCs w:val="24"/>
          <w:highlight w:val="none"/>
        </w:rPr>
        <w:t>施工期间配合</w:t>
      </w:r>
    </w:p>
    <w:p w14:paraId="784DFFE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10.2.6 本项目对设计代表的数量和资历条件要求：</w:t>
      </w:r>
      <w:r>
        <w:rPr>
          <w:rFonts w:ascii="宋体" w:hAnsi="宋体" w:eastAsia="宋体" w:cs="宋体"/>
          <w:color w:val="auto"/>
          <w:spacing w:val="0"/>
          <w:w w:val="100"/>
          <w:position w:val="0"/>
          <w:sz w:val="21"/>
          <w:szCs w:val="21"/>
          <w:highlight w:val="none"/>
          <w:u w:val="single" w:color="auto"/>
        </w:rPr>
        <w:t>咨询人在施工期间无须驻场，但项目负责人及各分项负责人须按发包人的需求及时提供咨询服务。</w:t>
      </w:r>
    </w:p>
    <w:p w14:paraId="7292D47A">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11.</w:t>
      </w:r>
      <w:r>
        <w:rPr>
          <w:b/>
          <w:bCs/>
          <w:color w:val="auto"/>
          <w:spacing w:val="0"/>
          <w:w w:val="100"/>
          <w:position w:val="0"/>
          <w:sz w:val="28"/>
          <w:szCs w:val="28"/>
          <w:highlight w:val="none"/>
        </w:rPr>
        <w:t>合同变更</w:t>
      </w:r>
    </w:p>
    <w:p w14:paraId="7A262C1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11.1 </w:t>
      </w:r>
      <w:r>
        <w:rPr>
          <w:rFonts w:ascii="宋体" w:hAnsi="宋体" w:eastAsia="宋体" w:cs="宋体"/>
          <w:b/>
          <w:bCs/>
          <w:color w:val="auto"/>
          <w:spacing w:val="0"/>
          <w:w w:val="100"/>
          <w:position w:val="0"/>
          <w:sz w:val="24"/>
          <w:szCs w:val="24"/>
          <w:highlight w:val="none"/>
        </w:rPr>
        <w:t>变更情形</w:t>
      </w:r>
    </w:p>
    <w:p w14:paraId="5570C39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11.1.1 合同变更时，设计咨询服务期限的调整方法：</w:t>
      </w:r>
      <w:r>
        <w:rPr>
          <w:rFonts w:ascii="宋体" w:hAnsi="宋体" w:eastAsia="宋体" w:cs="宋体"/>
          <w:color w:val="auto"/>
          <w:spacing w:val="0"/>
          <w:w w:val="100"/>
          <w:position w:val="0"/>
          <w:sz w:val="21"/>
          <w:szCs w:val="21"/>
          <w:highlight w:val="none"/>
          <w:u w:val="single" w:color="auto"/>
        </w:rPr>
        <w:t xml:space="preserve"> 双方协商 </w:t>
      </w:r>
      <w:r>
        <w:rPr>
          <w:rFonts w:ascii="宋体" w:hAnsi="宋体" w:eastAsia="宋体" w:cs="宋体"/>
          <w:color w:val="auto"/>
          <w:spacing w:val="0"/>
          <w:w w:val="100"/>
          <w:position w:val="0"/>
          <w:sz w:val="21"/>
          <w:szCs w:val="21"/>
          <w:highlight w:val="none"/>
        </w:rPr>
        <w:t>；设计咨询服务费用的调整方法：</w:t>
      </w:r>
      <w:r>
        <w:rPr>
          <w:rFonts w:ascii="宋体" w:hAnsi="宋体" w:eastAsia="宋体" w:cs="宋体"/>
          <w:color w:val="auto"/>
          <w:spacing w:val="0"/>
          <w:w w:val="100"/>
          <w:position w:val="0"/>
          <w:sz w:val="21"/>
          <w:szCs w:val="21"/>
          <w:highlight w:val="none"/>
          <w:u w:val="single" w:color="auto"/>
        </w:rPr>
        <w:t xml:space="preserve"> 不增加 </w:t>
      </w:r>
      <w:r>
        <w:rPr>
          <w:rFonts w:ascii="宋体" w:hAnsi="宋体" w:eastAsia="宋体" w:cs="宋体"/>
          <w:color w:val="auto"/>
          <w:spacing w:val="0"/>
          <w:w w:val="100"/>
          <w:position w:val="0"/>
          <w:sz w:val="21"/>
          <w:szCs w:val="21"/>
          <w:highlight w:val="none"/>
        </w:rPr>
        <w:t>。</w:t>
      </w:r>
    </w:p>
    <w:p w14:paraId="46C8062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11.2 </w:t>
      </w:r>
      <w:r>
        <w:rPr>
          <w:rFonts w:ascii="宋体" w:hAnsi="宋体" w:eastAsia="宋体" w:cs="宋体"/>
          <w:b/>
          <w:bCs/>
          <w:color w:val="auto"/>
          <w:spacing w:val="0"/>
          <w:w w:val="100"/>
          <w:position w:val="0"/>
          <w:sz w:val="24"/>
          <w:szCs w:val="24"/>
          <w:highlight w:val="none"/>
        </w:rPr>
        <w:t>合理化建议</w:t>
      </w:r>
    </w:p>
    <w:p w14:paraId="16B9E48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11.2.2 </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提出的合理化建议降低了工程投资、缩短了施工期限或者提高了工程经济效益的，发包人给予</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如下奖励：</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459D5A4C">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12.</w:t>
      </w:r>
      <w:r>
        <w:rPr>
          <w:b/>
          <w:bCs/>
          <w:color w:val="auto"/>
          <w:spacing w:val="0"/>
          <w:w w:val="100"/>
          <w:position w:val="0"/>
          <w:sz w:val="28"/>
          <w:szCs w:val="28"/>
          <w:highlight w:val="none"/>
        </w:rPr>
        <w:t>合同价格与支付</w:t>
      </w:r>
    </w:p>
    <w:p w14:paraId="0806ECC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12.1 </w:t>
      </w:r>
      <w:r>
        <w:rPr>
          <w:rFonts w:ascii="宋体" w:hAnsi="宋体" w:eastAsia="宋体" w:cs="宋体"/>
          <w:b/>
          <w:bCs/>
          <w:color w:val="auto"/>
          <w:spacing w:val="0"/>
          <w:w w:val="100"/>
          <w:position w:val="0"/>
          <w:sz w:val="24"/>
          <w:szCs w:val="24"/>
          <w:highlight w:val="none"/>
        </w:rPr>
        <w:t>合同价格</w:t>
      </w:r>
    </w:p>
    <w:p w14:paraId="2C4E2F5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12.1.1 </w:t>
      </w:r>
      <w:r>
        <w:rPr>
          <w:rFonts w:ascii="宋体" w:hAnsi="宋体" w:eastAsia="宋体" w:cs="宋体"/>
          <w:color w:val="auto"/>
          <w:spacing w:val="0"/>
          <w:w w:val="100"/>
          <w:position w:val="0"/>
          <w:sz w:val="21"/>
          <w:szCs w:val="21"/>
          <w:highlight w:val="none"/>
        </w:rPr>
        <w:t>本合同的价款确定方式：</w:t>
      </w:r>
      <w:r>
        <w:rPr>
          <w:rFonts w:ascii="宋体" w:hAnsi="宋体" w:eastAsia="宋体" w:cs="宋体"/>
          <w:color w:val="auto"/>
          <w:spacing w:val="0"/>
          <w:w w:val="100"/>
          <w:position w:val="0"/>
          <w:sz w:val="21"/>
          <w:szCs w:val="21"/>
          <w:highlight w:val="none"/>
          <w:u w:val="single" w:color="auto"/>
        </w:rPr>
        <w:t>总价合同</w:t>
      </w:r>
      <w:r>
        <w:rPr>
          <w:rFonts w:ascii="宋体" w:hAnsi="宋体" w:eastAsia="宋体" w:cs="宋体"/>
          <w:color w:val="auto"/>
          <w:spacing w:val="0"/>
          <w:w w:val="100"/>
          <w:position w:val="0"/>
          <w:sz w:val="21"/>
          <w:szCs w:val="21"/>
          <w:highlight w:val="none"/>
        </w:rPr>
        <w:t>。</w:t>
      </w:r>
    </w:p>
    <w:p w14:paraId="0F84D57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在合同实施期间，由于人工、材料、设备等因素的市场价格变化导致本项目设计咨询服务费用变化，合同费用不调整。</w:t>
      </w:r>
    </w:p>
    <w:p w14:paraId="773AE0D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合同计价模式为总价合同的，设计咨询服务费用支付阶段如下：</w:t>
      </w:r>
    </w:p>
    <w:p w14:paraId="4941B19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2" w:firstLineChars="200"/>
        <w:jc w:val="both"/>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b/>
          <w:bCs/>
          <w:color w:val="auto"/>
          <w:spacing w:val="0"/>
          <w:w w:val="100"/>
          <w:position w:val="0"/>
          <w:sz w:val="21"/>
          <w:szCs w:val="21"/>
          <w:highlight w:val="none"/>
          <w:u w:val="single" w:color="auto"/>
          <w:lang w:val="en-US" w:eastAsia="zh-CN"/>
        </w:rPr>
        <w:t>特许经营项目公司成立且项目初步设计批复后，项目公司支付至合同价款的60%；项目施工图设计文件通过业主和上级主管部门审查，取得批复，承包人提交施工图设计咨询报告和交通安全评价报告，项目公司支付至合同价款的90%；待项目交工证书签发后28天内项目公司支付至合同价款的97%，剩余3%在竣工验收合格后由项目公司一次性支付（若咨询人采用保函等其他非现金方式缴纳质量保证金，则项目交工证书签发后28天内项目公司支付至合同价款的100% ，质量保证金在竣工验收合格后由项目公司退还）</w:t>
      </w:r>
      <w:r>
        <w:rPr>
          <w:rFonts w:ascii="宋体" w:hAnsi="宋体" w:eastAsia="宋体" w:cs="宋体"/>
          <w:b/>
          <w:bCs/>
          <w:color w:val="auto"/>
          <w:spacing w:val="0"/>
          <w:w w:val="100"/>
          <w:position w:val="0"/>
          <w:sz w:val="21"/>
          <w:szCs w:val="21"/>
          <w:highlight w:val="none"/>
          <w:u w:val="single" w:color="auto"/>
        </w:rPr>
        <w:t>。</w:t>
      </w:r>
    </w:p>
    <w:p w14:paraId="14D86A7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12.2 </w:t>
      </w:r>
      <w:r>
        <w:rPr>
          <w:rFonts w:ascii="宋体" w:hAnsi="宋体" w:eastAsia="宋体" w:cs="宋体"/>
          <w:b/>
          <w:bCs/>
          <w:color w:val="auto"/>
          <w:spacing w:val="0"/>
          <w:w w:val="100"/>
          <w:position w:val="0"/>
          <w:sz w:val="24"/>
          <w:szCs w:val="24"/>
          <w:highlight w:val="none"/>
        </w:rPr>
        <w:t>定金或预付款</w:t>
      </w:r>
    </w:p>
    <w:p w14:paraId="5AEB2D7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12.2.1 </w:t>
      </w:r>
      <w:r>
        <w:rPr>
          <w:rFonts w:ascii="宋体" w:hAnsi="宋体" w:eastAsia="宋体" w:cs="宋体"/>
          <w:color w:val="auto"/>
          <w:spacing w:val="0"/>
          <w:w w:val="100"/>
          <w:position w:val="0"/>
          <w:sz w:val="21"/>
          <w:szCs w:val="21"/>
          <w:highlight w:val="none"/>
        </w:rPr>
        <w:t>定金或预付款的额度、支付方式及抵扣方式：</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1B7F812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12.3 </w:t>
      </w:r>
      <w:r>
        <w:rPr>
          <w:rFonts w:ascii="宋体" w:hAnsi="宋体" w:eastAsia="宋体" w:cs="宋体"/>
          <w:b/>
          <w:bCs/>
          <w:color w:val="auto"/>
          <w:spacing w:val="0"/>
          <w:w w:val="100"/>
          <w:position w:val="0"/>
          <w:sz w:val="24"/>
          <w:szCs w:val="24"/>
          <w:highlight w:val="none"/>
        </w:rPr>
        <w:t>中期支付</w:t>
      </w:r>
    </w:p>
    <w:p w14:paraId="7BAED12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12.3.1 </w:t>
      </w:r>
      <w:r>
        <w:rPr>
          <w:rFonts w:ascii="宋体" w:hAnsi="宋体" w:eastAsia="宋体" w:cs="宋体"/>
          <w:color w:val="auto"/>
          <w:spacing w:val="0"/>
          <w:w w:val="100"/>
          <w:position w:val="0"/>
          <w:sz w:val="21"/>
          <w:szCs w:val="21"/>
          <w:highlight w:val="none"/>
        </w:rPr>
        <w:t>中期支付申请的格式及份数：</w:t>
      </w:r>
      <w:r>
        <w:rPr>
          <w:rFonts w:ascii="宋体" w:hAnsi="宋体" w:eastAsia="宋体" w:cs="宋体"/>
          <w:color w:val="auto"/>
          <w:spacing w:val="0"/>
          <w:w w:val="100"/>
          <w:position w:val="0"/>
          <w:sz w:val="21"/>
          <w:szCs w:val="21"/>
          <w:highlight w:val="none"/>
          <w:u w:val="single" w:color="auto"/>
        </w:rPr>
        <w:t xml:space="preserve"> 按发包人要求执行 </w:t>
      </w:r>
      <w:r>
        <w:rPr>
          <w:rFonts w:ascii="宋体" w:hAnsi="宋体" w:eastAsia="宋体" w:cs="宋体"/>
          <w:color w:val="auto"/>
          <w:spacing w:val="0"/>
          <w:w w:val="100"/>
          <w:position w:val="0"/>
          <w:sz w:val="21"/>
          <w:szCs w:val="21"/>
          <w:highlight w:val="none"/>
        </w:rPr>
        <w:t>。</w:t>
      </w:r>
    </w:p>
    <w:p w14:paraId="18D8E588">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12.3.2 </w:t>
      </w:r>
      <w:r>
        <w:rPr>
          <w:rFonts w:ascii="宋体" w:hAnsi="宋体" w:eastAsia="宋体" w:cs="宋体"/>
          <w:color w:val="auto"/>
          <w:spacing w:val="0"/>
          <w:w w:val="100"/>
          <w:position w:val="0"/>
          <w:sz w:val="21"/>
          <w:szCs w:val="21"/>
          <w:highlight w:val="none"/>
        </w:rPr>
        <w:t xml:space="preserve">逾期付款违约金：每延期支付 </w:t>
      </w:r>
      <w:r>
        <w:rPr>
          <w:rFonts w:ascii="Times New Roman" w:hAnsi="Times New Roman" w:eastAsia="Times New Roman" w:cs="Times New Roman"/>
          <w:color w:val="auto"/>
          <w:spacing w:val="0"/>
          <w:w w:val="100"/>
          <w:position w:val="0"/>
          <w:sz w:val="21"/>
          <w:szCs w:val="21"/>
          <w:highlight w:val="none"/>
        </w:rPr>
        <w:t xml:space="preserve">1 </w:t>
      </w:r>
      <w:r>
        <w:rPr>
          <w:rFonts w:ascii="宋体" w:hAnsi="宋体" w:eastAsia="宋体" w:cs="宋体"/>
          <w:color w:val="auto"/>
          <w:spacing w:val="0"/>
          <w:w w:val="100"/>
          <w:position w:val="0"/>
          <w:sz w:val="21"/>
          <w:szCs w:val="21"/>
          <w:highlight w:val="none"/>
        </w:rPr>
        <w:t>天，发包人应付给</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拖欠金额的</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的违约金。</w:t>
      </w:r>
    </w:p>
    <w:p w14:paraId="19AF8DE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12.3.3 </w:t>
      </w:r>
      <w:r>
        <w:rPr>
          <w:rFonts w:ascii="宋体" w:hAnsi="宋体" w:eastAsia="宋体" w:cs="宋体"/>
          <w:color w:val="auto"/>
          <w:spacing w:val="0"/>
          <w:w w:val="100"/>
          <w:position w:val="0"/>
          <w:sz w:val="21"/>
          <w:szCs w:val="21"/>
          <w:highlight w:val="none"/>
        </w:rPr>
        <w:t>中期支付涉及政府投资资金的，支付规定如下：</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宋体" w:hAnsi="宋体" w:eastAsia="宋体" w:cs="宋体"/>
          <w:color w:val="auto"/>
          <w:spacing w:val="0"/>
          <w:w w:val="100"/>
          <w:position w:val="0"/>
          <w:sz w:val="21"/>
          <w:szCs w:val="21"/>
          <w:highlight w:val="none"/>
        </w:rPr>
        <w:t>。</w:t>
      </w:r>
    </w:p>
    <w:p w14:paraId="14A203F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12.4 </w:t>
      </w:r>
      <w:r>
        <w:rPr>
          <w:rFonts w:ascii="宋体" w:hAnsi="宋体" w:eastAsia="宋体" w:cs="宋体"/>
          <w:b/>
          <w:bCs/>
          <w:color w:val="auto"/>
          <w:spacing w:val="0"/>
          <w:w w:val="100"/>
          <w:position w:val="0"/>
          <w:sz w:val="24"/>
          <w:szCs w:val="24"/>
          <w:highlight w:val="none"/>
        </w:rPr>
        <w:t>费用结算</w:t>
      </w:r>
    </w:p>
    <w:p w14:paraId="4BFF313D">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12.4.1 </w:t>
      </w:r>
      <w:r>
        <w:rPr>
          <w:rFonts w:ascii="宋体" w:hAnsi="宋体" w:eastAsia="宋体" w:cs="宋体"/>
          <w:color w:val="auto"/>
          <w:spacing w:val="0"/>
          <w:w w:val="100"/>
          <w:position w:val="0"/>
          <w:sz w:val="21"/>
          <w:szCs w:val="21"/>
          <w:highlight w:val="none"/>
        </w:rPr>
        <w:t>设计咨询费用结算申请的份数和提交期限：</w:t>
      </w:r>
      <w:r>
        <w:rPr>
          <w:rFonts w:ascii="宋体" w:hAnsi="宋体" w:eastAsia="宋体" w:cs="宋体"/>
          <w:color w:val="auto"/>
          <w:spacing w:val="0"/>
          <w:w w:val="100"/>
          <w:position w:val="0"/>
          <w:sz w:val="21"/>
          <w:szCs w:val="21"/>
          <w:highlight w:val="none"/>
          <w:u w:val="single" w:color="auto"/>
        </w:rPr>
        <w:t xml:space="preserve"> 按发包人要求执行 </w:t>
      </w:r>
      <w:r>
        <w:rPr>
          <w:rFonts w:ascii="宋体" w:hAnsi="宋体" w:eastAsia="宋体" w:cs="宋体"/>
          <w:color w:val="auto"/>
          <w:spacing w:val="0"/>
          <w:w w:val="100"/>
          <w:position w:val="0"/>
          <w:sz w:val="21"/>
          <w:szCs w:val="21"/>
          <w:highlight w:val="none"/>
        </w:rPr>
        <w:t>。</w:t>
      </w:r>
    </w:p>
    <w:p w14:paraId="7A747D4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12.4.2 </w:t>
      </w:r>
      <w:r>
        <w:rPr>
          <w:rFonts w:ascii="宋体" w:hAnsi="宋体" w:eastAsia="宋体" w:cs="宋体"/>
          <w:color w:val="auto"/>
          <w:spacing w:val="0"/>
          <w:w w:val="100"/>
          <w:position w:val="0"/>
          <w:sz w:val="21"/>
          <w:szCs w:val="21"/>
          <w:highlight w:val="none"/>
        </w:rPr>
        <w:t xml:space="preserve">逾期付款违约金：每延期支付 </w:t>
      </w:r>
      <w:r>
        <w:rPr>
          <w:rFonts w:ascii="Times New Roman" w:hAnsi="Times New Roman" w:eastAsia="Times New Roman" w:cs="Times New Roman"/>
          <w:color w:val="auto"/>
          <w:spacing w:val="0"/>
          <w:w w:val="100"/>
          <w:position w:val="0"/>
          <w:sz w:val="21"/>
          <w:szCs w:val="21"/>
          <w:highlight w:val="none"/>
        </w:rPr>
        <w:t xml:space="preserve">1 </w:t>
      </w:r>
      <w:r>
        <w:rPr>
          <w:rFonts w:ascii="宋体" w:hAnsi="宋体" w:eastAsia="宋体" w:cs="宋体"/>
          <w:color w:val="auto"/>
          <w:spacing w:val="0"/>
          <w:w w:val="100"/>
          <w:position w:val="0"/>
          <w:sz w:val="21"/>
          <w:szCs w:val="21"/>
          <w:highlight w:val="none"/>
        </w:rPr>
        <w:t>天，发包人应付给</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拖欠金额的</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的违约金。</w:t>
      </w:r>
    </w:p>
    <w:p w14:paraId="77E4190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12.5 </w:t>
      </w:r>
      <w:r>
        <w:rPr>
          <w:rFonts w:ascii="宋体" w:hAnsi="宋体" w:eastAsia="宋体" w:cs="宋体"/>
          <w:b/>
          <w:bCs/>
          <w:color w:val="auto"/>
          <w:spacing w:val="0"/>
          <w:w w:val="100"/>
          <w:position w:val="0"/>
          <w:sz w:val="24"/>
          <w:szCs w:val="24"/>
          <w:highlight w:val="none"/>
        </w:rPr>
        <w:t>暂列金额</w:t>
      </w:r>
    </w:p>
    <w:p w14:paraId="05E2ECC2">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12.5.1 </w:t>
      </w:r>
      <w:r>
        <w:rPr>
          <w:rFonts w:ascii="宋体" w:hAnsi="宋体" w:eastAsia="宋体" w:cs="宋体"/>
          <w:color w:val="auto"/>
          <w:spacing w:val="0"/>
          <w:w w:val="100"/>
          <w:position w:val="0"/>
          <w:sz w:val="21"/>
          <w:szCs w:val="21"/>
          <w:highlight w:val="none"/>
        </w:rPr>
        <w:t>本合同的暂列金额为工程设计咨询费的</w:t>
      </w:r>
      <w:r>
        <w:rPr>
          <w:rFonts w:ascii="Times New Roman" w:hAnsi="Times New Roman" w:eastAsia="Times New Roman" w:cs="Times New Roman"/>
          <w:color w:val="auto"/>
          <w:spacing w:val="0"/>
          <w:w w:val="100"/>
          <w:position w:val="0"/>
          <w:sz w:val="21"/>
          <w:szCs w:val="21"/>
          <w:highlight w:val="none"/>
          <w:u w:val="single" w:color="auto"/>
        </w:rPr>
        <w:t xml:space="preserve">    /    </w:t>
      </w:r>
      <w:r>
        <w:rPr>
          <w:rFonts w:ascii="Times New Roman" w:hAnsi="Times New Roman" w:eastAsia="Times New Roman" w:cs="Times New Roman"/>
          <w:color w:val="auto"/>
          <w:spacing w:val="0"/>
          <w:w w:val="100"/>
          <w:position w:val="0"/>
          <w:sz w:val="21"/>
          <w:szCs w:val="21"/>
          <w:highlight w:val="none"/>
        </w:rPr>
        <w:t xml:space="preserve"> %</w:t>
      </w:r>
      <w:r>
        <w:rPr>
          <w:rFonts w:ascii="宋体" w:hAnsi="宋体" w:eastAsia="宋体" w:cs="宋体"/>
          <w:color w:val="auto"/>
          <w:spacing w:val="0"/>
          <w:w w:val="100"/>
          <w:position w:val="0"/>
          <w:sz w:val="21"/>
          <w:szCs w:val="21"/>
          <w:highlight w:val="none"/>
        </w:rPr>
        <w:t>。</w:t>
      </w:r>
    </w:p>
    <w:p w14:paraId="2BC255CF">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12.6 </w:t>
      </w:r>
      <w:r>
        <w:rPr>
          <w:rFonts w:ascii="宋体" w:hAnsi="宋体" w:eastAsia="宋体" w:cs="宋体"/>
          <w:b/>
          <w:bCs/>
          <w:color w:val="auto"/>
          <w:spacing w:val="0"/>
          <w:w w:val="100"/>
          <w:position w:val="0"/>
          <w:sz w:val="24"/>
          <w:szCs w:val="24"/>
          <w:highlight w:val="none"/>
        </w:rPr>
        <w:t>质量保证金</w:t>
      </w:r>
    </w:p>
    <w:p w14:paraId="3AF8C23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本项目的质量保证金为设计咨询费用总额的</w:t>
      </w:r>
      <w:r>
        <w:rPr>
          <w:rFonts w:ascii="Times New Roman" w:hAnsi="Times New Roman" w:eastAsia="Times New Roman" w:cs="Times New Roman"/>
          <w:color w:val="auto"/>
          <w:spacing w:val="0"/>
          <w:w w:val="100"/>
          <w:position w:val="0"/>
          <w:sz w:val="21"/>
          <w:szCs w:val="21"/>
          <w:highlight w:val="none"/>
          <w:u w:val="single" w:color="auto"/>
        </w:rPr>
        <w:t xml:space="preserve">  3 </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w:t>
      </w:r>
    </w:p>
    <w:p w14:paraId="5296F6C3">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14.</w:t>
      </w:r>
      <w:r>
        <w:rPr>
          <w:b/>
          <w:bCs/>
          <w:color w:val="auto"/>
          <w:spacing w:val="0"/>
          <w:w w:val="100"/>
          <w:position w:val="0"/>
          <w:sz w:val="28"/>
          <w:szCs w:val="28"/>
          <w:highlight w:val="none"/>
        </w:rPr>
        <w:t>违约</w:t>
      </w:r>
    </w:p>
    <w:p w14:paraId="7E98ACF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14.1 </w:t>
      </w:r>
      <w:r>
        <w:rPr>
          <w:rFonts w:hint="eastAsia" w:ascii="宋体" w:hAnsi="宋体" w:eastAsia="宋体" w:cs="宋体"/>
          <w:b/>
          <w:bCs/>
          <w:color w:val="auto"/>
          <w:spacing w:val="0"/>
          <w:w w:val="100"/>
          <w:position w:val="0"/>
          <w:sz w:val="24"/>
          <w:szCs w:val="24"/>
          <w:highlight w:val="none"/>
          <w:lang w:eastAsia="zh-CN"/>
        </w:rPr>
        <w:t>咨询人</w:t>
      </w:r>
      <w:r>
        <w:rPr>
          <w:rFonts w:ascii="宋体" w:hAnsi="宋体" w:eastAsia="宋体" w:cs="宋体"/>
          <w:b/>
          <w:bCs/>
          <w:color w:val="auto"/>
          <w:spacing w:val="0"/>
          <w:w w:val="100"/>
          <w:position w:val="0"/>
          <w:sz w:val="24"/>
          <w:szCs w:val="24"/>
          <w:highlight w:val="none"/>
        </w:rPr>
        <w:t>违约</w:t>
      </w:r>
    </w:p>
    <w:p w14:paraId="18A48210">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14.1.1 </w:t>
      </w: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10</w:t>
      </w:r>
      <w:r>
        <w:rPr>
          <w:rFonts w:ascii="宋体" w:hAnsi="宋体" w:eastAsia="宋体" w:cs="宋体"/>
          <w:color w:val="auto"/>
          <w:spacing w:val="0"/>
          <w:w w:val="100"/>
          <w:position w:val="0"/>
          <w:sz w:val="21"/>
          <w:szCs w:val="21"/>
          <w:highlight w:val="none"/>
        </w:rPr>
        <w:t>）施工图预算超过初步设计概算；单个合同段因设计原因变更引起的工程费用调整累计超过该合同段合同价的</w:t>
      </w:r>
      <w:r>
        <w:rPr>
          <w:rFonts w:ascii="Times New Roman" w:hAnsi="Times New Roman" w:eastAsia="Times New Roman" w:cs="Times New Roman"/>
          <w:color w:val="auto"/>
          <w:spacing w:val="0"/>
          <w:w w:val="100"/>
          <w:position w:val="0"/>
          <w:sz w:val="21"/>
          <w:szCs w:val="21"/>
          <w:highlight w:val="none"/>
          <w:u w:val="single" w:color="auto"/>
        </w:rPr>
        <w:t xml:space="preserve"> 10</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w:t>
      </w:r>
    </w:p>
    <w:p w14:paraId="31084C4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14.1.2 </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发生违约情况时，发包人有权向</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课以违约金，具体约定如下：</w:t>
      </w:r>
    </w:p>
    <w:p w14:paraId="0B71C6D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）咨询人将设计咨询及地勘监理任务转包，或者未经发包人同意私自分包，发包人有权解除合同；</w:t>
      </w:r>
    </w:p>
    <w:p w14:paraId="35235D49">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）咨询人未能按期提交设计咨询及地勘监理报告</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发包人同意延长期限的除外</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，计扣</w:t>
      </w:r>
      <w:r>
        <w:rPr>
          <w:rFonts w:ascii="Times New Roman" w:hAnsi="Times New Roman" w:eastAsia="Times New Roman" w:cs="Times New Roman"/>
          <w:color w:val="auto"/>
          <w:spacing w:val="0"/>
          <w:w w:val="100"/>
          <w:position w:val="0"/>
          <w:sz w:val="21"/>
          <w:szCs w:val="21"/>
          <w:highlight w:val="none"/>
        </w:rPr>
        <w:t xml:space="preserve">1000 </w:t>
      </w:r>
      <w:r>
        <w:rPr>
          <w:rFonts w:ascii="宋体" w:hAnsi="宋体" w:eastAsia="宋体" w:cs="宋体"/>
          <w:color w:val="auto"/>
          <w:spacing w:val="0"/>
          <w:w w:val="100"/>
          <w:position w:val="0"/>
          <w:sz w:val="21"/>
          <w:szCs w:val="21"/>
          <w:highlight w:val="none"/>
        </w:rPr>
        <w:t>元</w:t>
      </w:r>
      <w:r>
        <w:rPr>
          <w:rFonts w:ascii="Times New Roman" w:hAnsi="Times New Roman" w:eastAsia="Times New Roman" w:cs="Times New Roman"/>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rPr>
        <w:t>天的违约金；</w:t>
      </w:r>
    </w:p>
    <w:p w14:paraId="2E7D3545">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）因设计咨询及地勘监理内容不全、深度不够等原因而未通过上级主管单位的审查时，业主有权中止设计咨询合同，取消咨询人履行下阶段工作的资格，并可按合同价的</w:t>
      </w:r>
      <w:r>
        <w:rPr>
          <w:rFonts w:ascii="Times New Roman" w:hAnsi="Times New Roman" w:eastAsia="Times New Roman" w:cs="Times New Roman"/>
          <w:color w:val="auto"/>
          <w:spacing w:val="0"/>
          <w:w w:val="100"/>
          <w:position w:val="0"/>
          <w:sz w:val="21"/>
          <w:szCs w:val="21"/>
          <w:highlight w:val="none"/>
        </w:rPr>
        <w:t xml:space="preserve">10% </w:t>
      </w:r>
      <w:r>
        <w:rPr>
          <w:rFonts w:ascii="宋体" w:hAnsi="宋体" w:eastAsia="宋体" w:cs="宋体"/>
          <w:color w:val="auto"/>
          <w:spacing w:val="0"/>
          <w:w w:val="100"/>
          <w:position w:val="0"/>
          <w:sz w:val="21"/>
          <w:szCs w:val="21"/>
          <w:highlight w:val="none"/>
        </w:rPr>
        <w:t>计扣咨询人的违约金。</w:t>
      </w:r>
    </w:p>
    <w:p w14:paraId="7BF61973">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w:t>
      </w: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）在设计咨询过程中，如果</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未能按照业主要求提供相应设计咨询成果文件的，每延期</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天，业主将按合同价的</w:t>
      </w:r>
      <w:r>
        <w:rPr>
          <w:rFonts w:ascii="Times New Roman" w:hAnsi="Times New Roman" w:eastAsia="Times New Roman" w:cs="Times New Roman"/>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rPr>
        <w:t>计扣</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的违约金。</w:t>
      </w:r>
    </w:p>
    <w:p w14:paraId="05D22E57">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 xml:space="preserve">14.2 </w:t>
      </w:r>
      <w:r>
        <w:rPr>
          <w:rFonts w:ascii="宋体" w:hAnsi="宋体" w:eastAsia="宋体" w:cs="宋体"/>
          <w:b/>
          <w:bCs/>
          <w:color w:val="auto"/>
          <w:spacing w:val="0"/>
          <w:w w:val="100"/>
          <w:position w:val="0"/>
          <w:sz w:val="24"/>
          <w:szCs w:val="24"/>
          <w:highlight w:val="none"/>
        </w:rPr>
        <w:t>发包人违约</w:t>
      </w:r>
    </w:p>
    <w:p w14:paraId="6E09EB61">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 xml:space="preserve">14.2.3 </w:t>
      </w:r>
      <w:r>
        <w:rPr>
          <w:rFonts w:ascii="宋体" w:hAnsi="宋体" w:eastAsia="宋体" w:cs="宋体"/>
          <w:color w:val="auto"/>
          <w:spacing w:val="0"/>
          <w:w w:val="100"/>
          <w:position w:val="0"/>
          <w:sz w:val="21"/>
          <w:szCs w:val="21"/>
          <w:highlight w:val="none"/>
        </w:rPr>
        <w:t>在合同履行期间，发包人要求终止或解除合同的（但并非</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原因造成），发包人按</w:t>
      </w:r>
      <w:r>
        <w:rPr>
          <w:rFonts w:hint="eastAsia" w:ascii="宋体" w:hAnsi="宋体" w:eastAsia="宋体" w:cs="宋体"/>
          <w:color w:val="auto"/>
          <w:spacing w:val="0"/>
          <w:w w:val="100"/>
          <w:position w:val="0"/>
          <w:sz w:val="21"/>
          <w:szCs w:val="21"/>
          <w:highlight w:val="none"/>
          <w:lang w:eastAsia="zh-CN"/>
        </w:rPr>
        <w:t>咨询人</w:t>
      </w:r>
      <w:r>
        <w:rPr>
          <w:rFonts w:ascii="宋体" w:hAnsi="宋体" w:eastAsia="宋体" w:cs="宋体"/>
          <w:color w:val="auto"/>
          <w:spacing w:val="0"/>
          <w:w w:val="100"/>
          <w:position w:val="0"/>
          <w:sz w:val="21"/>
          <w:szCs w:val="21"/>
          <w:highlight w:val="none"/>
        </w:rPr>
        <w:t>完成的实际工作量支付费用。</w:t>
      </w:r>
    </w:p>
    <w:p w14:paraId="2E71FA5E">
      <w:pPr>
        <w:pStyle w:val="6"/>
        <w:keepNext w:val="0"/>
        <w:keepLines w:val="0"/>
        <w:pageBreakBefore w:val="0"/>
        <w:widowControl/>
        <w:kinsoku w:val="0"/>
        <w:wordWrap/>
        <w:overflowPunct/>
        <w:topLinePunct w:val="0"/>
        <w:autoSpaceDE w:val="0"/>
        <w:autoSpaceDN w:val="0"/>
        <w:bidi w:val="0"/>
        <w:adjustRightInd w:val="0"/>
        <w:snapToGrid w:val="0"/>
        <w:spacing w:line="500" w:lineRule="exact"/>
        <w:ind w:right="0"/>
        <w:textAlignment w:val="baseline"/>
        <w:rPr>
          <w:color w:val="auto"/>
          <w:spacing w:val="0"/>
          <w:w w:val="100"/>
          <w:position w:val="0"/>
          <w:sz w:val="28"/>
          <w:szCs w:val="28"/>
          <w:highlight w:val="none"/>
        </w:rPr>
      </w:pPr>
      <w:r>
        <w:rPr>
          <w:rFonts w:ascii="Times New Roman" w:hAnsi="Times New Roman" w:eastAsia="Times New Roman" w:cs="Times New Roman"/>
          <w:b/>
          <w:bCs/>
          <w:color w:val="auto"/>
          <w:spacing w:val="0"/>
          <w:w w:val="100"/>
          <w:position w:val="0"/>
          <w:sz w:val="28"/>
          <w:szCs w:val="28"/>
          <w:highlight w:val="none"/>
        </w:rPr>
        <w:t>15.</w:t>
      </w:r>
      <w:r>
        <w:rPr>
          <w:b/>
          <w:bCs/>
          <w:color w:val="auto"/>
          <w:spacing w:val="0"/>
          <w:w w:val="100"/>
          <w:position w:val="0"/>
          <w:sz w:val="28"/>
          <w:szCs w:val="28"/>
          <w:highlight w:val="none"/>
        </w:rPr>
        <w:t>争议的解决</w:t>
      </w:r>
    </w:p>
    <w:p w14:paraId="4FE4D68A">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hint="eastAsia"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15.1</w:t>
      </w:r>
      <w:r>
        <w:rPr>
          <w:rFonts w:hint="eastAsia" w:ascii="宋体" w:hAnsi="宋体" w:eastAsia="宋体" w:cs="宋体"/>
          <w:color w:val="auto"/>
          <w:spacing w:val="0"/>
          <w:w w:val="100"/>
          <w:position w:val="0"/>
          <w:sz w:val="21"/>
          <w:szCs w:val="21"/>
          <w:highlight w:val="none"/>
        </w:rPr>
        <w:t xml:space="preserve"> 争议的最终解决方式：</w:t>
      </w:r>
      <w:r>
        <w:rPr>
          <w:rFonts w:hint="eastAsia" w:ascii="宋体" w:hAnsi="宋体" w:eastAsia="宋体" w:cs="宋体"/>
          <w:color w:val="auto"/>
          <w:spacing w:val="0"/>
          <w:w w:val="100"/>
          <w:position w:val="0"/>
          <w:sz w:val="21"/>
          <w:szCs w:val="21"/>
          <w:highlight w:val="none"/>
          <w:u w:val="single" w:color="auto"/>
        </w:rPr>
        <w:t xml:space="preserve">  诉讼  </w:t>
      </w:r>
    </w:p>
    <w:p w14:paraId="35B0C5C6">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如采用仲裁，仲裁机构名称：</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u w:val="single" w:color="auto"/>
          <w:lang w:eastAsia="zh-CN"/>
        </w:rPr>
        <w:t>滁州</w:t>
      </w:r>
      <w:r>
        <w:rPr>
          <w:rFonts w:hint="eastAsia" w:ascii="宋体" w:hAnsi="宋体" w:eastAsia="宋体" w:cs="宋体"/>
          <w:color w:val="auto"/>
          <w:spacing w:val="0"/>
          <w:w w:val="100"/>
          <w:position w:val="0"/>
          <w:sz w:val="21"/>
          <w:szCs w:val="21"/>
          <w:highlight w:val="none"/>
          <w:u w:val="single" w:color="auto"/>
        </w:rPr>
        <w:t xml:space="preserve"> </w:t>
      </w:r>
      <w:r>
        <w:rPr>
          <w:rFonts w:hint="eastAsia" w:ascii="宋体" w:hAnsi="宋体" w:eastAsia="宋体" w:cs="宋体"/>
          <w:color w:val="auto"/>
          <w:spacing w:val="0"/>
          <w:w w:val="100"/>
          <w:position w:val="0"/>
          <w:sz w:val="21"/>
          <w:szCs w:val="21"/>
          <w:highlight w:val="none"/>
        </w:rPr>
        <w:t>仲裁委员会。</w:t>
      </w:r>
    </w:p>
    <w:p w14:paraId="33719DD7">
      <w:pPr>
        <w:keepNext w:val="0"/>
        <w:keepLines w:val="0"/>
        <w:pageBreakBefore w:val="0"/>
        <w:widowControl/>
        <w:kinsoku w:val="0"/>
        <w:wordWrap/>
        <w:overflowPunct/>
        <w:topLinePunct w:val="0"/>
        <w:autoSpaceDE w:val="0"/>
        <w:autoSpaceDN w:val="0"/>
        <w:bidi w:val="0"/>
        <w:adjustRightInd w:val="0"/>
        <w:snapToGrid w:val="0"/>
        <w:spacing w:line="500" w:lineRule="exact"/>
        <w:ind w:firstLine="420" w:firstLineChars="200"/>
        <w:textAlignment w:val="baseline"/>
        <w:rPr>
          <w:color w:val="auto"/>
          <w:highlight w:val="none"/>
        </w:rPr>
      </w:pPr>
      <w:r>
        <w:rPr>
          <w:rFonts w:hint="eastAsia" w:ascii="宋体" w:hAnsi="宋体" w:eastAsia="宋体" w:cs="宋体"/>
          <w:color w:val="auto"/>
          <w:spacing w:val="0"/>
          <w:w w:val="100"/>
          <w:position w:val="0"/>
          <w:sz w:val="21"/>
          <w:szCs w:val="21"/>
          <w:highlight w:val="none"/>
        </w:rPr>
        <w:t>如采用诉讼，诉讼机构名称：</w:t>
      </w:r>
      <w:r>
        <w:rPr>
          <w:rFonts w:hint="eastAsia" w:ascii="宋体" w:hAnsi="宋体" w:eastAsia="宋体" w:cs="宋体"/>
          <w:color w:val="auto"/>
          <w:spacing w:val="0"/>
          <w:w w:val="100"/>
          <w:position w:val="0"/>
          <w:sz w:val="21"/>
          <w:szCs w:val="21"/>
          <w:highlight w:val="none"/>
          <w:u w:val="single" w:color="auto"/>
        </w:rPr>
        <w:t xml:space="preserve">  发包人所在地   </w:t>
      </w:r>
      <w:r>
        <w:rPr>
          <w:rFonts w:hint="eastAsia" w:ascii="宋体" w:hAnsi="宋体" w:eastAsia="宋体" w:cs="宋体"/>
          <w:color w:val="auto"/>
          <w:spacing w:val="0"/>
          <w:w w:val="100"/>
          <w:position w:val="0"/>
          <w:sz w:val="21"/>
          <w:szCs w:val="21"/>
          <w:highlight w:val="none"/>
        </w:rPr>
        <w:t>法院。</w:t>
      </w:r>
    </w:p>
    <w:p w14:paraId="4F325B2E">
      <w:pPr>
        <w:keepNext w:val="0"/>
        <w:keepLines w:val="0"/>
        <w:pageBreakBefore w:val="0"/>
        <w:widowControl/>
        <w:kinsoku w:val="0"/>
        <w:wordWrap/>
        <w:overflowPunct/>
        <w:topLinePunct w:val="0"/>
        <w:autoSpaceDE w:val="0"/>
        <w:autoSpaceDN w:val="0"/>
        <w:bidi w:val="0"/>
        <w:adjustRightInd w:val="0"/>
        <w:snapToGrid w:val="0"/>
        <w:spacing w:line="500" w:lineRule="exact"/>
        <w:ind w:left="0" w:right="0" w:firstLine="420" w:firstLineChars="200"/>
        <w:textAlignment w:val="baseline"/>
        <w:rPr>
          <w:rFonts w:hint="eastAsia" w:ascii="宋体" w:hAnsi="宋体" w:eastAsia="宋体" w:cs="宋体"/>
          <w:color w:val="auto"/>
          <w:spacing w:val="0"/>
          <w:w w:val="100"/>
          <w:position w:val="0"/>
          <w:sz w:val="21"/>
          <w:szCs w:val="21"/>
          <w:highlight w:val="none"/>
        </w:rPr>
      </w:pPr>
    </w:p>
    <w:p w14:paraId="7410026A">
      <w:pPr>
        <w:spacing w:line="220" w:lineRule="auto"/>
        <w:rPr>
          <w:rFonts w:ascii="宋体" w:hAnsi="宋体" w:eastAsia="宋体" w:cs="宋体"/>
          <w:color w:val="auto"/>
          <w:spacing w:val="0"/>
          <w:w w:val="100"/>
          <w:position w:val="0"/>
          <w:sz w:val="21"/>
          <w:szCs w:val="21"/>
          <w:highlight w:val="none"/>
        </w:rPr>
        <w:sectPr>
          <w:headerReference r:id="rId37" w:type="default"/>
          <w:footerReference r:id="rId38" w:type="default"/>
          <w:pgSz w:w="11900" w:h="16843"/>
          <w:pgMar w:top="1378" w:right="1417" w:bottom="1208" w:left="1417" w:header="1366" w:footer="1003" w:gutter="0"/>
          <w:pgNumType w:fmt="decimal"/>
          <w:cols w:space="0" w:num="1"/>
          <w:rtlGutter w:val="0"/>
          <w:docGrid w:linePitch="0" w:charSpace="0"/>
        </w:sectPr>
      </w:pPr>
    </w:p>
    <w:p w14:paraId="4A879C8B">
      <w:pPr>
        <w:spacing w:line="275" w:lineRule="auto"/>
        <w:rPr>
          <w:rFonts w:ascii="Arial"/>
          <w:color w:val="auto"/>
          <w:spacing w:val="0"/>
          <w:w w:val="100"/>
          <w:position w:val="0"/>
          <w:sz w:val="21"/>
          <w:highlight w:val="none"/>
        </w:rPr>
      </w:pPr>
    </w:p>
    <w:p w14:paraId="09D3C555">
      <w:pPr>
        <w:spacing w:line="276" w:lineRule="auto"/>
        <w:rPr>
          <w:rFonts w:ascii="Arial"/>
          <w:color w:val="auto"/>
          <w:spacing w:val="0"/>
          <w:w w:val="100"/>
          <w:position w:val="0"/>
          <w:sz w:val="21"/>
          <w:highlight w:val="none"/>
        </w:rPr>
      </w:pPr>
    </w:p>
    <w:p w14:paraId="5BE185C7">
      <w:pPr>
        <w:spacing w:line="276" w:lineRule="auto"/>
        <w:rPr>
          <w:rFonts w:ascii="Arial"/>
          <w:color w:val="auto"/>
          <w:spacing w:val="0"/>
          <w:w w:val="100"/>
          <w:position w:val="0"/>
          <w:sz w:val="21"/>
          <w:highlight w:val="none"/>
        </w:rPr>
      </w:pPr>
    </w:p>
    <w:p w14:paraId="5BE78697">
      <w:pPr>
        <w:spacing w:line="276" w:lineRule="auto"/>
        <w:rPr>
          <w:rFonts w:ascii="Arial"/>
          <w:color w:val="auto"/>
          <w:spacing w:val="0"/>
          <w:w w:val="100"/>
          <w:position w:val="0"/>
          <w:sz w:val="21"/>
          <w:highlight w:val="none"/>
        </w:rPr>
      </w:pPr>
    </w:p>
    <w:p w14:paraId="1C6D99F9">
      <w:pPr>
        <w:spacing w:line="276" w:lineRule="auto"/>
        <w:rPr>
          <w:rFonts w:ascii="Arial"/>
          <w:color w:val="auto"/>
          <w:spacing w:val="0"/>
          <w:w w:val="100"/>
          <w:position w:val="0"/>
          <w:sz w:val="21"/>
          <w:highlight w:val="none"/>
        </w:rPr>
      </w:pPr>
    </w:p>
    <w:p w14:paraId="148E7827">
      <w:pPr>
        <w:pStyle w:val="6"/>
        <w:spacing w:before="100" w:line="224" w:lineRule="auto"/>
        <w:ind w:left="2588"/>
        <w:outlineLvl w:val="1"/>
        <w:rPr>
          <w:color w:val="auto"/>
          <w:spacing w:val="0"/>
          <w:w w:val="100"/>
          <w:position w:val="0"/>
          <w:highlight w:val="none"/>
        </w:rPr>
      </w:pPr>
      <w:bookmarkStart w:id="23" w:name="bookmark25"/>
      <w:bookmarkEnd w:id="23"/>
      <w:r>
        <w:rPr>
          <w:b/>
          <w:bCs/>
          <w:color w:val="auto"/>
          <w:spacing w:val="0"/>
          <w:w w:val="100"/>
          <w:position w:val="0"/>
          <w:highlight w:val="none"/>
        </w:rPr>
        <w:t>第三节</w:t>
      </w:r>
      <w:r>
        <w:rPr>
          <w:color w:val="auto"/>
          <w:spacing w:val="0"/>
          <w:w w:val="100"/>
          <w:position w:val="0"/>
          <w:highlight w:val="none"/>
        </w:rPr>
        <w:t xml:space="preserve">  </w:t>
      </w:r>
      <w:r>
        <w:rPr>
          <w:b/>
          <w:bCs/>
          <w:color w:val="auto"/>
          <w:spacing w:val="0"/>
          <w:w w:val="100"/>
          <w:position w:val="0"/>
          <w:highlight w:val="none"/>
        </w:rPr>
        <w:t>合同附件格式</w:t>
      </w:r>
    </w:p>
    <w:p w14:paraId="1DC25CB1">
      <w:pPr>
        <w:spacing w:line="224" w:lineRule="auto"/>
        <w:rPr>
          <w:color w:val="auto"/>
          <w:spacing w:val="0"/>
          <w:w w:val="100"/>
          <w:position w:val="0"/>
          <w:highlight w:val="none"/>
        </w:rPr>
        <w:sectPr>
          <w:headerReference r:id="rId39" w:type="default"/>
          <w:footerReference r:id="rId40" w:type="default"/>
          <w:pgSz w:w="11900" w:h="16843"/>
          <w:pgMar w:top="1378" w:right="1417" w:bottom="1208" w:left="1417" w:header="1366" w:footer="1003" w:gutter="0"/>
          <w:pgNumType w:fmt="decimal"/>
          <w:cols w:space="0" w:num="1"/>
          <w:rtlGutter w:val="0"/>
          <w:docGrid w:linePitch="0" w:charSpace="0"/>
        </w:sectPr>
      </w:pPr>
    </w:p>
    <w:p w14:paraId="1C260F6F">
      <w:pPr>
        <w:pStyle w:val="6"/>
        <w:spacing w:before="91" w:line="219" w:lineRule="auto"/>
        <w:ind w:left="55"/>
        <w:outlineLvl w:val="3"/>
        <w:rPr>
          <w:color w:val="auto"/>
          <w:spacing w:val="0"/>
          <w:w w:val="100"/>
          <w:position w:val="0"/>
          <w:sz w:val="28"/>
          <w:szCs w:val="28"/>
          <w:highlight w:val="none"/>
        </w:rPr>
      </w:pPr>
      <w:r>
        <w:rPr>
          <w:b/>
          <w:bCs/>
          <w:color w:val="auto"/>
          <w:spacing w:val="0"/>
          <w:w w:val="100"/>
          <w:position w:val="0"/>
          <w:sz w:val="28"/>
          <w:szCs w:val="28"/>
          <w:highlight w:val="none"/>
        </w:rPr>
        <w:t>附件一</w:t>
      </w:r>
      <w:r>
        <w:rPr>
          <w:color w:val="auto"/>
          <w:spacing w:val="0"/>
          <w:w w:val="100"/>
          <w:position w:val="0"/>
          <w:sz w:val="28"/>
          <w:szCs w:val="28"/>
          <w:highlight w:val="none"/>
        </w:rPr>
        <w:t xml:space="preserve">  </w:t>
      </w:r>
      <w:r>
        <w:rPr>
          <w:b/>
          <w:bCs/>
          <w:color w:val="auto"/>
          <w:spacing w:val="0"/>
          <w:w w:val="100"/>
          <w:position w:val="0"/>
          <w:sz w:val="28"/>
          <w:szCs w:val="28"/>
          <w:highlight w:val="none"/>
        </w:rPr>
        <w:t>合同协议书</w:t>
      </w:r>
    </w:p>
    <w:p w14:paraId="7FF6B5A7">
      <w:pPr>
        <w:pStyle w:val="6"/>
        <w:spacing w:before="338" w:line="224" w:lineRule="auto"/>
        <w:ind w:left="3381"/>
        <w:rPr>
          <w:color w:val="auto"/>
          <w:spacing w:val="0"/>
          <w:w w:val="100"/>
          <w:position w:val="0"/>
          <w:highlight w:val="none"/>
        </w:rPr>
      </w:pPr>
      <w:r>
        <w:rPr>
          <w:b/>
          <w:bCs/>
          <w:color w:val="auto"/>
          <w:spacing w:val="0"/>
          <w:w w:val="100"/>
          <w:position w:val="0"/>
          <w:highlight w:val="none"/>
        </w:rPr>
        <w:t>合同协议书</w:t>
      </w:r>
    </w:p>
    <w:p w14:paraId="0FA16435">
      <w:pPr>
        <w:spacing w:line="272" w:lineRule="auto"/>
        <w:rPr>
          <w:rFonts w:ascii="Arial"/>
          <w:color w:val="auto"/>
          <w:spacing w:val="0"/>
          <w:w w:val="100"/>
          <w:position w:val="0"/>
          <w:sz w:val="21"/>
          <w:highlight w:val="none"/>
        </w:rPr>
      </w:pPr>
    </w:p>
    <w:p w14:paraId="1546AE25">
      <w:pPr>
        <w:keepNext w:val="0"/>
        <w:keepLines w:val="0"/>
        <w:pageBreakBefore w:val="0"/>
        <w:widowControl/>
        <w:kinsoku w:val="0"/>
        <w:wordWrap/>
        <w:overflowPunct/>
        <w:topLinePunct w:val="0"/>
        <w:autoSpaceDE w:val="0"/>
        <w:autoSpaceDN w:val="0"/>
        <w:bidi w:val="0"/>
        <w:adjustRightInd w:val="0"/>
        <w:snapToGrid w:val="0"/>
        <w:spacing w:line="440" w:lineRule="exact"/>
        <w:ind w:left="37" w:right="40" w:firstLine="487"/>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 xml:space="preserve">（发包人名称，以下简称“发包人 ”）为实施 </w:t>
      </w: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 xml:space="preserve">（项目名称），已接受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（设计人名称，以下简称“设计人 ”）对该项目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标段勘察设计的投标。发包人和设计人共同达成如下协议。</w:t>
      </w:r>
    </w:p>
    <w:p w14:paraId="3EB29162">
      <w:pPr>
        <w:keepNext w:val="0"/>
        <w:keepLines w:val="0"/>
        <w:pageBreakBefore w:val="0"/>
        <w:widowControl/>
        <w:kinsoku w:val="0"/>
        <w:wordWrap/>
        <w:overflowPunct/>
        <w:topLinePunct w:val="0"/>
        <w:autoSpaceDE w:val="0"/>
        <w:autoSpaceDN w:val="0"/>
        <w:bidi w:val="0"/>
        <w:adjustRightInd w:val="0"/>
        <w:snapToGrid w:val="0"/>
        <w:spacing w:line="440" w:lineRule="exact"/>
        <w:ind w:left="38" w:right="49" w:firstLine="49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第</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标段由 </w:t>
      </w:r>
      <w:r>
        <w:rPr>
          <w:rFonts w:ascii="Times New Roman" w:hAnsi="Times New Roman" w:eastAsia="Times New Roman" w:cs="Times New Roman"/>
          <w:color w:val="auto"/>
          <w:spacing w:val="0"/>
          <w:w w:val="100"/>
          <w:position w:val="0"/>
          <w:sz w:val="24"/>
          <w:szCs w:val="24"/>
          <w:highlight w:val="none"/>
        </w:rPr>
        <w:t>K</w:t>
      </w:r>
      <w:r>
        <w:rPr>
          <w:rFonts w:ascii="Times New Roman" w:hAnsi="Times New Roman" w:eastAsia="Times New Roman" w:cs="Times New Roman"/>
          <w:color w:val="auto"/>
          <w:spacing w:val="0"/>
          <w:w w:val="100"/>
          <w:position w:val="0"/>
          <w:sz w:val="24"/>
          <w:szCs w:val="24"/>
          <w:highlight w:val="none"/>
          <w:u w:val="single" w:color="auto"/>
        </w:rPr>
        <w:t xml:space="preserve">      </w:t>
      </w:r>
      <w:r>
        <w:rPr>
          <w:rFonts w:ascii="Times New Roman" w:hAnsi="Times New Roman" w:eastAsia="Times New Roman" w:cs="Times New Roman"/>
          <w:color w:val="auto"/>
          <w:spacing w:val="0"/>
          <w:w w:val="100"/>
          <w:position w:val="0"/>
          <w:sz w:val="24"/>
          <w:szCs w:val="24"/>
          <w:highlight w:val="none"/>
        </w:rPr>
        <w:t xml:space="preserve"> +</w:t>
      </w:r>
      <w:r>
        <w:rPr>
          <w:rFonts w:ascii="Times New Roman" w:hAnsi="Times New Roman" w:eastAsia="Times New Roman" w:cs="Times New Roman"/>
          <w:color w:val="auto"/>
          <w:spacing w:val="0"/>
          <w:w w:val="100"/>
          <w:position w:val="0"/>
          <w:sz w:val="24"/>
          <w:szCs w:val="24"/>
          <w:highlight w:val="none"/>
          <w:u w:val="single" w:color="auto"/>
        </w:rPr>
        <w:t xml:space="preserve">      </w:t>
      </w:r>
      <w:r>
        <w:rPr>
          <w:rFonts w:ascii="Times New Roman" w:hAnsi="Times New Roman" w:eastAsia="Times New Roman" w:cs="Times New Roman"/>
          <w:color w:val="auto"/>
          <w:spacing w:val="0"/>
          <w:w w:val="100"/>
          <w:position w:val="0"/>
          <w:sz w:val="24"/>
          <w:szCs w:val="24"/>
          <w:highlight w:val="none"/>
        </w:rPr>
        <w:t xml:space="preserve"> </w:t>
      </w:r>
      <w:r>
        <w:rPr>
          <w:rFonts w:ascii="宋体" w:hAnsi="宋体" w:eastAsia="宋体" w:cs="宋体"/>
          <w:color w:val="auto"/>
          <w:spacing w:val="0"/>
          <w:w w:val="100"/>
          <w:position w:val="0"/>
          <w:sz w:val="24"/>
          <w:szCs w:val="24"/>
          <w:highlight w:val="none"/>
        </w:rPr>
        <w:t xml:space="preserve">至 </w:t>
      </w:r>
      <w:r>
        <w:rPr>
          <w:rFonts w:ascii="Times New Roman" w:hAnsi="Times New Roman" w:eastAsia="Times New Roman" w:cs="Times New Roman"/>
          <w:color w:val="auto"/>
          <w:spacing w:val="0"/>
          <w:w w:val="100"/>
          <w:position w:val="0"/>
          <w:sz w:val="24"/>
          <w:szCs w:val="24"/>
          <w:highlight w:val="none"/>
        </w:rPr>
        <w:t>K</w:t>
      </w:r>
      <w:r>
        <w:rPr>
          <w:rFonts w:ascii="Times New Roman" w:hAnsi="Times New Roman" w:eastAsia="Times New Roman" w:cs="Times New Roman"/>
          <w:color w:val="auto"/>
          <w:spacing w:val="0"/>
          <w:w w:val="100"/>
          <w:position w:val="0"/>
          <w:sz w:val="24"/>
          <w:szCs w:val="24"/>
          <w:highlight w:val="none"/>
          <w:u w:val="single" w:color="auto"/>
        </w:rPr>
        <w:t xml:space="preserve">      </w:t>
      </w:r>
      <w:r>
        <w:rPr>
          <w:rFonts w:ascii="Times New Roman" w:hAnsi="Times New Roman" w:eastAsia="Times New Roman" w:cs="Times New Roman"/>
          <w:color w:val="auto"/>
          <w:spacing w:val="0"/>
          <w:w w:val="100"/>
          <w:position w:val="0"/>
          <w:sz w:val="24"/>
          <w:szCs w:val="24"/>
          <w:highlight w:val="none"/>
        </w:rPr>
        <w:t xml:space="preserve"> +</w:t>
      </w:r>
      <w:r>
        <w:rPr>
          <w:rFonts w:ascii="Times New Roman" w:hAnsi="Times New Roman" w:eastAsia="Times New Roman" w:cs="Times New Roman"/>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，长约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w:t>
      </w:r>
      <w:r>
        <w:rPr>
          <w:rFonts w:ascii="Times New Roman" w:hAnsi="Times New Roman" w:eastAsia="Times New Roman" w:cs="Times New Roman"/>
          <w:color w:val="auto"/>
          <w:spacing w:val="0"/>
          <w:w w:val="100"/>
          <w:position w:val="0"/>
          <w:sz w:val="24"/>
          <w:szCs w:val="24"/>
          <w:highlight w:val="none"/>
        </w:rPr>
        <w:t>km</w:t>
      </w:r>
      <w:r>
        <w:rPr>
          <w:rFonts w:ascii="宋体" w:hAnsi="宋体" w:eastAsia="宋体" w:cs="宋体"/>
          <w:color w:val="auto"/>
          <w:spacing w:val="0"/>
          <w:w w:val="100"/>
          <w:position w:val="0"/>
          <w:sz w:val="24"/>
          <w:szCs w:val="24"/>
          <w:highlight w:val="none"/>
        </w:rPr>
        <w:t xml:space="preserve">，公路等级为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，设计速度为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路面，有</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立交</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处；特大桥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座，计长</w:t>
      </w:r>
      <w:r>
        <w:rPr>
          <w:rFonts w:ascii="宋体" w:hAnsi="宋体" w:eastAsia="宋体" w:cs="宋体"/>
          <w:color w:val="auto"/>
          <w:spacing w:val="0"/>
          <w:w w:val="100"/>
          <w:position w:val="0"/>
          <w:sz w:val="24"/>
          <w:szCs w:val="24"/>
          <w:highlight w:val="none"/>
          <w:u w:val="single" w:color="auto"/>
        </w:rPr>
        <w:t xml:space="preserve">    </w:t>
      </w:r>
      <w:r>
        <w:rPr>
          <w:rFonts w:ascii="Times New Roman" w:hAnsi="Times New Roman" w:eastAsia="Times New Roman" w:cs="Times New Roman"/>
          <w:color w:val="auto"/>
          <w:spacing w:val="0"/>
          <w:w w:val="100"/>
          <w:position w:val="0"/>
          <w:sz w:val="24"/>
          <w:szCs w:val="24"/>
          <w:highlight w:val="none"/>
        </w:rPr>
        <w:t>m</w:t>
      </w:r>
      <w:r>
        <w:rPr>
          <w:rFonts w:ascii="宋体" w:hAnsi="宋体" w:eastAsia="宋体" w:cs="宋体"/>
          <w:color w:val="auto"/>
          <w:spacing w:val="0"/>
          <w:w w:val="100"/>
          <w:position w:val="0"/>
          <w:sz w:val="24"/>
          <w:szCs w:val="24"/>
          <w:highlight w:val="none"/>
        </w:rPr>
        <w:t>；大中桥</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座，计长</w:t>
      </w:r>
      <w:r>
        <w:rPr>
          <w:rFonts w:ascii="宋体" w:hAnsi="宋体" w:eastAsia="宋体" w:cs="宋体"/>
          <w:color w:val="auto"/>
          <w:spacing w:val="0"/>
          <w:w w:val="100"/>
          <w:position w:val="0"/>
          <w:sz w:val="24"/>
          <w:szCs w:val="24"/>
          <w:highlight w:val="none"/>
          <w:u w:val="single" w:color="auto"/>
        </w:rPr>
        <w:t xml:space="preserve">    </w:t>
      </w:r>
      <w:r>
        <w:rPr>
          <w:rFonts w:ascii="Times New Roman" w:hAnsi="Times New Roman" w:eastAsia="Times New Roman" w:cs="Times New Roman"/>
          <w:color w:val="auto"/>
          <w:spacing w:val="0"/>
          <w:w w:val="100"/>
          <w:position w:val="0"/>
          <w:sz w:val="24"/>
          <w:szCs w:val="24"/>
          <w:highlight w:val="none"/>
        </w:rPr>
        <w:t>m</w:t>
      </w:r>
      <w:r>
        <w:rPr>
          <w:rFonts w:ascii="宋体" w:hAnsi="宋体" w:eastAsia="宋体" w:cs="宋体"/>
          <w:color w:val="auto"/>
          <w:spacing w:val="0"/>
          <w:w w:val="100"/>
          <w:position w:val="0"/>
          <w:sz w:val="24"/>
          <w:szCs w:val="24"/>
          <w:highlight w:val="none"/>
        </w:rPr>
        <w:t xml:space="preserve">；隧道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座，计长</w:t>
      </w:r>
      <w:r>
        <w:rPr>
          <w:rFonts w:ascii="宋体" w:hAnsi="宋体" w:eastAsia="宋体" w:cs="宋体"/>
          <w:color w:val="auto"/>
          <w:spacing w:val="0"/>
          <w:w w:val="100"/>
          <w:position w:val="0"/>
          <w:sz w:val="24"/>
          <w:szCs w:val="24"/>
          <w:highlight w:val="none"/>
          <w:u w:val="single" w:color="auto"/>
        </w:rPr>
        <w:t xml:space="preserve">    </w:t>
      </w:r>
      <w:r>
        <w:rPr>
          <w:rFonts w:ascii="Times New Roman" w:hAnsi="Times New Roman" w:eastAsia="Times New Roman" w:cs="Times New Roman"/>
          <w:color w:val="auto"/>
          <w:spacing w:val="0"/>
          <w:w w:val="100"/>
          <w:position w:val="0"/>
          <w:sz w:val="24"/>
          <w:szCs w:val="24"/>
          <w:highlight w:val="none"/>
        </w:rPr>
        <w:t xml:space="preserve">m </w:t>
      </w:r>
      <w:r>
        <w:rPr>
          <w:rFonts w:ascii="宋体" w:hAnsi="宋体" w:eastAsia="宋体" w:cs="宋体"/>
          <w:color w:val="auto"/>
          <w:spacing w:val="0"/>
          <w:w w:val="100"/>
          <w:position w:val="0"/>
          <w:sz w:val="24"/>
          <w:szCs w:val="24"/>
          <w:highlight w:val="none"/>
        </w:rPr>
        <w:t>以及其他构造物工程等。</w:t>
      </w:r>
    </w:p>
    <w:p w14:paraId="4DCD58BA">
      <w:pPr>
        <w:keepNext w:val="0"/>
        <w:keepLines w:val="0"/>
        <w:pageBreakBefore w:val="0"/>
        <w:widowControl/>
        <w:kinsoku w:val="0"/>
        <w:wordWrap/>
        <w:overflowPunct/>
        <w:topLinePunct w:val="0"/>
        <w:autoSpaceDE w:val="0"/>
        <w:autoSpaceDN w:val="0"/>
        <w:bidi w:val="0"/>
        <w:adjustRightInd w:val="0"/>
        <w:snapToGrid w:val="0"/>
        <w:spacing w:line="440" w:lineRule="exact"/>
        <w:ind w:left="51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下列文件应视为构成合同文件的组成部分：</w:t>
      </w:r>
    </w:p>
    <w:p w14:paraId="3A1CDDA3">
      <w:pPr>
        <w:keepNext w:val="0"/>
        <w:keepLines w:val="0"/>
        <w:pageBreakBefore w:val="0"/>
        <w:widowControl/>
        <w:kinsoku w:val="0"/>
        <w:wordWrap/>
        <w:overflowPunct/>
        <w:topLinePunct w:val="0"/>
        <w:autoSpaceDE w:val="0"/>
        <w:autoSpaceDN w:val="0"/>
        <w:bidi w:val="0"/>
        <w:adjustRightInd w:val="0"/>
        <w:snapToGrid w:val="0"/>
        <w:spacing w:line="440" w:lineRule="exact"/>
        <w:ind w:left="37" w:right="40" w:firstLine="487"/>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）本合同协议书及各种合同附件（含评标期间和合同谈判过程中的澄清文件和补充资料；设计人提交的经发包人审核通过的勘察设计详细工作大纲及进度计划、专题研究详细工作大纲等）；</w:t>
      </w:r>
    </w:p>
    <w:p w14:paraId="00452D8B">
      <w:pPr>
        <w:keepNext w:val="0"/>
        <w:keepLines w:val="0"/>
        <w:pageBreakBefore w:val="0"/>
        <w:widowControl/>
        <w:kinsoku w:val="0"/>
        <w:wordWrap/>
        <w:overflowPunct/>
        <w:topLinePunct w:val="0"/>
        <w:autoSpaceDE w:val="0"/>
        <w:autoSpaceDN w:val="0"/>
        <w:bidi w:val="0"/>
        <w:adjustRightInd w:val="0"/>
        <w:snapToGrid w:val="0"/>
        <w:spacing w:line="44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）中标通知书；</w:t>
      </w:r>
    </w:p>
    <w:p w14:paraId="7784F010">
      <w:pPr>
        <w:keepNext w:val="0"/>
        <w:keepLines w:val="0"/>
        <w:pageBreakBefore w:val="0"/>
        <w:widowControl/>
        <w:kinsoku w:val="0"/>
        <w:wordWrap/>
        <w:overflowPunct/>
        <w:topLinePunct w:val="0"/>
        <w:autoSpaceDE w:val="0"/>
        <w:autoSpaceDN w:val="0"/>
        <w:bidi w:val="0"/>
        <w:adjustRightInd w:val="0"/>
        <w:snapToGrid w:val="0"/>
        <w:spacing w:line="44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）投标函；</w:t>
      </w:r>
    </w:p>
    <w:p w14:paraId="236F53E3">
      <w:pPr>
        <w:keepNext w:val="0"/>
        <w:keepLines w:val="0"/>
        <w:pageBreakBefore w:val="0"/>
        <w:widowControl/>
        <w:kinsoku w:val="0"/>
        <w:wordWrap/>
        <w:overflowPunct/>
        <w:topLinePunct w:val="0"/>
        <w:autoSpaceDE w:val="0"/>
        <w:autoSpaceDN w:val="0"/>
        <w:bidi w:val="0"/>
        <w:adjustRightInd w:val="0"/>
        <w:snapToGrid w:val="0"/>
        <w:spacing w:line="44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）专用合同条款；</w:t>
      </w:r>
    </w:p>
    <w:p w14:paraId="7C44D642">
      <w:pPr>
        <w:keepNext w:val="0"/>
        <w:keepLines w:val="0"/>
        <w:pageBreakBefore w:val="0"/>
        <w:widowControl/>
        <w:kinsoku w:val="0"/>
        <w:wordWrap/>
        <w:overflowPunct/>
        <w:topLinePunct w:val="0"/>
        <w:autoSpaceDE w:val="0"/>
        <w:autoSpaceDN w:val="0"/>
        <w:bidi w:val="0"/>
        <w:adjustRightInd w:val="0"/>
        <w:snapToGrid w:val="0"/>
        <w:spacing w:line="44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5</w:t>
      </w:r>
      <w:r>
        <w:rPr>
          <w:rFonts w:ascii="宋体" w:hAnsi="宋体" w:eastAsia="宋体" w:cs="宋体"/>
          <w:color w:val="auto"/>
          <w:spacing w:val="0"/>
          <w:w w:val="100"/>
          <w:position w:val="0"/>
          <w:sz w:val="24"/>
          <w:szCs w:val="24"/>
          <w:highlight w:val="none"/>
        </w:rPr>
        <w:t>）通用合同条款；</w:t>
      </w:r>
    </w:p>
    <w:p w14:paraId="09D81973">
      <w:pPr>
        <w:keepNext w:val="0"/>
        <w:keepLines w:val="0"/>
        <w:pageBreakBefore w:val="0"/>
        <w:widowControl/>
        <w:kinsoku w:val="0"/>
        <w:wordWrap/>
        <w:overflowPunct/>
        <w:topLinePunct w:val="0"/>
        <w:autoSpaceDE w:val="0"/>
        <w:autoSpaceDN w:val="0"/>
        <w:bidi w:val="0"/>
        <w:adjustRightInd w:val="0"/>
        <w:snapToGrid w:val="0"/>
        <w:spacing w:line="44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6</w:t>
      </w:r>
      <w:r>
        <w:rPr>
          <w:rFonts w:ascii="宋体" w:hAnsi="宋体" w:eastAsia="宋体" w:cs="宋体"/>
          <w:color w:val="auto"/>
          <w:spacing w:val="0"/>
          <w:w w:val="100"/>
          <w:position w:val="0"/>
          <w:sz w:val="24"/>
          <w:szCs w:val="24"/>
          <w:highlight w:val="none"/>
        </w:rPr>
        <w:t>）发包人要求；</w:t>
      </w:r>
    </w:p>
    <w:p w14:paraId="6F97BC88">
      <w:pPr>
        <w:keepNext w:val="0"/>
        <w:keepLines w:val="0"/>
        <w:pageBreakBefore w:val="0"/>
        <w:widowControl/>
        <w:kinsoku w:val="0"/>
        <w:wordWrap/>
        <w:overflowPunct/>
        <w:topLinePunct w:val="0"/>
        <w:autoSpaceDE w:val="0"/>
        <w:autoSpaceDN w:val="0"/>
        <w:bidi w:val="0"/>
        <w:adjustRightInd w:val="0"/>
        <w:snapToGrid w:val="0"/>
        <w:spacing w:line="44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7</w:t>
      </w:r>
      <w:r>
        <w:rPr>
          <w:rFonts w:ascii="宋体" w:hAnsi="宋体" w:eastAsia="宋体" w:cs="宋体"/>
          <w:color w:val="auto"/>
          <w:spacing w:val="0"/>
          <w:w w:val="100"/>
          <w:position w:val="0"/>
          <w:sz w:val="24"/>
          <w:szCs w:val="24"/>
          <w:highlight w:val="none"/>
        </w:rPr>
        <w:t>）勘察设计费用清单；</w:t>
      </w:r>
    </w:p>
    <w:p w14:paraId="369199F8">
      <w:pPr>
        <w:keepNext w:val="0"/>
        <w:keepLines w:val="0"/>
        <w:pageBreakBefore w:val="0"/>
        <w:widowControl/>
        <w:kinsoku w:val="0"/>
        <w:wordWrap/>
        <w:overflowPunct/>
        <w:topLinePunct w:val="0"/>
        <w:autoSpaceDE w:val="0"/>
        <w:autoSpaceDN w:val="0"/>
        <w:bidi w:val="0"/>
        <w:adjustRightInd w:val="0"/>
        <w:snapToGrid w:val="0"/>
        <w:spacing w:line="44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8</w:t>
      </w:r>
      <w:r>
        <w:rPr>
          <w:rFonts w:ascii="宋体" w:hAnsi="宋体" w:eastAsia="宋体" w:cs="宋体"/>
          <w:color w:val="auto"/>
          <w:spacing w:val="0"/>
          <w:w w:val="100"/>
          <w:position w:val="0"/>
          <w:sz w:val="24"/>
          <w:szCs w:val="24"/>
          <w:highlight w:val="none"/>
        </w:rPr>
        <w:t>）设计人有关人员投入的承诺；</w:t>
      </w:r>
    </w:p>
    <w:p w14:paraId="20D627BD">
      <w:pPr>
        <w:keepNext w:val="0"/>
        <w:keepLines w:val="0"/>
        <w:pageBreakBefore w:val="0"/>
        <w:widowControl/>
        <w:kinsoku w:val="0"/>
        <w:wordWrap/>
        <w:overflowPunct/>
        <w:topLinePunct w:val="0"/>
        <w:autoSpaceDE w:val="0"/>
        <w:autoSpaceDN w:val="0"/>
        <w:bidi w:val="0"/>
        <w:adjustRightInd w:val="0"/>
        <w:snapToGrid w:val="0"/>
        <w:spacing w:line="44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9</w:t>
      </w:r>
      <w:r>
        <w:rPr>
          <w:rFonts w:ascii="宋体" w:hAnsi="宋体" w:eastAsia="宋体" w:cs="宋体"/>
          <w:color w:val="auto"/>
          <w:spacing w:val="0"/>
          <w:w w:val="100"/>
          <w:position w:val="0"/>
          <w:sz w:val="24"/>
          <w:szCs w:val="24"/>
          <w:highlight w:val="none"/>
        </w:rPr>
        <w:t>）其他合同文件。</w:t>
      </w:r>
    </w:p>
    <w:p w14:paraId="0A0B3A1F">
      <w:pPr>
        <w:keepNext w:val="0"/>
        <w:keepLines w:val="0"/>
        <w:pageBreakBefore w:val="0"/>
        <w:widowControl/>
        <w:kinsoku w:val="0"/>
        <w:wordWrap/>
        <w:overflowPunct/>
        <w:topLinePunct w:val="0"/>
        <w:autoSpaceDE w:val="0"/>
        <w:autoSpaceDN w:val="0"/>
        <w:bidi w:val="0"/>
        <w:adjustRightInd w:val="0"/>
        <w:snapToGrid w:val="0"/>
        <w:spacing w:line="440" w:lineRule="exact"/>
        <w:ind w:left="65" w:firstLine="45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上述合同文件互相补充和解释。如果合同文件之间存在矛盾或不一致之处，以上述文件的排列顺序在先者为准。</w:t>
      </w:r>
    </w:p>
    <w:p w14:paraId="7AA25E29">
      <w:pPr>
        <w:keepNext w:val="0"/>
        <w:keepLines w:val="0"/>
        <w:pageBreakBefore w:val="0"/>
        <w:widowControl/>
        <w:kinsoku w:val="0"/>
        <w:wordWrap/>
        <w:overflowPunct/>
        <w:topLinePunct w:val="0"/>
        <w:autoSpaceDE w:val="0"/>
        <w:autoSpaceDN w:val="0"/>
        <w:bidi w:val="0"/>
        <w:adjustRightInd w:val="0"/>
        <w:snapToGrid w:val="0"/>
        <w:spacing w:line="440" w:lineRule="exact"/>
        <w:ind w:left="51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签约合同价：人民币（大写）</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元(</w:t>
      </w:r>
      <w:r>
        <w:rPr>
          <w:rFonts w:ascii="Times New Roman" w:hAnsi="Times New Roman" w:eastAsia="Times New Roman" w:cs="Times New Roman"/>
          <w:color w:val="auto"/>
          <w:spacing w:val="0"/>
          <w:w w:val="100"/>
          <w:position w:val="0"/>
          <w:sz w:val="24"/>
          <w:szCs w:val="24"/>
          <w:highlight w:val="none"/>
        </w:rPr>
        <w:t>¥</w:t>
      </w:r>
      <w:r>
        <w:rPr>
          <w:color w:val="auto"/>
          <w:spacing w:val="0"/>
          <w:w w:val="100"/>
          <w:position w:val="0"/>
          <w:sz w:val="24"/>
          <w:szCs w:val="24"/>
          <w:highlight w:val="none"/>
        </w:rPr>
        <w:drawing>
          <wp:inline distT="0" distB="0" distL="0" distR="0">
            <wp:extent cx="414655" cy="76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11"/>
                    <a:stretch>
                      <a:fillRect/>
                    </a:stretch>
                  </pic:blipFill>
                  <pic:spPr>
                    <a:xfrm>
                      <a:off x="0" y="0"/>
                      <a:ext cx="414832" cy="7620"/>
                    </a:xfrm>
                    <a:prstGeom prst="rect">
                      <a:avLst/>
                    </a:prstGeom>
                  </pic:spPr>
                </pic:pic>
              </a:graphicData>
            </a:graphic>
          </wp:inline>
        </w:drawing>
      </w:r>
      <w:r>
        <w:rPr>
          <w:rFonts w:ascii="Times New Roman" w:hAnsi="Times New Roman" w:eastAsia="Times New Roman" w:cs="Times New Roman"/>
          <w:color w:val="auto"/>
          <w:spacing w:val="0"/>
          <w:w w:val="100"/>
          <w:position w:val="0"/>
          <w:sz w:val="24"/>
          <w:szCs w:val="24"/>
          <w:highlight w:val="none"/>
        </w:rPr>
        <w:t xml:space="preserve"> </w:t>
      </w:r>
      <w:r>
        <w:rPr>
          <w:rFonts w:ascii="宋体" w:hAnsi="宋体" w:eastAsia="宋体" w:cs="宋体"/>
          <w:color w:val="auto"/>
          <w:spacing w:val="0"/>
          <w:w w:val="100"/>
          <w:position w:val="0"/>
          <w:sz w:val="24"/>
          <w:szCs w:val="24"/>
          <w:highlight w:val="none"/>
        </w:rPr>
        <w:t>)。</w:t>
      </w:r>
    </w:p>
    <w:p w14:paraId="545C49F0">
      <w:pPr>
        <w:keepNext w:val="0"/>
        <w:keepLines w:val="0"/>
        <w:pageBreakBefore w:val="0"/>
        <w:widowControl/>
        <w:kinsoku w:val="0"/>
        <w:wordWrap/>
        <w:overflowPunct/>
        <w:topLinePunct w:val="0"/>
        <w:autoSpaceDE w:val="0"/>
        <w:autoSpaceDN w:val="0"/>
        <w:bidi w:val="0"/>
        <w:adjustRightInd w:val="0"/>
        <w:snapToGrid w:val="0"/>
        <w:spacing w:line="440" w:lineRule="exact"/>
        <w:ind w:left="512"/>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项目负责人：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w:t>
      </w:r>
    </w:p>
    <w:p w14:paraId="5C713D50">
      <w:pPr>
        <w:keepNext w:val="0"/>
        <w:keepLines w:val="0"/>
        <w:pageBreakBefore w:val="0"/>
        <w:widowControl/>
        <w:kinsoku w:val="0"/>
        <w:wordWrap/>
        <w:overflowPunct/>
        <w:topLinePunct w:val="0"/>
        <w:autoSpaceDE w:val="0"/>
        <w:autoSpaceDN w:val="0"/>
        <w:bidi w:val="0"/>
        <w:adjustRightInd w:val="0"/>
        <w:snapToGrid w:val="0"/>
        <w:spacing w:line="440" w:lineRule="exact"/>
        <w:ind w:left="39" w:right="170" w:firstLine="481"/>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5.</w:t>
      </w:r>
      <w:r>
        <w:rPr>
          <w:rFonts w:ascii="宋体" w:hAnsi="宋体" w:eastAsia="宋体" w:cs="宋体"/>
          <w:color w:val="auto"/>
          <w:spacing w:val="0"/>
          <w:w w:val="100"/>
          <w:position w:val="0"/>
          <w:sz w:val="24"/>
          <w:szCs w:val="24"/>
          <w:highlight w:val="none"/>
        </w:rPr>
        <w:t>勘察设计工作质量符合的标准和要求：</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；安全目标：</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w:t>
      </w:r>
    </w:p>
    <w:p w14:paraId="37BAACC0">
      <w:pPr>
        <w:keepNext w:val="0"/>
        <w:keepLines w:val="0"/>
        <w:pageBreakBefore w:val="0"/>
        <w:widowControl/>
        <w:kinsoku w:val="0"/>
        <w:wordWrap/>
        <w:overflowPunct/>
        <w:topLinePunct w:val="0"/>
        <w:autoSpaceDE w:val="0"/>
        <w:autoSpaceDN w:val="0"/>
        <w:bidi w:val="0"/>
        <w:adjustRightInd w:val="0"/>
        <w:snapToGrid w:val="0"/>
        <w:spacing w:line="440" w:lineRule="exact"/>
        <w:ind w:left="517"/>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6.</w:t>
      </w:r>
      <w:r>
        <w:rPr>
          <w:rFonts w:ascii="宋体" w:hAnsi="宋体" w:eastAsia="宋体" w:cs="宋体"/>
          <w:color w:val="auto"/>
          <w:spacing w:val="0"/>
          <w:w w:val="100"/>
          <w:position w:val="0"/>
          <w:sz w:val="24"/>
          <w:szCs w:val="24"/>
          <w:highlight w:val="none"/>
        </w:rPr>
        <w:t xml:space="preserve">设计人承诺按合同约定承担工程的勘察设计工作，包括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w:t>
      </w:r>
    </w:p>
    <w:p w14:paraId="3F8B0594">
      <w:pPr>
        <w:keepNext w:val="0"/>
        <w:keepLines w:val="0"/>
        <w:pageBreakBefore w:val="0"/>
        <w:widowControl/>
        <w:kinsoku w:val="0"/>
        <w:wordWrap/>
        <w:overflowPunct/>
        <w:topLinePunct w:val="0"/>
        <w:autoSpaceDE w:val="0"/>
        <w:autoSpaceDN w:val="0"/>
        <w:bidi w:val="0"/>
        <w:adjustRightInd w:val="0"/>
        <w:snapToGrid w:val="0"/>
        <w:spacing w:line="440" w:lineRule="exact"/>
        <w:ind w:left="517"/>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7.</w:t>
      </w:r>
      <w:r>
        <w:rPr>
          <w:rFonts w:ascii="宋体" w:hAnsi="宋体" w:eastAsia="宋体" w:cs="宋体"/>
          <w:color w:val="auto"/>
          <w:spacing w:val="0"/>
          <w:w w:val="100"/>
          <w:position w:val="0"/>
          <w:sz w:val="24"/>
          <w:szCs w:val="24"/>
          <w:highlight w:val="none"/>
        </w:rPr>
        <w:t>发包人承诺按合同约定的条件、时间和方式向设计人支付合同价款。</w:t>
      </w:r>
    </w:p>
    <w:p w14:paraId="44F92A42">
      <w:pPr>
        <w:keepNext w:val="0"/>
        <w:keepLines w:val="0"/>
        <w:pageBreakBefore w:val="0"/>
        <w:widowControl/>
        <w:kinsoku w:val="0"/>
        <w:wordWrap/>
        <w:overflowPunct/>
        <w:topLinePunct w:val="0"/>
        <w:autoSpaceDE w:val="0"/>
        <w:autoSpaceDN w:val="0"/>
        <w:bidi w:val="0"/>
        <w:adjustRightInd w:val="0"/>
        <w:snapToGrid w:val="0"/>
        <w:spacing w:line="440" w:lineRule="exact"/>
        <w:ind w:left="39" w:right="42" w:firstLine="484"/>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8.</w:t>
      </w:r>
      <w:r>
        <w:rPr>
          <w:rFonts w:ascii="宋体" w:hAnsi="宋体" w:eastAsia="宋体" w:cs="宋体"/>
          <w:color w:val="auto"/>
          <w:spacing w:val="0"/>
          <w:w w:val="100"/>
          <w:position w:val="0"/>
          <w:sz w:val="24"/>
          <w:szCs w:val="24"/>
          <w:highlight w:val="none"/>
        </w:rPr>
        <w:t>设计人计划开始勘察设计日期：</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，实际日期按照发包人在开始勘察设计通知中载明的开始勘察设计日期为准。勘察设计服务期限为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天。</w:t>
      </w:r>
    </w:p>
    <w:p w14:paraId="4C326538">
      <w:pPr>
        <w:keepNext w:val="0"/>
        <w:keepLines w:val="0"/>
        <w:pageBreakBefore w:val="0"/>
        <w:widowControl/>
        <w:kinsoku w:val="0"/>
        <w:wordWrap/>
        <w:overflowPunct/>
        <w:topLinePunct w:val="0"/>
        <w:autoSpaceDE w:val="0"/>
        <w:autoSpaceDN w:val="0"/>
        <w:bidi w:val="0"/>
        <w:adjustRightInd w:val="0"/>
        <w:snapToGrid w:val="0"/>
        <w:spacing w:line="440" w:lineRule="exact"/>
        <w:ind w:left="38" w:right="103" w:firstLine="48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9.</w:t>
      </w:r>
      <w:r>
        <w:rPr>
          <w:rFonts w:ascii="宋体" w:hAnsi="宋体" w:eastAsia="宋体" w:cs="宋体"/>
          <w:color w:val="auto"/>
          <w:spacing w:val="0"/>
          <w:w w:val="100"/>
          <w:position w:val="0"/>
          <w:sz w:val="24"/>
          <w:szCs w:val="24"/>
          <w:highlight w:val="none"/>
        </w:rPr>
        <w:t>本协议书在设计人提供履约保证金后，由双方法定代表人或其委托代理人签署并加盖单位章后生效。设计人完成全部勘察设计工作且勘察设计费用结清后失效。</w:t>
      </w:r>
    </w:p>
    <w:p w14:paraId="71FBD686">
      <w:pPr>
        <w:keepNext w:val="0"/>
        <w:keepLines w:val="0"/>
        <w:pageBreakBefore w:val="0"/>
        <w:widowControl/>
        <w:kinsoku w:val="0"/>
        <w:wordWrap/>
        <w:overflowPunct/>
        <w:topLinePunct w:val="0"/>
        <w:autoSpaceDE w:val="0"/>
        <w:autoSpaceDN w:val="0"/>
        <w:bidi w:val="0"/>
        <w:adjustRightInd w:val="0"/>
        <w:snapToGrid w:val="0"/>
        <w:spacing w:line="440" w:lineRule="exact"/>
        <w:ind w:left="53" w:right="121" w:firstLine="48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10.</w:t>
      </w:r>
      <w:r>
        <w:rPr>
          <w:rFonts w:ascii="宋体" w:hAnsi="宋体" w:eastAsia="宋体" w:cs="宋体"/>
          <w:color w:val="auto"/>
          <w:spacing w:val="0"/>
          <w:w w:val="100"/>
          <w:position w:val="0"/>
          <w:sz w:val="24"/>
          <w:szCs w:val="24"/>
          <w:highlight w:val="none"/>
        </w:rPr>
        <w:t xml:space="preserve">本协议书正本二份、副本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份，合同双方各执正本一份，副本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份，当正本与副本的内容不一致时，以正本为准。</w:t>
      </w:r>
    </w:p>
    <w:p w14:paraId="3B45F2E0">
      <w:pPr>
        <w:keepNext w:val="0"/>
        <w:keepLines w:val="0"/>
        <w:pageBreakBefore w:val="0"/>
        <w:widowControl/>
        <w:kinsoku w:val="0"/>
        <w:wordWrap/>
        <w:overflowPunct/>
        <w:topLinePunct w:val="0"/>
        <w:autoSpaceDE w:val="0"/>
        <w:autoSpaceDN w:val="0"/>
        <w:bidi w:val="0"/>
        <w:adjustRightInd w:val="0"/>
        <w:snapToGrid w:val="0"/>
        <w:spacing w:line="440" w:lineRule="exact"/>
        <w:ind w:left="536"/>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11.</w:t>
      </w:r>
      <w:r>
        <w:rPr>
          <w:rFonts w:ascii="宋体" w:hAnsi="宋体" w:eastAsia="宋体" w:cs="宋体"/>
          <w:color w:val="auto"/>
          <w:spacing w:val="0"/>
          <w:w w:val="100"/>
          <w:position w:val="0"/>
          <w:sz w:val="24"/>
          <w:szCs w:val="24"/>
          <w:highlight w:val="none"/>
        </w:rPr>
        <w:t>合同未尽事宜，双方另行签订补充协议。补充协议是合同的组成部分。</w:t>
      </w:r>
    </w:p>
    <w:p w14:paraId="16CAD7B4">
      <w:pPr>
        <w:spacing w:line="302" w:lineRule="auto"/>
        <w:rPr>
          <w:rFonts w:ascii="Arial"/>
          <w:color w:val="auto"/>
          <w:spacing w:val="0"/>
          <w:w w:val="100"/>
          <w:position w:val="0"/>
          <w:sz w:val="21"/>
          <w:highlight w:val="none"/>
        </w:rPr>
      </w:pPr>
    </w:p>
    <w:p w14:paraId="29513FD3">
      <w:pPr>
        <w:spacing w:line="303" w:lineRule="auto"/>
        <w:rPr>
          <w:rFonts w:ascii="Arial"/>
          <w:color w:val="auto"/>
          <w:spacing w:val="0"/>
          <w:w w:val="100"/>
          <w:position w:val="0"/>
          <w:sz w:val="21"/>
          <w:highlight w:val="none"/>
        </w:rPr>
      </w:pPr>
    </w:p>
    <w:p w14:paraId="04F46700">
      <w:pPr>
        <w:spacing w:line="303" w:lineRule="auto"/>
        <w:rPr>
          <w:rFonts w:ascii="Arial"/>
          <w:color w:val="auto"/>
          <w:spacing w:val="0"/>
          <w:w w:val="100"/>
          <w:position w:val="0"/>
          <w:sz w:val="21"/>
          <w:highlight w:val="none"/>
        </w:rPr>
      </w:pPr>
    </w:p>
    <w:p w14:paraId="1F8EB45B">
      <w:pPr>
        <w:spacing w:before="79" w:line="219" w:lineRule="auto"/>
        <w:jc w:val="right"/>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发包人：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（盖单位章）           设计人：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（盖单位章）</w:t>
      </w:r>
    </w:p>
    <w:p w14:paraId="2AFA77AF">
      <w:pPr>
        <w:spacing w:line="308" w:lineRule="auto"/>
        <w:rPr>
          <w:rFonts w:ascii="Arial"/>
          <w:color w:val="auto"/>
          <w:spacing w:val="0"/>
          <w:w w:val="100"/>
          <w:position w:val="0"/>
          <w:sz w:val="21"/>
          <w:highlight w:val="none"/>
        </w:rPr>
      </w:pPr>
    </w:p>
    <w:p w14:paraId="7D624B46">
      <w:pPr>
        <w:spacing w:line="308" w:lineRule="auto"/>
        <w:rPr>
          <w:rFonts w:ascii="Arial"/>
          <w:color w:val="auto"/>
          <w:spacing w:val="0"/>
          <w:w w:val="100"/>
          <w:position w:val="0"/>
          <w:sz w:val="21"/>
          <w:highlight w:val="none"/>
        </w:rPr>
      </w:pPr>
    </w:p>
    <w:p w14:paraId="7B9E28D3">
      <w:pPr>
        <w:spacing w:line="309" w:lineRule="auto"/>
        <w:rPr>
          <w:rFonts w:ascii="Arial"/>
          <w:color w:val="auto"/>
          <w:spacing w:val="0"/>
          <w:w w:val="100"/>
          <w:position w:val="0"/>
          <w:sz w:val="21"/>
          <w:highlight w:val="none"/>
        </w:rPr>
      </w:pPr>
    </w:p>
    <w:p w14:paraId="607FBD17">
      <w:pPr>
        <w:spacing w:before="78" w:line="220" w:lineRule="auto"/>
        <w:ind w:left="39"/>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法定代表人或其委托代理人：              法定代表人或其委托代理人：</w:t>
      </w:r>
    </w:p>
    <w:p w14:paraId="7EEE4394">
      <w:pPr>
        <w:spacing w:line="256" w:lineRule="auto"/>
        <w:rPr>
          <w:rFonts w:ascii="Arial"/>
          <w:color w:val="auto"/>
          <w:spacing w:val="0"/>
          <w:w w:val="100"/>
          <w:position w:val="0"/>
          <w:sz w:val="21"/>
          <w:highlight w:val="none"/>
        </w:rPr>
      </w:pPr>
    </w:p>
    <w:p w14:paraId="3E429502">
      <w:pPr>
        <w:spacing w:line="257" w:lineRule="auto"/>
        <w:rPr>
          <w:rFonts w:ascii="Arial"/>
          <w:color w:val="auto"/>
          <w:spacing w:val="0"/>
          <w:w w:val="100"/>
          <w:position w:val="0"/>
          <w:sz w:val="21"/>
          <w:highlight w:val="none"/>
        </w:rPr>
      </w:pPr>
    </w:p>
    <w:p w14:paraId="2C8682F3">
      <w:pPr>
        <w:tabs>
          <w:tab w:val="left" w:pos="2188"/>
        </w:tabs>
        <w:spacing w:before="79" w:line="220" w:lineRule="auto"/>
        <w:ind w:left="1228"/>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 xml:space="preserve">（签字）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（签字）</w:t>
      </w:r>
    </w:p>
    <w:p w14:paraId="492FDE41">
      <w:pPr>
        <w:spacing w:line="256" w:lineRule="auto"/>
        <w:rPr>
          <w:rFonts w:ascii="Arial"/>
          <w:color w:val="auto"/>
          <w:spacing w:val="0"/>
          <w:w w:val="100"/>
          <w:position w:val="0"/>
          <w:sz w:val="21"/>
          <w:highlight w:val="none"/>
        </w:rPr>
      </w:pPr>
    </w:p>
    <w:p w14:paraId="02DA44CB">
      <w:pPr>
        <w:spacing w:line="257" w:lineRule="auto"/>
        <w:rPr>
          <w:rFonts w:ascii="Arial"/>
          <w:color w:val="auto"/>
          <w:spacing w:val="0"/>
          <w:w w:val="100"/>
          <w:position w:val="0"/>
          <w:sz w:val="21"/>
          <w:highlight w:val="none"/>
        </w:rPr>
      </w:pPr>
    </w:p>
    <w:p w14:paraId="2FFC2577">
      <w:pPr>
        <w:tabs>
          <w:tab w:val="left" w:pos="1108"/>
        </w:tabs>
        <w:spacing w:before="79" w:line="220" w:lineRule="auto"/>
        <w:ind w:left="268"/>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年</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月</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日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年</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月</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日</w:t>
      </w:r>
    </w:p>
    <w:p w14:paraId="693FA2C4">
      <w:pPr>
        <w:spacing w:line="220" w:lineRule="auto"/>
        <w:rPr>
          <w:rFonts w:ascii="宋体" w:hAnsi="宋体" w:eastAsia="宋体" w:cs="宋体"/>
          <w:color w:val="auto"/>
          <w:spacing w:val="0"/>
          <w:w w:val="100"/>
          <w:position w:val="0"/>
          <w:sz w:val="24"/>
          <w:szCs w:val="24"/>
          <w:highlight w:val="none"/>
        </w:rPr>
        <w:sectPr>
          <w:headerReference r:id="rId41" w:type="default"/>
          <w:footerReference r:id="rId42" w:type="default"/>
          <w:pgSz w:w="11900" w:h="16843"/>
          <w:pgMar w:top="1378" w:right="1417" w:bottom="1208" w:left="1417" w:header="1366" w:footer="1003" w:gutter="0"/>
          <w:pgNumType w:fmt="decimal"/>
          <w:cols w:space="0" w:num="1"/>
          <w:rtlGutter w:val="0"/>
          <w:docGrid w:linePitch="0" w:charSpace="0"/>
        </w:sectPr>
      </w:pPr>
    </w:p>
    <w:p w14:paraId="16A22AED">
      <w:pPr>
        <w:pStyle w:val="6"/>
        <w:spacing w:before="91" w:line="221" w:lineRule="auto"/>
        <w:ind w:left="55"/>
        <w:outlineLvl w:val="3"/>
        <w:rPr>
          <w:color w:val="auto"/>
          <w:spacing w:val="0"/>
          <w:w w:val="100"/>
          <w:position w:val="0"/>
          <w:sz w:val="28"/>
          <w:szCs w:val="28"/>
          <w:highlight w:val="none"/>
        </w:rPr>
      </w:pPr>
      <w:r>
        <w:rPr>
          <w:b/>
          <w:bCs/>
          <w:color w:val="auto"/>
          <w:spacing w:val="0"/>
          <w:w w:val="100"/>
          <w:position w:val="0"/>
          <w:sz w:val="28"/>
          <w:szCs w:val="28"/>
          <w:highlight w:val="none"/>
        </w:rPr>
        <w:t>附件二</w:t>
      </w:r>
      <w:r>
        <w:rPr>
          <w:color w:val="auto"/>
          <w:spacing w:val="0"/>
          <w:w w:val="100"/>
          <w:position w:val="0"/>
          <w:sz w:val="28"/>
          <w:szCs w:val="28"/>
          <w:highlight w:val="none"/>
        </w:rPr>
        <w:t xml:space="preserve">  </w:t>
      </w:r>
      <w:r>
        <w:rPr>
          <w:b/>
          <w:bCs/>
          <w:color w:val="auto"/>
          <w:spacing w:val="0"/>
          <w:w w:val="100"/>
          <w:position w:val="0"/>
          <w:sz w:val="28"/>
          <w:szCs w:val="28"/>
          <w:highlight w:val="none"/>
        </w:rPr>
        <w:t>廉政合同</w:t>
      </w:r>
    </w:p>
    <w:p w14:paraId="59DC76BF">
      <w:pPr>
        <w:pStyle w:val="6"/>
        <w:spacing w:before="334" w:line="226" w:lineRule="auto"/>
        <w:ind w:left="3539"/>
        <w:rPr>
          <w:color w:val="auto"/>
          <w:spacing w:val="0"/>
          <w:w w:val="100"/>
          <w:position w:val="0"/>
          <w:highlight w:val="none"/>
        </w:rPr>
      </w:pPr>
      <w:r>
        <w:rPr>
          <w:b/>
          <w:bCs/>
          <w:color w:val="auto"/>
          <w:spacing w:val="0"/>
          <w:w w:val="100"/>
          <w:position w:val="0"/>
          <w:highlight w:val="none"/>
        </w:rPr>
        <w:t>廉政合同</w:t>
      </w:r>
    </w:p>
    <w:p w14:paraId="02434F8D">
      <w:pPr>
        <w:spacing w:line="275" w:lineRule="auto"/>
        <w:rPr>
          <w:rFonts w:ascii="Arial"/>
          <w:color w:val="auto"/>
          <w:spacing w:val="0"/>
          <w:w w:val="100"/>
          <w:position w:val="0"/>
          <w:sz w:val="21"/>
          <w:highlight w:val="none"/>
        </w:rPr>
      </w:pPr>
    </w:p>
    <w:p w14:paraId="64ADF9F8">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jc w:val="both"/>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根据《关于在交通基础设施建设中加强廉政建设的若干意见》以及有关工程建设、廉政建设的规定， 为做好工程建设中的党风廉政建设，保证工程建设高效优质，保证建设资金的安全和有效使用以及投资效益，</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（项目名称）的项目法人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（项目法人名称，以下简称“发包人 ”）与该项目</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标段的勘察设计单位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（勘察设计单位名称，以下简称“设计人”），特订立如下合同。</w:t>
      </w:r>
    </w:p>
    <w:p w14:paraId="701B51B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1.</w:t>
      </w:r>
      <w:r>
        <w:rPr>
          <w:rFonts w:ascii="宋体" w:hAnsi="宋体" w:eastAsia="宋体" w:cs="宋体"/>
          <w:b/>
          <w:bCs/>
          <w:color w:val="auto"/>
          <w:spacing w:val="0"/>
          <w:w w:val="100"/>
          <w:position w:val="0"/>
          <w:sz w:val="24"/>
          <w:szCs w:val="24"/>
          <w:highlight w:val="none"/>
        </w:rPr>
        <w:t>发包人和设计人双方的权利和义务</w:t>
      </w:r>
    </w:p>
    <w:p w14:paraId="6EE966A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jc w:val="center"/>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）严格遵守党的政策规定和国家有关法律法规及交通运输部的有关规定。</w:t>
      </w:r>
    </w:p>
    <w:p w14:paraId="74BD0007">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 xml:space="preserve">）严格执行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（项目名称）</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标段勘察设计合同文件，自觉按合同办事。</w:t>
      </w:r>
    </w:p>
    <w:p w14:paraId="209CD31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）双方的业务活动坚持公开、公正、诚信、透明的原则（法律认定的商业秘密和合同文件另有规定除外），不得损害国家和集体利益，不得违反工程建设管理规章制度。</w:t>
      </w:r>
    </w:p>
    <w:p w14:paraId="72FD265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）建立健全廉政制度，开展廉政教育，设立廉政告示牌，公布举报电话，监督并认真查处违法违纪行为。</w:t>
      </w:r>
    </w:p>
    <w:p w14:paraId="5F16FBA8">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5</w:t>
      </w:r>
      <w:r>
        <w:rPr>
          <w:rFonts w:ascii="宋体" w:hAnsi="宋体" w:eastAsia="宋体" w:cs="宋体"/>
          <w:color w:val="auto"/>
          <w:spacing w:val="0"/>
          <w:w w:val="100"/>
          <w:position w:val="0"/>
          <w:sz w:val="24"/>
          <w:szCs w:val="24"/>
          <w:highlight w:val="none"/>
        </w:rPr>
        <w:t>）发现对方在业务活动中有违反廉政规定的行为，有及时提醒对方纠正的权利和义务。</w:t>
      </w:r>
    </w:p>
    <w:p w14:paraId="06C5A4E7">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6</w:t>
      </w:r>
      <w:r>
        <w:rPr>
          <w:rFonts w:ascii="宋体" w:hAnsi="宋体" w:eastAsia="宋体" w:cs="宋体"/>
          <w:color w:val="auto"/>
          <w:spacing w:val="0"/>
          <w:w w:val="100"/>
          <w:position w:val="0"/>
          <w:sz w:val="24"/>
          <w:szCs w:val="24"/>
          <w:highlight w:val="none"/>
        </w:rPr>
        <w:t>）发现对方严重违反本合同义务条款的行为，有向其上级有关部门举报、建议给予处理并要求告知处理结果的权利。</w:t>
      </w:r>
    </w:p>
    <w:p w14:paraId="6156209C">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2.</w:t>
      </w:r>
      <w:r>
        <w:rPr>
          <w:rFonts w:ascii="宋体" w:hAnsi="宋体" w:eastAsia="宋体" w:cs="宋体"/>
          <w:b/>
          <w:bCs/>
          <w:color w:val="auto"/>
          <w:spacing w:val="0"/>
          <w:w w:val="100"/>
          <w:position w:val="0"/>
          <w:sz w:val="24"/>
          <w:szCs w:val="24"/>
          <w:highlight w:val="none"/>
        </w:rPr>
        <w:t>发包人的义务</w:t>
      </w:r>
    </w:p>
    <w:p w14:paraId="56AB266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）发包人及其工作人员不得索要或接受设计人的礼金、有价证券和贵重物品，不得让设计人报销任何应由发包人或发包人工作人员个人支付的费用等。</w:t>
      </w:r>
    </w:p>
    <w:p w14:paraId="5438A5E9">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）发包人工作人员不得参加设计人安排的超标准宴请和娱乐活动；不得接受设计人提供的通信工具、交通工具和高档办公用品等。</w:t>
      </w:r>
    </w:p>
    <w:p w14:paraId="7F1BBBE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）发包人及其工作人员不得要求或者接受设计人为其住房装修、婚丧嫁娶活动、配偶子女的工作安排以及出国出境、旅游等提供方便等。</w:t>
      </w:r>
    </w:p>
    <w:p w14:paraId="1AF6BC71">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）发包人工作人员及其配偶、子女、亲属不得从事与本勘察设计合同有 关的勘察设计业务等活动。不得以任何理由要求设计人和相关单位在设计中使用某种产品、材料和设备。</w:t>
      </w:r>
    </w:p>
    <w:p w14:paraId="27395747">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5</w:t>
      </w:r>
      <w:r>
        <w:rPr>
          <w:rFonts w:ascii="宋体" w:hAnsi="宋体" w:eastAsia="宋体" w:cs="宋体"/>
          <w:color w:val="auto"/>
          <w:spacing w:val="0"/>
          <w:w w:val="100"/>
          <w:position w:val="0"/>
          <w:sz w:val="24"/>
          <w:szCs w:val="24"/>
          <w:highlight w:val="none"/>
        </w:rPr>
        <w:t>）发包人工作人员要秉公办事，不准营私舞弊，不准利用职权从事各种个人有偿中介活动和安排个人勘察设计队伍。</w:t>
      </w:r>
    </w:p>
    <w:p w14:paraId="302EE88E">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3.</w:t>
      </w:r>
      <w:r>
        <w:rPr>
          <w:rFonts w:ascii="宋体" w:hAnsi="宋体" w:eastAsia="宋体" w:cs="宋体"/>
          <w:b/>
          <w:bCs/>
          <w:color w:val="auto"/>
          <w:spacing w:val="0"/>
          <w:w w:val="100"/>
          <w:position w:val="0"/>
          <w:sz w:val="24"/>
          <w:szCs w:val="24"/>
          <w:highlight w:val="none"/>
        </w:rPr>
        <w:t>设计人的义务</w:t>
      </w:r>
    </w:p>
    <w:p w14:paraId="31B9CFE6">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）设计人不得以任何理由向发包人及其工作人员行贿或馈赠礼金、有价证券、贵重礼品。</w:t>
      </w:r>
    </w:p>
    <w:p w14:paraId="004D737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）设计人不得以任何名义为发包人及其工作人员报销应由发包人单位或个人支付的任何费用。</w:t>
      </w:r>
    </w:p>
    <w:p w14:paraId="2581A26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）设计人不得以任何理由安排发包人工作人员参加超标准宴请及娱乐活动。</w:t>
      </w:r>
    </w:p>
    <w:p w14:paraId="2F186E8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）设计人不得为发包人单位和个人购置或提供通信工具、交通工具和高档办公用品等。</w:t>
      </w:r>
    </w:p>
    <w:p w14:paraId="5822BDF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b/>
          <w:bCs/>
          <w:color w:val="auto"/>
          <w:spacing w:val="0"/>
          <w:w w:val="100"/>
          <w:position w:val="0"/>
          <w:sz w:val="24"/>
          <w:szCs w:val="24"/>
          <w:highlight w:val="none"/>
        </w:rPr>
        <w:t>4.</w:t>
      </w:r>
      <w:r>
        <w:rPr>
          <w:rFonts w:ascii="宋体" w:hAnsi="宋体" w:eastAsia="宋体" w:cs="宋体"/>
          <w:b/>
          <w:bCs/>
          <w:color w:val="auto"/>
          <w:spacing w:val="0"/>
          <w:w w:val="100"/>
          <w:position w:val="0"/>
          <w:sz w:val="24"/>
          <w:szCs w:val="24"/>
          <w:highlight w:val="none"/>
        </w:rPr>
        <w:t>违约责任</w:t>
      </w:r>
    </w:p>
    <w:p w14:paraId="33AC5D7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 xml:space="preserve">）发包人及其工作人员违反本合同第 </w:t>
      </w: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 xml:space="preserve">2 </w:t>
      </w:r>
      <w:r>
        <w:rPr>
          <w:rFonts w:ascii="宋体" w:hAnsi="宋体" w:eastAsia="宋体" w:cs="宋体"/>
          <w:color w:val="auto"/>
          <w:spacing w:val="0"/>
          <w:w w:val="100"/>
          <w:position w:val="0"/>
          <w:sz w:val="24"/>
          <w:szCs w:val="24"/>
          <w:highlight w:val="none"/>
        </w:rPr>
        <w:t>条，按管理权限，依据有关规定给予党纪、政纪或组织处理； 涉嫌犯罪的，移交司法机关追究刑事责任；给设计人单位造成经济损失的，应予以赔偿。</w:t>
      </w:r>
    </w:p>
    <w:p w14:paraId="72844E3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 xml:space="preserve">）设计人及其工作人员违反本合同第 </w:t>
      </w: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 xml:space="preserve">3 </w:t>
      </w:r>
      <w:r>
        <w:rPr>
          <w:rFonts w:ascii="宋体" w:hAnsi="宋体" w:eastAsia="宋体" w:cs="宋体"/>
          <w:color w:val="auto"/>
          <w:spacing w:val="0"/>
          <w:w w:val="100"/>
          <w:position w:val="0"/>
          <w:sz w:val="24"/>
          <w:szCs w:val="24"/>
          <w:highlight w:val="none"/>
        </w:rPr>
        <w:t>条，按管理权限，依据有关规定给予党纪、政纪或组织处理； 给发包人单位造成经济损失的，应予以赔偿；情节严重的，发包人建议交通运输主管部门给予设计人一至三年内不得进入其主管的公路建设市场的处罚。</w:t>
      </w:r>
    </w:p>
    <w:p w14:paraId="4E7B39E5">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5.</w:t>
      </w:r>
      <w:r>
        <w:rPr>
          <w:rFonts w:ascii="宋体" w:hAnsi="宋体" w:eastAsia="宋体" w:cs="宋体"/>
          <w:color w:val="auto"/>
          <w:spacing w:val="0"/>
          <w:w w:val="100"/>
          <w:position w:val="0"/>
          <w:sz w:val="24"/>
          <w:szCs w:val="24"/>
          <w:highlight w:val="none"/>
        </w:rPr>
        <w:t>双方约定：本合同由双方或双方上级单位的纪检监察部门负责监督执行。由发包人或发包人上级单位的纪检监察部门约请设计人或设计人上级单位纪检监察部门对本合同执行情况进行检查，提出在本合同规定范围内的裁定意见。</w:t>
      </w:r>
    </w:p>
    <w:p w14:paraId="25FA5FBD">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6.</w:t>
      </w:r>
      <w:r>
        <w:rPr>
          <w:rFonts w:ascii="宋体" w:hAnsi="宋体" w:eastAsia="宋体" w:cs="宋体"/>
          <w:color w:val="auto"/>
          <w:spacing w:val="0"/>
          <w:w w:val="100"/>
          <w:position w:val="0"/>
          <w:sz w:val="24"/>
          <w:szCs w:val="24"/>
          <w:highlight w:val="none"/>
        </w:rPr>
        <w:t>本合同有效期为合同双方签署之日起至勘察设计合同失效日止。</w:t>
      </w:r>
    </w:p>
    <w:p w14:paraId="47082054">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7.</w:t>
      </w:r>
      <w:r>
        <w:rPr>
          <w:rFonts w:ascii="宋体" w:hAnsi="宋体" w:eastAsia="宋体" w:cs="宋体"/>
          <w:color w:val="auto"/>
          <w:spacing w:val="0"/>
          <w:w w:val="100"/>
          <w:position w:val="0"/>
          <w:sz w:val="24"/>
          <w:szCs w:val="24"/>
          <w:highlight w:val="none"/>
        </w:rPr>
        <w:t>本合同作为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（项目名称）</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标段勘察设计合同的附件，与勘察设计合同具有同等的法律效力，经合同双方签署后立即生效。</w:t>
      </w:r>
    </w:p>
    <w:p w14:paraId="02F4E26F">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8.</w:t>
      </w:r>
      <w:r>
        <w:rPr>
          <w:rFonts w:ascii="宋体" w:hAnsi="宋体" w:eastAsia="宋体" w:cs="宋体"/>
          <w:color w:val="auto"/>
          <w:spacing w:val="0"/>
          <w:w w:val="100"/>
          <w:position w:val="0"/>
          <w:sz w:val="24"/>
          <w:szCs w:val="24"/>
          <w:highlight w:val="none"/>
        </w:rPr>
        <w:t>本合同一式四份，由发包人和设计人各执一份，送交发包人和设计人的监督单位各一份。</w:t>
      </w:r>
    </w:p>
    <w:p w14:paraId="7B8936EE">
      <w:pPr>
        <w:spacing w:line="308" w:lineRule="auto"/>
        <w:rPr>
          <w:rFonts w:ascii="Arial"/>
          <w:color w:val="auto"/>
          <w:spacing w:val="0"/>
          <w:w w:val="100"/>
          <w:position w:val="0"/>
          <w:sz w:val="21"/>
          <w:highlight w:val="none"/>
        </w:rPr>
      </w:pPr>
    </w:p>
    <w:p w14:paraId="69BEE2DC">
      <w:pPr>
        <w:spacing w:line="308" w:lineRule="auto"/>
        <w:rPr>
          <w:rFonts w:ascii="Arial"/>
          <w:color w:val="auto"/>
          <w:spacing w:val="0"/>
          <w:w w:val="100"/>
          <w:position w:val="0"/>
          <w:sz w:val="21"/>
          <w:highlight w:val="none"/>
        </w:rPr>
      </w:pPr>
    </w:p>
    <w:p w14:paraId="507F6DC2">
      <w:pPr>
        <w:spacing w:line="308" w:lineRule="auto"/>
        <w:rPr>
          <w:rFonts w:ascii="Arial"/>
          <w:color w:val="auto"/>
          <w:spacing w:val="0"/>
          <w:w w:val="100"/>
          <w:position w:val="0"/>
          <w:sz w:val="21"/>
          <w:highlight w:val="none"/>
        </w:rPr>
      </w:pPr>
    </w:p>
    <w:p w14:paraId="58C8505A">
      <w:pPr>
        <w:spacing w:line="308" w:lineRule="auto"/>
        <w:rPr>
          <w:rFonts w:ascii="Arial"/>
          <w:color w:val="auto"/>
          <w:spacing w:val="0"/>
          <w:w w:val="100"/>
          <w:position w:val="0"/>
          <w:sz w:val="21"/>
          <w:highlight w:val="none"/>
        </w:rPr>
      </w:pPr>
    </w:p>
    <w:p w14:paraId="3E740DDF">
      <w:pPr>
        <w:spacing w:line="308" w:lineRule="auto"/>
        <w:rPr>
          <w:rFonts w:ascii="Arial"/>
          <w:color w:val="auto"/>
          <w:spacing w:val="0"/>
          <w:w w:val="100"/>
          <w:position w:val="0"/>
          <w:sz w:val="21"/>
          <w:highlight w:val="none"/>
        </w:rPr>
      </w:pPr>
    </w:p>
    <w:p w14:paraId="0D5888BD">
      <w:pPr>
        <w:spacing w:line="308" w:lineRule="auto"/>
        <w:rPr>
          <w:rFonts w:ascii="Arial"/>
          <w:color w:val="auto"/>
          <w:spacing w:val="0"/>
          <w:w w:val="100"/>
          <w:position w:val="0"/>
          <w:sz w:val="21"/>
          <w:highlight w:val="none"/>
        </w:rPr>
      </w:pPr>
    </w:p>
    <w:p w14:paraId="153149A6">
      <w:pPr>
        <w:spacing w:line="309" w:lineRule="auto"/>
        <w:rPr>
          <w:rFonts w:ascii="Arial"/>
          <w:color w:val="auto"/>
          <w:spacing w:val="0"/>
          <w:w w:val="100"/>
          <w:position w:val="0"/>
          <w:sz w:val="21"/>
          <w:highlight w:val="none"/>
        </w:rPr>
      </w:pPr>
    </w:p>
    <w:p w14:paraId="156A9FB4">
      <w:pPr>
        <w:spacing w:line="309" w:lineRule="auto"/>
        <w:rPr>
          <w:rFonts w:ascii="Arial"/>
          <w:color w:val="auto"/>
          <w:spacing w:val="0"/>
          <w:w w:val="100"/>
          <w:position w:val="0"/>
          <w:sz w:val="21"/>
          <w:highlight w:val="none"/>
        </w:rPr>
      </w:pPr>
    </w:p>
    <w:p w14:paraId="00A2A349">
      <w:pPr>
        <w:spacing w:before="78" w:line="219" w:lineRule="auto"/>
        <w:jc w:val="both"/>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发包人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（盖单位章）          设计人：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（盖单位章）</w:t>
      </w:r>
    </w:p>
    <w:p w14:paraId="6A5D4AC7">
      <w:pPr>
        <w:spacing w:line="308" w:lineRule="auto"/>
        <w:rPr>
          <w:rFonts w:ascii="Arial"/>
          <w:color w:val="auto"/>
          <w:spacing w:val="0"/>
          <w:w w:val="100"/>
          <w:position w:val="0"/>
          <w:sz w:val="21"/>
          <w:highlight w:val="none"/>
        </w:rPr>
      </w:pPr>
    </w:p>
    <w:p w14:paraId="04BD1399">
      <w:pPr>
        <w:spacing w:line="308" w:lineRule="auto"/>
        <w:rPr>
          <w:rFonts w:ascii="Arial"/>
          <w:color w:val="auto"/>
          <w:spacing w:val="0"/>
          <w:w w:val="100"/>
          <w:position w:val="0"/>
          <w:sz w:val="21"/>
          <w:highlight w:val="none"/>
        </w:rPr>
      </w:pPr>
    </w:p>
    <w:p w14:paraId="4C152065">
      <w:pPr>
        <w:spacing w:line="308" w:lineRule="auto"/>
        <w:rPr>
          <w:rFonts w:ascii="Arial"/>
          <w:color w:val="auto"/>
          <w:spacing w:val="0"/>
          <w:w w:val="100"/>
          <w:position w:val="0"/>
          <w:sz w:val="21"/>
          <w:highlight w:val="none"/>
        </w:rPr>
      </w:pPr>
    </w:p>
    <w:p w14:paraId="4CA919E3">
      <w:pPr>
        <w:spacing w:before="78" w:line="220" w:lineRule="auto"/>
        <w:ind w:left="39"/>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法定代表人或其委托代理人：            法定代表人或其委托代理人：</w:t>
      </w:r>
    </w:p>
    <w:p w14:paraId="17B6B9A7">
      <w:pPr>
        <w:spacing w:line="257" w:lineRule="auto"/>
        <w:rPr>
          <w:rFonts w:ascii="Arial"/>
          <w:color w:val="auto"/>
          <w:spacing w:val="0"/>
          <w:w w:val="100"/>
          <w:position w:val="0"/>
          <w:sz w:val="21"/>
          <w:highlight w:val="none"/>
        </w:rPr>
      </w:pPr>
    </w:p>
    <w:p w14:paraId="17F4CA2B">
      <w:pPr>
        <w:spacing w:line="257" w:lineRule="auto"/>
        <w:rPr>
          <w:rFonts w:ascii="Arial"/>
          <w:color w:val="auto"/>
          <w:spacing w:val="0"/>
          <w:w w:val="100"/>
          <w:position w:val="0"/>
          <w:sz w:val="21"/>
          <w:highlight w:val="none"/>
        </w:rPr>
      </w:pPr>
    </w:p>
    <w:p w14:paraId="0B5B3EC5">
      <w:pPr>
        <w:tabs>
          <w:tab w:val="left" w:pos="2188"/>
        </w:tabs>
        <w:spacing w:before="78" w:line="220" w:lineRule="auto"/>
        <w:ind w:left="1468"/>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 xml:space="preserve">（签字）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（签字）</w:t>
      </w:r>
    </w:p>
    <w:p w14:paraId="4C7A6D3B">
      <w:pPr>
        <w:spacing w:line="256" w:lineRule="auto"/>
        <w:rPr>
          <w:rFonts w:ascii="Arial"/>
          <w:color w:val="auto"/>
          <w:spacing w:val="0"/>
          <w:w w:val="100"/>
          <w:position w:val="0"/>
          <w:sz w:val="21"/>
          <w:highlight w:val="none"/>
        </w:rPr>
      </w:pPr>
    </w:p>
    <w:p w14:paraId="0403D99A">
      <w:pPr>
        <w:spacing w:line="257" w:lineRule="auto"/>
        <w:rPr>
          <w:rFonts w:ascii="Arial"/>
          <w:color w:val="auto"/>
          <w:spacing w:val="0"/>
          <w:w w:val="100"/>
          <w:position w:val="0"/>
          <w:sz w:val="21"/>
          <w:highlight w:val="none"/>
        </w:rPr>
      </w:pPr>
    </w:p>
    <w:p w14:paraId="6F2BFAD4">
      <w:pPr>
        <w:tabs>
          <w:tab w:val="left" w:pos="988"/>
        </w:tabs>
        <w:spacing w:before="78" w:line="220" w:lineRule="auto"/>
        <w:ind w:left="28"/>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年</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月</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日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年</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月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日</w:t>
      </w:r>
    </w:p>
    <w:p w14:paraId="533B3B84">
      <w:pPr>
        <w:spacing w:line="308" w:lineRule="auto"/>
        <w:rPr>
          <w:rFonts w:ascii="Arial"/>
          <w:color w:val="auto"/>
          <w:spacing w:val="0"/>
          <w:w w:val="100"/>
          <w:position w:val="0"/>
          <w:sz w:val="21"/>
          <w:highlight w:val="none"/>
        </w:rPr>
      </w:pPr>
    </w:p>
    <w:p w14:paraId="6E398A15">
      <w:pPr>
        <w:spacing w:line="309" w:lineRule="auto"/>
        <w:rPr>
          <w:rFonts w:ascii="Arial"/>
          <w:color w:val="auto"/>
          <w:spacing w:val="0"/>
          <w:w w:val="100"/>
          <w:position w:val="0"/>
          <w:sz w:val="21"/>
          <w:highlight w:val="none"/>
        </w:rPr>
      </w:pPr>
    </w:p>
    <w:p w14:paraId="4E90B45B">
      <w:pPr>
        <w:spacing w:line="309" w:lineRule="auto"/>
        <w:rPr>
          <w:rFonts w:ascii="Arial"/>
          <w:color w:val="auto"/>
          <w:spacing w:val="0"/>
          <w:w w:val="100"/>
          <w:position w:val="0"/>
          <w:sz w:val="21"/>
          <w:highlight w:val="none"/>
        </w:rPr>
      </w:pPr>
    </w:p>
    <w:p w14:paraId="7C81601F">
      <w:pPr>
        <w:spacing w:before="79" w:line="219" w:lineRule="auto"/>
        <w:jc w:val="both"/>
        <w:rPr>
          <w:rFonts w:ascii="宋体" w:hAnsi="宋体" w:eastAsia="宋体" w:cs="宋体"/>
          <w:color w:val="auto"/>
          <w:spacing w:val="0"/>
          <w:w w:val="100"/>
          <w:position w:val="0"/>
          <w:sz w:val="24"/>
          <w:szCs w:val="24"/>
          <w:highlight w:val="none"/>
        </w:rPr>
      </w:pPr>
      <w:r>
        <w:rPr>
          <w:rFonts w:ascii="宋体" w:hAnsi="宋体" w:eastAsia="宋体" w:cs="宋体"/>
          <w:color w:val="auto"/>
          <w:spacing w:val="-11"/>
          <w:w w:val="100"/>
          <w:position w:val="0"/>
          <w:sz w:val="24"/>
          <w:szCs w:val="24"/>
          <w:highlight w:val="none"/>
        </w:rPr>
        <w:t>发包人监督单位：</w:t>
      </w:r>
      <w:r>
        <w:rPr>
          <w:rFonts w:ascii="宋体" w:hAnsi="宋体" w:eastAsia="宋体" w:cs="宋体"/>
          <w:color w:val="auto"/>
          <w:spacing w:val="-11"/>
          <w:w w:val="100"/>
          <w:position w:val="0"/>
          <w:sz w:val="24"/>
          <w:szCs w:val="24"/>
          <w:highlight w:val="none"/>
          <w:u w:val="single" w:color="auto"/>
        </w:rPr>
        <w:t>（全称）（盖单位章）</w:t>
      </w:r>
      <w:r>
        <w:rPr>
          <w:rFonts w:ascii="宋体" w:hAnsi="宋体" w:eastAsia="宋体" w:cs="宋体"/>
          <w:color w:val="auto"/>
          <w:spacing w:val="-11"/>
          <w:w w:val="100"/>
          <w:position w:val="0"/>
          <w:sz w:val="24"/>
          <w:szCs w:val="24"/>
          <w:highlight w:val="none"/>
        </w:rPr>
        <w:t>设计人监督单位：</w:t>
      </w:r>
      <w:r>
        <w:rPr>
          <w:rFonts w:ascii="宋体" w:hAnsi="宋体" w:eastAsia="宋体" w:cs="宋体"/>
          <w:color w:val="auto"/>
          <w:spacing w:val="-11"/>
          <w:w w:val="100"/>
          <w:position w:val="0"/>
          <w:sz w:val="24"/>
          <w:szCs w:val="24"/>
          <w:highlight w:val="none"/>
          <w:u w:val="single" w:color="auto"/>
        </w:rPr>
        <w:t>（全称）（盖单位章）</w:t>
      </w:r>
    </w:p>
    <w:p w14:paraId="252627D0">
      <w:pPr>
        <w:spacing w:line="219" w:lineRule="auto"/>
        <w:rPr>
          <w:rFonts w:ascii="宋体" w:hAnsi="宋体" w:eastAsia="宋体" w:cs="宋体"/>
          <w:color w:val="auto"/>
          <w:spacing w:val="0"/>
          <w:w w:val="100"/>
          <w:position w:val="0"/>
          <w:sz w:val="24"/>
          <w:szCs w:val="24"/>
          <w:highlight w:val="none"/>
        </w:rPr>
        <w:sectPr>
          <w:headerReference r:id="rId43" w:type="default"/>
          <w:footerReference r:id="rId44" w:type="default"/>
          <w:pgSz w:w="11900" w:h="16843"/>
          <w:pgMar w:top="1378" w:right="1417" w:bottom="1208" w:left="1417" w:header="1366" w:footer="1003" w:gutter="0"/>
          <w:pgNumType w:fmt="decimal"/>
          <w:cols w:space="0" w:num="1"/>
          <w:rtlGutter w:val="0"/>
          <w:docGrid w:linePitch="0" w:charSpace="0"/>
        </w:sectPr>
      </w:pPr>
    </w:p>
    <w:p w14:paraId="62101A93">
      <w:pPr>
        <w:pStyle w:val="6"/>
        <w:spacing w:before="91" w:line="219" w:lineRule="auto"/>
        <w:ind w:left="81"/>
        <w:outlineLvl w:val="1"/>
        <w:rPr>
          <w:color w:val="auto"/>
          <w:spacing w:val="0"/>
          <w:w w:val="100"/>
          <w:position w:val="0"/>
          <w:sz w:val="28"/>
          <w:szCs w:val="28"/>
          <w:highlight w:val="none"/>
        </w:rPr>
      </w:pPr>
      <w:bookmarkStart w:id="24" w:name="bookmark7"/>
      <w:bookmarkEnd w:id="24"/>
      <w:r>
        <w:rPr>
          <w:b/>
          <w:bCs/>
          <w:color w:val="auto"/>
          <w:spacing w:val="0"/>
          <w:w w:val="100"/>
          <w:position w:val="0"/>
          <w:sz w:val="28"/>
          <w:szCs w:val="28"/>
          <w:highlight w:val="none"/>
        </w:rPr>
        <w:t>附件三</w:t>
      </w:r>
      <w:r>
        <w:rPr>
          <w:color w:val="auto"/>
          <w:spacing w:val="0"/>
          <w:w w:val="100"/>
          <w:position w:val="0"/>
          <w:sz w:val="28"/>
          <w:szCs w:val="28"/>
          <w:highlight w:val="none"/>
        </w:rPr>
        <w:t xml:space="preserve">  </w:t>
      </w:r>
      <w:r>
        <w:rPr>
          <w:b/>
          <w:bCs/>
          <w:color w:val="auto"/>
          <w:spacing w:val="0"/>
          <w:w w:val="100"/>
          <w:position w:val="0"/>
          <w:sz w:val="28"/>
          <w:szCs w:val="28"/>
          <w:highlight w:val="none"/>
        </w:rPr>
        <w:t>分项负责人最低要求</w:t>
      </w:r>
    </w:p>
    <w:p w14:paraId="3874B9C5">
      <w:pPr>
        <w:pStyle w:val="6"/>
        <w:spacing w:before="337" w:line="224" w:lineRule="auto"/>
        <w:ind w:left="2771"/>
        <w:rPr>
          <w:color w:val="auto"/>
          <w:spacing w:val="0"/>
          <w:w w:val="100"/>
          <w:position w:val="0"/>
          <w:highlight w:val="none"/>
        </w:rPr>
      </w:pPr>
      <w:r>
        <w:rPr>
          <w:b/>
          <w:bCs/>
          <w:color w:val="auto"/>
          <w:spacing w:val="0"/>
          <w:w w:val="100"/>
          <w:position w:val="0"/>
          <w:highlight w:val="none"/>
        </w:rPr>
        <w:t>分项负责人最低要求</w:t>
      </w:r>
    </w:p>
    <w:p w14:paraId="6813B28F">
      <w:pPr>
        <w:spacing w:before="79"/>
        <w:rPr>
          <w:color w:val="auto"/>
          <w:spacing w:val="0"/>
          <w:w w:val="100"/>
          <w:position w:val="0"/>
          <w:highlight w:val="none"/>
        </w:rPr>
      </w:pPr>
    </w:p>
    <w:tbl>
      <w:tblPr>
        <w:tblStyle w:val="18"/>
        <w:tblW w:w="84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20"/>
        <w:gridCol w:w="2159"/>
        <w:gridCol w:w="3941"/>
      </w:tblGrid>
      <w:tr w14:paraId="6B0F3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320" w:type="dxa"/>
            <w:vAlign w:val="top"/>
          </w:tcPr>
          <w:p w14:paraId="7686016D">
            <w:pPr>
              <w:pStyle w:val="19"/>
              <w:keepNext w:val="0"/>
              <w:keepLines w:val="0"/>
              <w:widowControl/>
              <w:suppressLineNumbers w:val="0"/>
              <w:spacing w:before="189" w:beforeAutospacing="0" w:after="0" w:afterAutospacing="0" w:line="221" w:lineRule="auto"/>
              <w:ind w:left="927"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人员</w:t>
            </w:r>
          </w:p>
        </w:tc>
        <w:tc>
          <w:tcPr>
            <w:tcW w:w="2159" w:type="dxa"/>
            <w:tcBorders>
              <w:right w:val="single" w:color="000000" w:sz="4" w:space="0"/>
            </w:tcBorders>
            <w:vAlign w:val="top"/>
          </w:tcPr>
          <w:p w14:paraId="3425AE8E">
            <w:pPr>
              <w:pStyle w:val="19"/>
              <w:keepNext w:val="0"/>
              <w:keepLines w:val="0"/>
              <w:widowControl/>
              <w:suppressLineNumbers w:val="0"/>
              <w:spacing w:before="189" w:beforeAutospacing="0" w:after="0" w:afterAutospacing="0" w:line="220" w:lineRule="auto"/>
              <w:ind w:left="845"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数量</w:t>
            </w:r>
          </w:p>
        </w:tc>
        <w:tc>
          <w:tcPr>
            <w:tcW w:w="3941" w:type="dxa"/>
            <w:tcBorders>
              <w:left w:val="single" w:color="000000" w:sz="4" w:space="0"/>
            </w:tcBorders>
            <w:vAlign w:val="top"/>
          </w:tcPr>
          <w:p w14:paraId="57662A5E">
            <w:pPr>
              <w:pStyle w:val="19"/>
              <w:keepNext w:val="0"/>
              <w:keepLines w:val="0"/>
              <w:widowControl/>
              <w:suppressLineNumbers w:val="0"/>
              <w:spacing w:before="189" w:beforeAutospacing="0" w:after="0" w:afterAutospacing="0" w:line="220" w:lineRule="auto"/>
              <w:ind w:left="1502"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资格要求</w:t>
            </w:r>
          </w:p>
        </w:tc>
      </w:tr>
      <w:tr w14:paraId="27738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20" w:type="dxa"/>
            <w:vAlign w:val="top"/>
          </w:tcPr>
          <w:p w14:paraId="6B38C16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1945954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1E04328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FF6F8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20" w:type="dxa"/>
            <w:vAlign w:val="top"/>
          </w:tcPr>
          <w:p w14:paraId="60B550D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7E657E4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5AF1D18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766A5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20" w:type="dxa"/>
            <w:vAlign w:val="top"/>
          </w:tcPr>
          <w:p w14:paraId="1F4515E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04ACE00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4AD902D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53BA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20" w:type="dxa"/>
            <w:vAlign w:val="top"/>
          </w:tcPr>
          <w:p w14:paraId="1A9E735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0DFBCFB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44BD4F2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6726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20" w:type="dxa"/>
            <w:vAlign w:val="top"/>
          </w:tcPr>
          <w:p w14:paraId="50534F7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45877B1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085623D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45347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20" w:type="dxa"/>
            <w:vAlign w:val="top"/>
          </w:tcPr>
          <w:p w14:paraId="3EB0839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3D0B920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2CE9E0B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941D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20" w:type="dxa"/>
            <w:vAlign w:val="top"/>
          </w:tcPr>
          <w:p w14:paraId="2B982CA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23066B0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120B6B7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55553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20" w:type="dxa"/>
            <w:vAlign w:val="top"/>
          </w:tcPr>
          <w:p w14:paraId="77A85C6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1CF5130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16EE156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DB8D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20" w:type="dxa"/>
            <w:vAlign w:val="top"/>
          </w:tcPr>
          <w:p w14:paraId="4ECB831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27F85A8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2830687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FA0A4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20" w:type="dxa"/>
            <w:vAlign w:val="top"/>
          </w:tcPr>
          <w:p w14:paraId="7F25C3D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558CCB3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2EA67DA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531A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20" w:type="dxa"/>
            <w:vAlign w:val="top"/>
          </w:tcPr>
          <w:p w14:paraId="2F09325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0593125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2486FFD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DB3B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20" w:type="dxa"/>
            <w:vAlign w:val="top"/>
          </w:tcPr>
          <w:p w14:paraId="17041DC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6AC676C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6FC5935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ACD9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20" w:type="dxa"/>
            <w:vAlign w:val="top"/>
          </w:tcPr>
          <w:p w14:paraId="54BC3ED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6ACAE40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548C8C5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77D7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20" w:type="dxa"/>
            <w:vAlign w:val="top"/>
          </w:tcPr>
          <w:p w14:paraId="344B666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0E08858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148DF4D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0DA8C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20" w:type="dxa"/>
            <w:vAlign w:val="top"/>
          </w:tcPr>
          <w:p w14:paraId="49A7434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159" w:type="dxa"/>
            <w:tcBorders>
              <w:right w:val="single" w:color="000000" w:sz="4" w:space="0"/>
            </w:tcBorders>
            <w:vAlign w:val="top"/>
          </w:tcPr>
          <w:p w14:paraId="1F3B843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941" w:type="dxa"/>
            <w:tcBorders>
              <w:left w:val="single" w:color="000000" w:sz="4" w:space="0"/>
            </w:tcBorders>
            <w:vAlign w:val="top"/>
          </w:tcPr>
          <w:p w14:paraId="359DDA6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2E5BC633">
      <w:pPr>
        <w:rPr>
          <w:rFonts w:ascii="Arial"/>
          <w:color w:val="auto"/>
          <w:spacing w:val="0"/>
          <w:w w:val="100"/>
          <w:position w:val="0"/>
          <w:sz w:val="21"/>
          <w:highlight w:val="none"/>
        </w:rPr>
      </w:pPr>
    </w:p>
    <w:p w14:paraId="12018EA2">
      <w:pPr>
        <w:rPr>
          <w:rFonts w:ascii="Arial" w:hAnsi="Arial" w:eastAsia="Arial" w:cs="Arial"/>
          <w:color w:val="auto"/>
          <w:spacing w:val="0"/>
          <w:w w:val="100"/>
          <w:position w:val="0"/>
          <w:sz w:val="21"/>
          <w:szCs w:val="21"/>
          <w:highlight w:val="none"/>
        </w:rPr>
        <w:sectPr>
          <w:headerReference r:id="rId45" w:type="default"/>
          <w:footerReference r:id="rId46" w:type="default"/>
          <w:pgSz w:w="11900" w:h="16843"/>
          <w:pgMar w:top="1378" w:right="1417" w:bottom="1208" w:left="1417" w:header="1366" w:footer="1003" w:gutter="0"/>
          <w:pgNumType w:fmt="decimal"/>
          <w:cols w:space="0" w:num="1"/>
          <w:rtlGutter w:val="0"/>
          <w:docGrid w:linePitch="0" w:charSpace="0"/>
        </w:sectPr>
      </w:pPr>
    </w:p>
    <w:p w14:paraId="3EAD0EB4">
      <w:pPr>
        <w:pStyle w:val="6"/>
        <w:spacing w:before="91" w:line="219" w:lineRule="auto"/>
        <w:ind w:left="55"/>
        <w:outlineLvl w:val="3"/>
        <w:rPr>
          <w:color w:val="auto"/>
          <w:spacing w:val="0"/>
          <w:w w:val="100"/>
          <w:position w:val="0"/>
          <w:sz w:val="28"/>
          <w:szCs w:val="28"/>
          <w:highlight w:val="none"/>
        </w:rPr>
      </w:pPr>
      <w:r>
        <w:rPr>
          <w:b/>
          <w:bCs/>
          <w:color w:val="auto"/>
          <w:spacing w:val="0"/>
          <w:w w:val="100"/>
          <w:position w:val="0"/>
          <w:sz w:val="28"/>
          <w:szCs w:val="28"/>
          <w:highlight w:val="none"/>
        </w:rPr>
        <w:t>附件四</w:t>
      </w:r>
      <w:r>
        <w:rPr>
          <w:color w:val="auto"/>
          <w:spacing w:val="0"/>
          <w:w w:val="100"/>
          <w:position w:val="0"/>
          <w:sz w:val="28"/>
          <w:szCs w:val="28"/>
          <w:highlight w:val="none"/>
        </w:rPr>
        <w:t xml:space="preserve"> </w:t>
      </w:r>
      <w:r>
        <w:rPr>
          <w:b/>
          <w:bCs/>
          <w:color w:val="auto"/>
          <w:spacing w:val="0"/>
          <w:w w:val="100"/>
          <w:position w:val="0"/>
          <w:sz w:val="28"/>
          <w:szCs w:val="28"/>
          <w:highlight w:val="none"/>
        </w:rPr>
        <w:t>履约保证金格式</w:t>
      </w:r>
    </w:p>
    <w:p w14:paraId="06D81F18">
      <w:pPr>
        <w:rPr>
          <w:rFonts w:ascii="Arial"/>
          <w:color w:val="auto"/>
          <w:spacing w:val="0"/>
          <w:w w:val="100"/>
          <w:position w:val="0"/>
          <w:sz w:val="21"/>
          <w:highlight w:val="none"/>
        </w:rPr>
      </w:pPr>
    </w:p>
    <w:p w14:paraId="67A9F32E">
      <w:pPr>
        <w:spacing w:before="91" w:line="219" w:lineRule="auto"/>
        <w:ind w:left="44"/>
        <w:rPr>
          <w:rFonts w:ascii="宋体" w:hAnsi="宋体" w:eastAsia="宋体" w:cs="宋体"/>
          <w:color w:val="auto"/>
          <w:spacing w:val="0"/>
          <w:w w:val="100"/>
          <w:position w:val="0"/>
          <w:sz w:val="28"/>
          <w:szCs w:val="28"/>
          <w:highlight w:val="none"/>
        </w:rPr>
      </w:pPr>
      <w:r>
        <w:rPr>
          <w:rFonts w:ascii="宋体" w:hAnsi="宋体" w:eastAsia="宋体" w:cs="宋体"/>
          <w:color w:val="auto"/>
          <w:spacing w:val="0"/>
          <w:w w:val="100"/>
          <w:position w:val="0"/>
          <w:sz w:val="28"/>
          <w:szCs w:val="28"/>
          <w:highlight w:val="none"/>
        </w:rPr>
        <w:t>如采用银行保函，格式如下。</w:t>
      </w:r>
    </w:p>
    <w:p w14:paraId="58280673">
      <w:pPr>
        <w:pStyle w:val="6"/>
        <w:spacing w:before="338" w:line="224" w:lineRule="auto"/>
        <w:ind w:left="3378"/>
        <w:rPr>
          <w:color w:val="auto"/>
          <w:spacing w:val="0"/>
          <w:w w:val="100"/>
          <w:position w:val="0"/>
          <w:highlight w:val="none"/>
        </w:rPr>
      </w:pPr>
      <w:r>
        <w:rPr>
          <w:b/>
          <w:bCs/>
          <w:color w:val="auto"/>
          <w:spacing w:val="0"/>
          <w:w w:val="100"/>
          <w:position w:val="0"/>
          <w:highlight w:val="none"/>
        </w:rPr>
        <w:t>履约保证金</w:t>
      </w:r>
    </w:p>
    <w:p w14:paraId="65485E1A">
      <w:pPr>
        <w:spacing w:line="274" w:lineRule="auto"/>
        <w:rPr>
          <w:rFonts w:ascii="Arial"/>
          <w:color w:val="auto"/>
          <w:spacing w:val="0"/>
          <w:w w:val="100"/>
          <w:position w:val="0"/>
          <w:sz w:val="21"/>
          <w:highlight w:val="none"/>
        </w:rPr>
      </w:pPr>
    </w:p>
    <w:p w14:paraId="781EEF98">
      <w:pPr>
        <w:tabs>
          <w:tab w:val="left" w:pos="1948"/>
        </w:tabs>
        <w:spacing w:before="78" w:line="220" w:lineRule="auto"/>
        <w:ind w:left="508"/>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（发包人名称）：</w:t>
      </w:r>
    </w:p>
    <w:p w14:paraId="7CA99C8B">
      <w:pPr>
        <w:spacing w:before="163" w:line="290" w:lineRule="auto"/>
        <w:ind w:left="37" w:right="29" w:firstLine="480"/>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鉴于</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（发包人名称，以下简称“发包人 ”）接受 </w:t>
      </w:r>
      <w:r>
        <w:rPr>
          <w:rFonts w:ascii="宋体" w:hAnsi="宋体" w:eastAsia="宋体" w:cs="宋体"/>
          <w:color w:val="auto"/>
          <w:spacing w:val="0"/>
          <w:w w:val="100"/>
          <w:position w:val="0"/>
          <w:sz w:val="24"/>
          <w:szCs w:val="24"/>
          <w:highlight w:val="none"/>
          <w:u w:val="single" w:color="auto"/>
        </w:rPr>
        <w:tab/>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ascii="宋体" w:hAnsi="宋体" w:eastAsia="宋体" w:cs="宋体"/>
          <w:color w:val="auto"/>
          <w:spacing w:val="0"/>
          <w:w w:val="100"/>
          <w:position w:val="0"/>
          <w:sz w:val="24"/>
          <w:szCs w:val="24"/>
          <w:highlight w:val="none"/>
        </w:rPr>
        <w:t xml:space="preserve">（设计人名称，以下简称“设计人 ”）于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年</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月</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日参加（项目名称）</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标段勘察设计的投标。我方愿意无条件地、不可撤销地就设计人履行与你方订立的合同，向你方提供担保。</w:t>
      </w:r>
    </w:p>
    <w:p w14:paraId="6A0B823F">
      <w:pPr>
        <w:spacing w:line="232" w:lineRule="auto"/>
        <w:ind w:left="536"/>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担保金额人民币（大写）</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元 (</w:t>
      </w:r>
      <w:r>
        <w:rPr>
          <w:rFonts w:ascii="Times New Roman" w:hAnsi="Times New Roman" w:eastAsia="Times New Roman" w:cs="Times New Roman"/>
          <w:color w:val="auto"/>
          <w:spacing w:val="0"/>
          <w:w w:val="100"/>
          <w:position w:val="0"/>
          <w:sz w:val="24"/>
          <w:szCs w:val="24"/>
          <w:highlight w:val="none"/>
        </w:rPr>
        <w:t>¥</w:t>
      </w:r>
      <w:r>
        <w:rPr>
          <w:color w:val="auto"/>
          <w:spacing w:val="0"/>
          <w:w w:val="100"/>
          <w:position w:val="0"/>
          <w:sz w:val="24"/>
          <w:szCs w:val="24"/>
          <w:highlight w:val="none"/>
        </w:rPr>
        <w:drawing>
          <wp:inline distT="0" distB="0" distL="0" distR="0">
            <wp:extent cx="871855" cy="698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12"/>
                    <a:stretch>
                      <a:fillRect/>
                    </a:stretch>
                  </pic:blipFill>
                  <pic:spPr>
                    <a:xfrm>
                      <a:off x="0" y="0"/>
                      <a:ext cx="872337" cy="7619"/>
                    </a:xfrm>
                    <a:prstGeom prst="rect">
                      <a:avLst/>
                    </a:prstGeom>
                  </pic:spPr>
                </pic:pic>
              </a:graphicData>
            </a:graphic>
          </wp:inline>
        </w:drawing>
      </w:r>
      <w:r>
        <w:rPr>
          <w:rFonts w:ascii="Times New Roman" w:hAnsi="Times New Roman" w:eastAsia="Times New Roman" w:cs="Times New Roman"/>
          <w:color w:val="auto"/>
          <w:spacing w:val="0"/>
          <w:w w:val="100"/>
          <w:position w:val="0"/>
          <w:sz w:val="24"/>
          <w:szCs w:val="24"/>
          <w:highlight w:val="none"/>
        </w:rPr>
        <w:t xml:space="preserve"> </w:t>
      </w:r>
      <w:r>
        <w:rPr>
          <w:rFonts w:ascii="宋体" w:hAnsi="宋体" w:eastAsia="宋体" w:cs="宋体"/>
          <w:color w:val="auto"/>
          <w:spacing w:val="0"/>
          <w:w w:val="100"/>
          <w:position w:val="0"/>
          <w:sz w:val="24"/>
          <w:szCs w:val="24"/>
          <w:highlight w:val="none"/>
        </w:rPr>
        <w:t>)。</w:t>
      </w:r>
    </w:p>
    <w:p w14:paraId="4A9833FF">
      <w:pPr>
        <w:spacing w:before="165" w:line="289" w:lineRule="auto"/>
        <w:ind w:left="42" w:right="283" w:firstLine="471"/>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担保有效期自发包人与设计人签订的合同生效之日起至发包人签收最后一批勘察设计成果文件且设计人按照合同约定缴纳质量保证金之日止。</w:t>
      </w:r>
    </w:p>
    <w:p w14:paraId="7B7A71C1">
      <w:pPr>
        <w:spacing w:before="184" w:line="312" w:lineRule="auto"/>
        <w:ind w:left="61" w:right="75" w:firstLine="456"/>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在本担保有效期内，如果设计人不履行合同约定的义务或其履行不符合合同的约定，我方在收到你方以书面形式提出的在担保金额内的赔偿要求后，在</w:t>
      </w:r>
      <w:r>
        <w:rPr>
          <w:rFonts w:ascii="Times New Roman" w:hAnsi="Times New Roman" w:eastAsia="Times New Roman" w:cs="Times New Roman"/>
          <w:color w:val="auto"/>
          <w:spacing w:val="0"/>
          <w:w w:val="100"/>
          <w:position w:val="0"/>
          <w:sz w:val="24"/>
          <w:szCs w:val="24"/>
          <w:highlight w:val="none"/>
        </w:rPr>
        <w:t>7</w:t>
      </w:r>
      <w:r>
        <w:rPr>
          <w:rFonts w:ascii="宋体" w:hAnsi="宋体" w:eastAsia="宋体" w:cs="宋体"/>
          <w:color w:val="auto"/>
          <w:spacing w:val="0"/>
          <w:w w:val="100"/>
          <w:position w:val="0"/>
          <w:sz w:val="24"/>
          <w:szCs w:val="24"/>
          <w:highlight w:val="none"/>
        </w:rPr>
        <w:t>日内无条件支付，无须你方出具证明或陈述理由。</w:t>
      </w:r>
    </w:p>
    <w:p w14:paraId="67EFAE07">
      <w:pPr>
        <w:spacing w:before="181" w:line="290" w:lineRule="auto"/>
        <w:ind w:left="39" w:right="76" w:firstLine="473"/>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发包人和设计人变更合同时，无论我方是否收到该变更，我方承担本担保规定的义务不变。</w:t>
      </w:r>
    </w:p>
    <w:p w14:paraId="54EA67EF">
      <w:pPr>
        <w:spacing w:line="256" w:lineRule="auto"/>
        <w:rPr>
          <w:rFonts w:ascii="Arial"/>
          <w:color w:val="auto"/>
          <w:spacing w:val="0"/>
          <w:w w:val="100"/>
          <w:position w:val="0"/>
          <w:sz w:val="21"/>
          <w:highlight w:val="none"/>
        </w:rPr>
      </w:pPr>
    </w:p>
    <w:p w14:paraId="67E9EC5E">
      <w:pPr>
        <w:spacing w:line="257" w:lineRule="auto"/>
        <w:rPr>
          <w:rFonts w:ascii="Arial"/>
          <w:color w:val="auto"/>
          <w:spacing w:val="0"/>
          <w:w w:val="100"/>
          <w:position w:val="0"/>
          <w:sz w:val="21"/>
          <w:highlight w:val="none"/>
        </w:rPr>
      </w:pPr>
    </w:p>
    <w:p w14:paraId="4C58924E">
      <w:pPr>
        <w:spacing w:before="79" w:line="219" w:lineRule="auto"/>
        <w:jc w:val="right"/>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担保人名称：</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（盖单位章）</w:t>
      </w:r>
    </w:p>
    <w:p w14:paraId="5BE11074">
      <w:pPr>
        <w:spacing w:line="308" w:lineRule="auto"/>
        <w:rPr>
          <w:rFonts w:ascii="Arial"/>
          <w:color w:val="auto"/>
          <w:spacing w:val="0"/>
          <w:w w:val="100"/>
          <w:position w:val="0"/>
          <w:sz w:val="21"/>
          <w:highlight w:val="none"/>
        </w:rPr>
      </w:pPr>
    </w:p>
    <w:p w14:paraId="22A32CC4">
      <w:pPr>
        <w:spacing w:line="308" w:lineRule="auto"/>
        <w:rPr>
          <w:rFonts w:ascii="Arial"/>
          <w:color w:val="auto"/>
          <w:spacing w:val="0"/>
          <w:w w:val="100"/>
          <w:position w:val="0"/>
          <w:sz w:val="21"/>
          <w:highlight w:val="none"/>
        </w:rPr>
      </w:pPr>
    </w:p>
    <w:p w14:paraId="4A38F26C">
      <w:pPr>
        <w:spacing w:line="309" w:lineRule="auto"/>
        <w:rPr>
          <w:rFonts w:ascii="Arial"/>
          <w:color w:val="auto"/>
          <w:spacing w:val="0"/>
          <w:w w:val="100"/>
          <w:position w:val="0"/>
          <w:sz w:val="21"/>
          <w:highlight w:val="none"/>
        </w:rPr>
      </w:pPr>
    </w:p>
    <w:p w14:paraId="1A293818">
      <w:pPr>
        <w:spacing w:before="78" w:line="220" w:lineRule="auto"/>
        <w:jc w:val="right"/>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法定代表人或其委托代理人：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（签字）</w:t>
      </w:r>
    </w:p>
    <w:p w14:paraId="12F4E845">
      <w:pPr>
        <w:spacing w:before="183" w:line="229" w:lineRule="auto"/>
        <w:ind w:left="3156"/>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地址：</w:t>
      </w:r>
      <w:r>
        <w:rPr>
          <w:rFonts w:ascii="宋体" w:hAnsi="宋体" w:eastAsia="宋体" w:cs="宋体"/>
          <w:color w:val="auto"/>
          <w:spacing w:val="0"/>
          <w:w w:val="100"/>
          <w:position w:val="0"/>
          <w:sz w:val="24"/>
          <w:szCs w:val="24"/>
          <w:highlight w:val="none"/>
          <w:u w:val="single" w:color="auto"/>
        </w:rPr>
        <w:t xml:space="preserve">                                      </w:t>
      </w:r>
    </w:p>
    <w:p w14:paraId="090B914D">
      <w:pPr>
        <w:spacing w:before="167" w:line="220" w:lineRule="auto"/>
        <w:ind w:left="3174"/>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邮政编码：</w:t>
      </w:r>
      <w:r>
        <w:rPr>
          <w:rFonts w:ascii="宋体" w:hAnsi="宋体" w:eastAsia="宋体" w:cs="宋体"/>
          <w:color w:val="auto"/>
          <w:spacing w:val="0"/>
          <w:w w:val="100"/>
          <w:position w:val="0"/>
          <w:sz w:val="24"/>
          <w:szCs w:val="24"/>
          <w:highlight w:val="none"/>
          <w:u w:val="single" w:color="auto"/>
        </w:rPr>
        <w:t xml:space="preserve">                                  </w:t>
      </w:r>
    </w:p>
    <w:p w14:paraId="7E62C674">
      <w:pPr>
        <w:spacing w:before="182" w:line="222" w:lineRule="auto"/>
        <w:ind w:left="3184"/>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电话：</w:t>
      </w:r>
      <w:r>
        <w:rPr>
          <w:rFonts w:ascii="宋体" w:hAnsi="宋体" w:eastAsia="宋体" w:cs="宋体"/>
          <w:color w:val="auto"/>
          <w:spacing w:val="0"/>
          <w:w w:val="100"/>
          <w:position w:val="0"/>
          <w:sz w:val="24"/>
          <w:szCs w:val="24"/>
          <w:highlight w:val="none"/>
          <w:u w:val="single" w:color="auto"/>
        </w:rPr>
        <w:t xml:space="preserve">                                      </w:t>
      </w:r>
    </w:p>
    <w:p w14:paraId="0BD724DC">
      <w:pPr>
        <w:spacing w:before="178" w:line="219" w:lineRule="auto"/>
        <w:ind w:left="3154"/>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传真：</w:t>
      </w:r>
      <w:r>
        <w:rPr>
          <w:rFonts w:ascii="宋体" w:hAnsi="宋体" w:eastAsia="宋体" w:cs="宋体"/>
          <w:color w:val="auto"/>
          <w:spacing w:val="0"/>
          <w:w w:val="100"/>
          <w:position w:val="0"/>
          <w:sz w:val="24"/>
          <w:szCs w:val="24"/>
          <w:highlight w:val="none"/>
          <w:u w:val="single" w:color="auto"/>
        </w:rPr>
        <w:t xml:space="preserve">                                      </w:t>
      </w:r>
    </w:p>
    <w:p w14:paraId="230B78DF">
      <w:pPr>
        <w:tabs>
          <w:tab w:val="left" w:pos="6415"/>
        </w:tabs>
        <w:spacing w:before="183" w:line="220" w:lineRule="auto"/>
        <w:ind w:left="5576"/>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年</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月</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日</w:t>
      </w:r>
    </w:p>
    <w:p w14:paraId="27AE49E4">
      <w:pPr>
        <w:spacing w:line="220" w:lineRule="auto"/>
        <w:rPr>
          <w:rFonts w:ascii="宋体" w:hAnsi="宋体" w:eastAsia="宋体" w:cs="宋体"/>
          <w:color w:val="auto"/>
          <w:spacing w:val="0"/>
          <w:w w:val="100"/>
          <w:position w:val="0"/>
          <w:sz w:val="24"/>
          <w:szCs w:val="24"/>
          <w:highlight w:val="none"/>
        </w:rPr>
        <w:sectPr>
          <w:headerReference r:id="rId47" w:type="default"/>
          <w:footerReference r:id="rId48" w:type="default"/>
          <w:pgSz w:w="11900" w:h="16843"/>
          <w:pgMar w:top="1378" w:right="1417" w:bottom="1208" w:left="1417" w:header="1366" w:footer="1003" w:gutter="0"/>
          <w:pgNumType w:fmt="decimal"/>
          <w:cols w:space="0" w:num="1"/>
          <w:rtlGutter w:val="0"/>
          <w:docGrid w:linePitch="0" w:charSpace="0"/>
        </w:sectPr>
      </w:pPr>
    </w:p>
    <w:p w14:paraId="6247BCA2">
      <w:pPr>
        <w:spacing w:line="246" w:lineRule="auto"/>
        <w:rPr>
          <w:rFonts w:ascii="Arial"/>
          <w:color w:val="auto"/>
          <w:spacing w:val="0"/>
          <w:w w:val="100"/>
          <w:position w:val="0"/>
          <w:sz w:val="21"/>
          <w:highlight w:val="none"/>
        </w:rPr>
      </w:pPr>
    </w:p>
    <w:p w14:paraId="3D391C7E">
      <w:pPr>
        <w:spacing w:line="246" w:lineRule="auto"/>
        <w:rPr>
          <w:rFonts w:ascii="Arial"/>
          <w:color w:val="auto"/>
          <w:spacing w:val="0"/>
          <w:w w:val="100"/>
          <w:position w:val="0"/>
          <w:sz w:val="21"/>
          <w:highlight w:val="none"/>
        </w:rPr>
      </w:pPr>
    </w:p>
    <w:p w14:paraId="3C70CA4D">
      <w:pPr>
        <w:spacing w:line="246" w:lineRule="auto"/>
        <w:rPr>
          <w:rFonts w:ascii="Arial"/>
          <w:color w:val="auto"/>
          <w:spacing w:val="0"/>
          <w:w w:val="100"/>
          <w:position w:val="0"/>
          <w:sz w:val="21"/>
          <w:highlight w:val="none"/>
        </w:rPr>
      </w:pPr>
    </w:p>
    <w:p w14:paraId="1279FC15">
      <w:pPr>
        <w:spacing w:line="246" w:lineRule="auto"/>
        <w:rPr>
          <w:rFonts w:ascii="Arial"/>
          <w:color w:val="auto"/>
          <w:spacing w:val="0"/>
          <w:w w:val="100"/>
          <w:position w:val="0"/>
          <w:sz w:val="21"/>
          <w:highlight w:val="none"/>
        </w:rPr>
      </w:pPr>
    </w:p>
    <w:p w14:paraId="39DBE623">
      <w:pPr>
        <w:spacing w:line="247" w:lineRule="auto"/>
        <w:rPr>
          <w:rFonts w:ascii="Arial"/>
          <w:color w:val="auto"/>
          <w:spacing w:val="0"/>
          <w:w w:val="100"/>
          <w:position w:val="0"/>
          <w:sz w:val="21"/>
          <w:highlight w:val="none"/>
        </w:rPr>
      </w:pPr>
    </w:p>
    <w:p w14:paraId="7F132A8F">
      <w:pPr>
        <w:spacing w:line="247" w:lineRule="auto"/>
        <w:rPr>
          <w:rFonts w:ascii="Arial"/>
          <w:color w:val="auto"/>
          <w:spacing w:val="0"/>
          <w:w w:val="100"/>
          <w:position w:val="0"/>
          <w:sz w:val="21"/>
          <w:highlight w:val="none"/>
        </w:rPr>
      </w:pPr>
    </w:p>
    <w:p w14:paraId="027A3374">
      <w:pPr>
        <w:spacing w:line="247" w:lineRule="auto"/>
        <w:rPr>
          <w:rFonts w:ascii="Arial"/>
          <w:color w:val="auto"/>
          <w:spacing w:val="0"/>
          <w:w w:val="100"/>
          <w:position w:val="0"/>
          <w:sz w:val="21"/>
          <w:highlight w:val="none"/>
        </w:rPr>
      </w:pPr>
    </w:p>
    <w:p w14:paraId="0F5B28D7">
      <w:pPr>
        <w:spacing w:line="247" w:lineRule="auto"/>
        <w:rPr>
          <w:rFonts w:ascii="Arial"/>
          <w:color w:val="auto"/>
          <w:spacing w:val="0"/>
          <w:w w:val="100"/>
          <w:position w:val="0"/>
          <w:sz w:val="21"/>
          <w:highlight w:val="none"/>
        </w:rPr>
      </w:pPr>
    </w:p>
    <w:p w14:paraId="79839EA7">
      <w:pPr>
        <w:spacing w:line="247" w:lineRule="auto"/>
        <w:rPr>
          <w:rFonts w:ascii="Arial"/>
          <w:color w:val="auto"/>
          <w:spacing w:val="0"/>
          <w:w w:val="100"/>
          <w:position w:val="0"/>
          <w:sz w:val="21"/>
          <w:highlight w:val="none"/>
        </w:rPr>
      </w:pPr>
    </w:p>
    <w:p w14:paraId="328CC23C">
      <w:pPr>
        <w:spacing w:line="247" w:lineRule="auto"/>
        <w:rPr>
          <w:rFonts w:ascii="Arial"/>
          <w:color w:val="auto"/>
          <w:spacing w:val="0"/>
          <w:w w:val="100"/>
          <w:position w:val="0"/>
          <w:sz w:val="21"/>
          <w:highlight w:val="none"/>
        </w:rPr>
      </w:pPr>
    </w:p>
    <w:p w14:paraId="46BF66C6">
      <w:pPr>
        <w:spacing w:line="247" w:lineRule="auto"/>
        <w:rPr>
          <w:rFonts w:ascii="Arial"/>
          <w:color w:val="auto"/>
          <w:spacing w:val="0"/>
          <w:w w:val="100"/>
          <w:position w:val="0"/>
          <w:sz w:val="21"/>
          <w:highlight w:val="none"/>
        </w:rPr>
      </w:pPr>
    </w:p>
    <w:p w14:paraId="2371F50C">
      <w:pPr>
        <w:spacing w:line="247" w:lineRule="auto"/>
        <w:rPr>
          <w:rFonts w:ascii="Arial"/>
          <w:color w:val="auto"/>
          <w:spacing w:val="0"/>
          <w:w w:val="100"/>
          <w:position w:val="0"/>
          <w:sz w:val="21"/>
          <w:highlight w:val="none"/>
        </w:rPr>
      </w:pPr>
    </w:p>
    <w:p w14:paraId="387BB8A1">
      <w:pPr>
        <w:spacing w:line="247" w:lineRule="auto"/>
        <w:rPr>
          <w:rFonts w:ascii="Arial"/>
          <w:color w:val="auto"/>
          <w:spacing w:val="0"/>
          <w:w w:val="100"/>
          <w:position w:val="0"/>
          <w:sz w:val="21"/>
          <w:highlight w:val="none"/>
        </w:rPr>
      </w:pPr>
    </w:p>
    <w:p w14:paraId="6DCF1767">
      <w:pPr>
        <w:spacing w:line="247" w:lineRule="auto"/>
        <w:rPr>
          <w:rFonts w:ascii="Arial"/>
          <w:color w:val="auto"/>
          <w:spacing w:val="0"/>
          <w:w w:val="100"/>
          <w:position w:val="0"/>
          <w:sz w:val="21"/>
          <w:highlight w:val="none"/>
        </w:rPr>
      </w:pPr>
    </w:p>
    <w:p w14:paraId="024A8C63">
      <w:pPr>
        <w:spacing w:line="247" w:lineRule="auto"/>
        <w:rPr>
          <w:rFonts w:ascii="Arial"/>
          <w:color w:val="auto"/>
          <w:spacing w:val="0"/>
          <w:w w:val="100"/>
          <w:position w:val="0"/>
          <w:sz w:val="21"/>
          <w:highlight w:val="none"/>
        </w:rPr>
      </w:pPr>
    </w:p>
    <w:p w14:paraId="07F4D1EE">
      <w:pPr>
        <w:spacing w:line="247" w:lineRule="auto"/>
        <w:rPr>
          <w:rFonts w:ascii="Arial"/>
          <w:color w:val="auto"/>
          <w:spacing w:val="0"/>
          <w:w w:val="100"/>
          <w:position w:val="0"/>
          <w:sz w:val="21"/>
          <w:highlight w:val="none"/>
        </w:rPr>
      </w:pPr>
    </w:p>
    <w:p w14:paraId="33417EB5">
      <w:pPr>
        <w:spacing w:line="247" w:lineRule="auto"/>
        <w:rPr>
          <w:rFonts w:ascii="Arial"/>
          <w:color w:val="auto"/>
          <w:spacing w:val="0"/>
          <w:w w:val="100"/>
          <w:position w:val="0"/>
          <w:sz w:val="21"/>
          <w:highlight w:val="none"/>
        </w:rPr>
      </w:pPr>
    </w:p>
    <w:p w14:paraId="3C6843A1">
      <w:pPr>
        <w:spacing w:line="247" w:lineRule="auto"/>
        <w:rPr>
          <w:rFonts w:ascii="Arial"/>
          <w:color w:val="auto"/>
          <w:spacing w:val="0"/>
          <w:w w:val="100"/>
          <w:position w:val="0"/>
          <w:sz w:val="21"/>
          <w:highlight w:val="none"/>
        </w:rPr>
      </w:pPr>
    </w:p>
    <w:p w14:paraId="4EE76D85">
      <w:pPr>
        <w:spacing w:line="247" w:lineRule="auto"/>
        <w:rPr>
          <w:rFonts w:ascii="Arial"/>
          <w:color w:val="auto"/>
          <w:spacing w:val="0"/>
          <w:w w:val="100"/>
          <w:position w:val="0"/>
          <w:sz w:val="21"/>
          <w:highlight w:val="none"/>
        </w:rPr>
      </w:pPr>
    </w:p>
    <w:p w14:paraId="03206928">
      <w:pPr>
        <w:pStyle w:val="6"/>
        <w:spacing w:before="234" w:line="219" w:lineRule="auto"/>
        <w:ind w:left="3326"/>
        <w:outlineLvl w:val="0"/>
        <w:rPr>
          <w:color w:val="auto"/>
          <w:spacing w:val="0"/>
          <w:w w:val="100"/>
          <w:position w:val="0"/>
          <w:sz w:val="72"/>
          <w:szCs w:val="72"/>
          <w:highlight w:val="none"/>
        </w:rPr>
      </w:pPr>
      <w:bookmarkStart w:id="25" w:name="bookmark26"/>
      <w:bookmarkEnd w:id="25"/>
      <w:r>
        <w:rPr>
          <w:color w:val="auto"/>
          <w:spacing w:val="0"/>
          <w:w w:val="100"/>
          <w:position w:val="0"/>
          <w:sz w:val="72"/>
          <w:szCs w:val="72"/>
          <w:highlight w:val="none"/>
        </w:rPr>
        <w:t>第二卷</w:t>
      </w:r>
    </w:p>
    <w:p w14:paraId="7987AF2D">
      <w:pPr>
        <w:spacing w:line="219" w:lineRule="auto"/>
        <w:rPr>
          <w:color w:val="auto"/>
          <w:spacing w:val="0"/>
          <w:w w:val="100"/>
          <w:position w:val="0"/>
          <w:sz w:val="72"/>
          <w:szCs w:val="72"/>
          <w:highlight w:val="none"/>
        </w:rPr>
        <w:sectPr>
          <w:headerReference r:id="rId49" w:type="default"/>
          <w:footerReference r:id="rId50" w:type="default"/>
          <w:pgSz w:w="11900" w:h="16843"/>
          <w:pgMar w:top="1378" w:right="1417" w:bottom="1208" w:left="1417" w:header="1366" w:footer="1003" w:gutter="0"/>
          <w:pgNumType w:fmt="decimal"/>
          <w:cols w:space="0" w:num="1"/>
          <w:rtlGutter w:val="0"/>
          <w:docGrid w:linePitch="0" w:charSpace="0"/>
        </w:sectPr>
      </w:pPr>
    </w:p>
    <w:p w14:paraId="3ED24ECA">
      <w:pPr>
        <w:spacing w:line="241" w:lineRule="auto"/>
        <w:rPr>
          <w:rFonts w:ascii="Arial"/>
          <w:color w:val="auto"/>
          <w:spacing w:val="0"/>
          <w:w w:val="100"/>
          <w:position w:val="0"/>
          <w:sz w:val="21"/>
          <w:highlight w:val="none"/>
        </w:rPr>
      </w:pPr>
    </w:p>
    <w:p w14:paraId="0733B896">
      <w:pPr>
        <w:spacing w:line="241" w:lineRule="auto"/>
        <w:rPr>
          <w:rFonts w:ascii="Arial"/>
          <w:color w:val="auto"/>
          <w:spacing w:val="0"/>
          <w:w w:val="100"/>
          <w:position w:val="0"/>
          <w:sz w:val="21"/>
          <w:highlight w:val="none"/>
        </w:rPr>
      </w:pPr>
    </w:p>
    <w:p w14:paraId="6E4BDC3C">
      <w:pPr>
        <w:spacing w:line="241" w:lineRule="auto"/>
        <w:rPr>
          <w:rFonts w:ascii="Arial"/>
          <w:color w:val="auto"/>
          <w:spacing w:val="0"/>
          <w:w w:val="100"/>
          <w:position w:val="0"/>
          <w:sz w:val="21"/>
          <w:highlight w:val="none"/>
        </w:rPr>
      </w:pPr>
    </w:p>
    <w:p w14:paraId="595A8EEF">
      <w:pPr>
        <w:spacing w:line="241" w:lineRule="auto"/>
        <w:rPr>
          <w:rFonts w:ascii="Arial"/>
          <w:color w:val="auto"/>
          <w:spacing w:val="0"/>
          <w:w w:val="100"/>
          <w:position w:val="0"/>
          <w:sz w:val="21"/>
          <w:highlight w:val="none"/>
        </w:rPr>
      </w:pPr>
    </w:p>
    <w:p w14:paraId="35F429D3">
      <w:pPr>
        <w:spacing w:line="241" w:lineRule="auto"/>
        <w:rPr>
          <w:rFonts w:ascii="Arial"/>
          <w:color w:val="auto"/>
          <w:spacing w:val="0"/>
          <w:w w:val="100"/>
          <w:position w:val="0"/>
          <w:sz w:val="21"/>
          <w:highlight w:val="none"/>
        </w:rPr>
      </w:pPr>
    </w:p>
    <w:p w14:paraId="2C57A41D">
      <w:pPr>
        <w:spacing w:line="241" w:lineRule="auto"/>
        <w:rPr>
          <w:rFonts w:ascii="Arial"/>
          <w:color w:val="auto"/>
          <w:spacing w:val="0"/>
          <w:w w:val="100"/>
          <w:position w:val="0"/>
          <w:sz w:val="21"/>
          <w:highlight w:val="none"/>
        </w:rPr>
      </w:pPr>
    </w:p>
    <w:p w14:paraId="5C545A1E">
      <w:pPr>
        <w:spacing w:line="241" w:lineRule="auto"/>
        <w:rPr>
          <w:rFonts w:ascii="Arial"/>
          <w:color w:val="auto"/>
          <w:spacing w:val="0"/>
          <w:w w:val="100"/>
          <w:position w:val="0"/>
          <w:sz w:val="21"/>
          <w:highlight w:val="none"/>
        </w:rPr>
      </w:pPr>
    </w:p>
    <w:p w14:paraId="392B9C3B">
      <w:pPr>
        <w:spacing w:line="241" w:lineRule="auto"/>
        <w:rPr>
          <w:rFonts w:ascii="Arial"/>
          <w:color w:val="auto"/>
          <w:spacing w:val="0"/>
          <w:w w:val="100"/>
          <w:position w:val="0"/>
          <w:sz w:val="21"/>
          <w:highlight w:val="none"/>
        </w:rPr>
      </w:pPr>
    </w:p>
    <w:p w14:paraId="58F410D1">
      <w:pPr>
        <w:spacing w:line="241" w:lineRule="auto"/>
        <w:rPr>
          <w:rFonts w:ascii="Arial"/>
          <w:color w:val="auto"/>
          <w:spacing w:val="0"/>
          <w:w w:val="100"/>
          <w:position w:val="0"/>
          <w:sz w:val="21"/>
          <w:highlight w:val="none"/>
        </w:rPr>
      </w:pPr>
    </w:p>
    <w:p w14:paraId="4044B127">
      <w:pPr>
        <w:spacing w:line="241" w:lineRule="auto"/>
        <w:rPr>
          <w:rFonts w:ascii="Arial"/>
          <w:color w:val="auto"/>
          <w:spacing w:val="0"/>
          <w:w w:val="100"/>
          <w:position w:val="0"/>
          <w:sz w:val="21"/>
          <w:highlight w:val="none"/>
        </w:rPr>
      </w:pPr>
    </w:p>
    <w:p w14:paraId="115108F4">
      <w:pPr>
        <w:spacing w:line="241" w:lineRule="auto"/>
        <w:rPr>
          <w:rFonts w:ascii="Arial"/>
          <w:color w:val="auto"/>
          <w:spacing w:val="0"/>
          <w:w w:val="100"/>
          <w:position w:val="0"/>
          <w:sz w:val="21"/>
          <w:highlight w:val="none"/>
        </w:rPr>
      </w:pPr>
    </w:p>
    <w:p w14:paraId="7C8152FB">
      <w:pPr>
        <w:spacing w:line="241" w:lineRule="auto"/>
        <w:rPr>
          <w:rFonts w:ascii="Arial"/>
          <w:color w:val="auto"/>
          <w:spacing w:val="0"/>
          <w:w w:val="100"/>
          <w:position w:val="0"/>
          <w:sz w:val="21"/>
          <w:highlight w:val="none"/>
        </w:rPr>
      </w:pPr>
    </w:p>
    <w:p w14:paraId="2D15531D">
      <w:pPr>
        <w:spacing w:line="241" w:lineRule="auto"/>
        <w:rPr>
          <w:rFonts w:ascii="Arial"/>
          <w:color w:val="auto"/>
          <w:spacing w:val="0"/>
          <w:w w:val="100"/>
          <w:position w:val="0"/>
          <w:sz w:val="21"/>
          <w:highlight w:val="none"/>
        </w:rPr>
      </w:pPr>
    </w:p>
    <w:p w14:paraId="7691F764">
      <w:pPr>
        <w:spacing w:line="241" w:lineRule="auto"/>
        <w:rPr>
          <w:rFonts w:ascii="Arial"/>
          <w:color w:val="auto"/>
          <w:spacing w:val="0"/>
          <w:w w:val="100"/>
          <w:position w:val="0"/>
          <w:sz w:val="21"/>
          <w:highlight w:val="none"/>
        </w:rPr>
      </w:pPr>
    </w:p>
    <w:p w14:paraId="488D2C5E">
      <w:pPr>
        <w:spacing w:line="241" w:lineRule="auto"/>
        <w:rPr>
          <w:rFonts w:ascii="Arial"/>
          <w:color w:val="auto"/>
          <w:spacing w:val="0"/>
          <w:w w:val="100"/>
          <w:position w:val="0"/>
          <w:sz w:val="21"/>
          <w:highlight w:val="none"/>
        </w:rPr>
      </w:pPr>
    </w:p>
    <w:p w14:paraId="774A9EE9">
      <w:pPr>
        <w:spacing w:line="241" w:lineRule="auto"/>
        <w:rPr>
          <w:rFonts w:ascii="Arial"/>
          <w:color w:val="auto"/>
          <w:spacing w:val="0"/>
          <w:w w:val="100"/>
          <w:position w:val="0"/>
          <w:sz w:val="21"/>
          <w:highlight w:val="none"/>
        </w:rPr>
      </w:pPr>
    </w:p>
    <w:p w14:paraId="66235D17">
      <w:pPr>
        <w:spacing w:line="241" w:lineRule="auto"/>
        <w:rPr>
          <w:rFonts w:ascii="Arial"/>
          <w:color w:val="auto"/>
          <w:spacing w:val="0"/>
          <w:w w:val="100"/>
          <w:position w:val="0"/>
          <w:sz w:val="21"/>
          <w:highlight w:val="none"/>
        </w:rPr>
      </w:pPr>
    </w:p>
    <w:p w14:paraId="3763A197">
      <w:pPr>
        <w:spacing w:line="241" w:lineRule="auto"/>
        <w:rPr>
          <w:rFonts w:ascii="Arial"/>
          <w:color w:val="auto"/>
          <w:spacing w:val="0"/>
          <w:w w:val="100"/>
          <w:position w:val="0"/>
          <w:sz w:val="21"/>
          <w:highlight w:val="none"/>
        </w:rPr>
      </w:pPr>
    </w:p>
    <w:p w14:paraId="517A019A">
      <w:pPr>
        <w:spacing w:line="241" w:lineRule="auto"/>
        <w:rPr>
          <w:rFonts w:ascii="Arial"/>
          <w:color w:val="auto"/>
          <w:spacing w:val="0"/>
          <w:w w:val="100"/>
          <w:position w:val="0"/>
          <w:sz w:val="21"/>
          <w:highlight w:val="none"/>
        </w:rPr>
      </w:pPr>
    </w:p>
    <w:p w14:paraId="6BA23D43">
      <w:pPr>
        <w:spacing w:line="241" w:lineRule="auto"/>
        <w:rPr>
          <w:rFonts w:ascii="Arial"/>
          <w:color w:val="auto"/>
          <w:spacing w:val="0"/>
          <w:w w:val="100"/>
          <w:position w:val="0"/>
          <w:sz w:val="21"/>
          <w:highlight w:val="none"/>
        </w:rPr>
      </w:pPr>
    </w:p>
    <w:p w14:paraId="5846F59F">
      <w:pPr>
        <w:spacing w:line="241" w:lineRule="auto"/>
        <w:rPr>
          <w:rFonts w:ascii="Arial"/>
          <w:color w:val="auto"/>
          <w:spacing w:val="0"/>
          <w:w w:val="100"/>
          <w:position w:val="0"/>
          <w:sz w:val="21"/>
          <w:highlight w:val="none"/>
        </w:rPr>
      </w:pPr>
    </w:p>
    <w:p w14:paraId="1721239C">
      <w:pPr>
        <w:spacing w:line="241" w:lineRule="auto"/>
        <w:rPr>
          <w:rFonts w:ascii="Arial"/>
          <w:color w:val="auto"/>
          <w:spacing w:val="0"/>
          <w:w w:val="100"/>
          <w:position w:val="0"/>
          <w:sz w:val="21"/>
          <w:highlight w:val="none"/>
        </w:rPr>
      </w:pPr>
    </w:p>
    <w:p w14:paraId="22F84AF8">
      <w:pPr>
        <w:spacing w:line="241" w:lineRule="auto"/>
        <w:rPr>
          <w:rFonts w:ascii="Arial"/>
          <w:color w:val="auto"/>
          <w:spacing w:val="0"/>
          <w:w w:val="100"/>
          <w:position w:val="0"/>
          <w:sz w:val="21"/>
          <w:highlight w:val="none"/>
        </w:rPr>
      </w:pPr>
    </w:p>
    <w:p w14:paraId="47BA1F5B">
      <w:pPr>
        <w:spacing w:line="241" w:lineRule="auto"/>
        <w:rPr>
          <w:rFonts w:ascii="Arial"/>
          <w:color w:val="auto"/>
          <w:spacing w:val="0"/>
          <w:w w:val="100"/>
          <w:position w:val="0"/>
          <w:sz w:val="21"/>
          <w:highlight w:val="none"/>
        </w:rPr>
      </w:pPr>
    </w:p>
    <w:p w14:paraId="562D93DF">
      <w:pPr>
        <w:spacing w:line="241" w:lineRule="auto"/>
        <w:rPr>
          <w:rFonts w:ascii="Arial"/>
          <w:color w:val="auto"/>
          <w:spacing w:val="0"/>
          <w:w w:val="100"/>
          <w:position w:val="0"/>
          <w:sz w:val="21"/>
          <w:highlight w:val="none"/>
        </w:rPr>
      </w:pPr>
    </w:p>
    <w:p w14:paraId="7C3C31C0">
      <w:pPr>
        <w:spacing w:line="242" w:lineRule="auto"/>
        <w:rPr>
          <w:rFonts w:ascii="Arial"/>
          <w:color w:val="auto"/>
          <w:spacing w:val="0"/>
          <w:w w:val="100"/>
          <w:position w:val="0"/>
          <w:sz w:val="21"/>
          <w:highlight w:val="none"/>
        </w:rPr>
      </w:pPr>
    </w:p>
    <w:p w14:paraId="7753DF03">
      <w:pPr>
        <w:spacing w:line="242" w:lineRule="auto"/>
        <w:rPr>
          <w:rFonts w:ascii="Arial"/>
          <w:color w:val="auto"/>
          <w:spacing w:val="0"/>
          <w:w w:val="100"/>
          <w:position w:val="0"/>
          <w:sz w:val="21"/>
          <w:highlight w:val="none"/>
        </w:rPr>
      </w:pPr>
    </w:p>
    <w:p w14:paraId="3BE1BC3C">
      <w:pPr>
        <w:pStyle w:val="6"/>
        <w:spacing w:before="169" w:line="218" w:lineRule="auto"/>
        <w:ind w:left="1851"/>
        <w:outlineLvl w:val="0"/>
        <w:rPr>
          <w:color w:val="auto"/>
          <w:spacing w:val="0"/>
          <w:w w:val="100"/>
          <w:position w:val="0"/>
          <w:sz w:val="52"/>
          <w:szCs w:val="52"/>
          <w:highlight w:val="none"/>
        </w:rPr>
      </w:pPr>
      <w:bookmarkStart w:id="26" w:name="bookmark27"/>
      <w:bookmarkEnd w:id="26"/>
      <w:bookmarkStart w:id="27" w:name="bookmark6"/>
      <w:bookmarkEnd w:id="27"/>
      <w:bookmarkStart w:id="28" w:name="bookmark7"/>
      <w:bookmarkEnd w:id="28"/>
      <w:bookmarkStart w:id="29" w:name="bookmark7"/>
      <w:bookmarkEnd w:id="29"/>
      <w:r>
        <w:rPr>
          <w:b/>
          <w:bCs/>
          <w:color w:val="auto"/>
          <w:spacing w:val="0"/>
          <w:w w:val="100"/>
          <w:position w:val="0"/>
          <w:sz w:val="52"/>
          <w:szCs w:val="52"/>
          <w:highlight w:val="none"/>
        </w:rPr>
        <w:t>第五章</w:t>
      </w:r>
      <w:r>
        <w:rPr>
          <w:color w:val="auto"/>
          <w:spacing w:val="0"/>
          <w:w w:val="100"/>
          <w:position w:val="0"/>
          <w:sz w:val="52"/>
          <w:szCs w:val="52"/>
          <w:highlight w:val="none"/>
        </w:rPr>
        <w:t xml:space="preserve">  </w:t>
      </w:r>
      <w:r>
        <w:rPr>
          <w:b/>
          <w:bCs/>
          <w:color w:val="auto"/>
          <w:spacing w:val="0"/>
          <w:w w:val="100"/>
          <w:position w:val="0"/>
          <w:sz w:val="52"/>
          <w:szCs w:val="52"/>
          <w:highlight w:val="none"/>
        </w:rPr>
        <w:t>发包人要求</w:t>
      </w:r>
    </w:p>
    <w:p w14:paraId="2902E166">
      <w:pPr>
        <w:spacing w:line="218" w:lineRule="auto"/>
        <w:rPr>
          <w:color w:val="auto"/>
          <w:spacing w:val="0"/>
          <w:w w:val="100"/>
          <w:position w:val="0"/>
          <w:sz w:val="52"/>
          <w:szCs w:val="52"/>
          <w:highlight w:val="none"/>
        </w:rPr>
        <w:sectPr>
          <w:footerReference r:id="rId51" w:type="default"/>
          <w:pgSz w:w="11900" w:h="16843"/>
          <w:pgMar w:top="1378" w:right="1417" w:bottom="1208" w:left="1417" w:header="1366" w:footer="1003" w:gutter="0"/>
          <w:pgNumType w:fmt="decimal"/>
          <w:cols w:space="0" w:num="1"/>
          <w:rtlGutter w:val="0"/>
          <w:docGrid w:linePitch="0" w:charSpace="0"/>
        </w:sectPr>
      </w:pPr>
    </w:p>
    <w:p w14:paraId="0260D8FF">
      <w:pPr>
        <w:pStyle w:val="6"/>
        <w:spacing w:before="117" w:line="218" w:lineRule="auto"/>
        <w:ind w:left="2652"/>
        <w:outlineLvl w:val="1"/>
        <w:rPr>
          <w:color w:val="auto"/>
          <w:spacing w:val="0"/>
          <w:w w:val="100"/>
          <w:position w:val="0"/>
          <w:sz w:val="36"/>
          <w:szCs w:val="36"/>
          <w:highlight w:val="none"/>
        </w:rPr>
      </w:pPr>
      <w:r>
        <w:rPr>
          <w:b/>
          <w:bCs/>
          <w:color w:val="auto"/>
          <w:spacing w:val="0"/>
          <w:w w:val="100"/>
          <w:position w:val="0"/>
          <w:sz w:val="36"/>
          <w:szCs w:val="36"/>
          <w:highlight w:val="none"/>
        </w:rPr>
        <w:t>第五章</w:t>
      </w:r>
      <w:r>
        <w:rPr>
          <w:color w:val="auto"/>
          <w:spacing w:val="0"/>
          <w:w w:val="100"/>
          <w:position w:val="0"/>
          <w:sz w:val="36"/>
          <w:szCs w:val="36"/>
          <w:highlight w:val="none"/>
        </w:rPr>
        <w:t xml:space="preserve">  </w:t>
      </w:r>
      <w:r>
        <w:rPr>
          <w:b/>
          <w:bCs/>
          <w:color w:val="auto"/>
          <w:spacing w:val="0"/>
          <w:w w:val="100"/>
          <w:position w:val="0"/>
          <w:sz w:val="36"/>
          <w:szCs w:val="36"/>
          <w:highlight w:val="none"/>
        </w:rPr>
        <w:t>发包人要求</w:t>
      </w:r>
    </w:p>
    <w:p w14:paraId="0EF440C0">
      <w:pPr>
        <w:pStyle w:val="6"/>
        <w:spacing w:before="78" w:line="219" w:lineRule="auto"/>
        <w:ind w:left="605"/>
        <w:rPr>
          <w:color w:val="auto"/>
          <w:spacing w:val="0"/>
          <w:w w:val="100"/>
          <w:position w:val="0"/>
          <w:sz w:val="24"/>
          <w:szCs w:val="24"/>
          <w:highlight w:val="none"/>
        </w:rPr>
      </w:pPr>
      <w:r>
        <w:rPr>
          <w:color w:val="auto"/>
          <w:spacing w:val="0"/>
          <w:w w:val="100"/>
          <w:position w:val="0"/>
          <w:sz w:val="24"/>
          <w:szCs w:val="24"/>
          <w:highlight w:val="none"/>
        </w:rPr>
        <w:t>一、工程可行性研究、勘察设计要求</w:t>
      </w:r>
    </w:p>
    <w:p w14:paraId="684BC871">
      <w:pPr>
        <w:keepNext w:val="0"/>
        <w:keepLines w:val="0"/>
        <w:pageBreakBefore w:val="0"/>
        <w:widowControl/>
        <w:kinsoku w:val="0"/>
        <w:wordWrap/>
        <w:overflowPunct/>
        <w:topLinePunct w:val="0"/>
        <w:autoSpaceDE w:val="0"/>
        <w:autoSpaceDN w:val="0"/>
        <w:bidi w:val="0"/>
        <w:adjustRightInd w:val="0"/>
        <w:snapToGrid w:val="0"/>
        <w:spacing w:before="121" w:line="264" w:lineRule="auto"/>
        <w:ind w:left="0" w:right="0" w:firstLine="480" w:firstLineChars="200"/>
        <w:textAlignment w:val="baseline"/>
        <w:rPr>
          <w:rFonts w:hint="eastAsia" w:ascii="宋体" w:hAnsi="宋体" w:eastAsia="宋体" w:cs="宋体"/>
          <w:color w:val="auto"/>
          <w:spacing w:val="0"/>
          <w:w w:val="100"/>
          <w:position w:val="0"/>
          <w:sz w:val="24"/>
          <w:szCs w:val="24"/>
          <w:highlight w:val="none"/>
          <w:lang w:eastAsia="zh-CN"/>
        </w:rPr>
      </w:pP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项目概况见招标</w:t>
      </w:r>
      <w:r>
        <w:rPr>
          <w:rFonts w:hint="eastAsia" w:ascii="宋体" w:hAnsi="宋体" w:eastAsia="宋体" w:cs="宋体"/>
          <w:color w:val="auto"/>
          <w:spacing w:val="0"/>
          <w:w w:val="100"/>
          <w:position w:val="0"/>
          <w:sz w:val="24"/>
          <w:szCs w:val="24"/>
          <w:highlight w:val="none"/>
          <w:lang w:val="en-US" w:eastAsia="zh-CN"/>
        </w:rPr>
        <w:t>公告</w:t>
      </w:r>
      <w:r>
        <w:rPr>
          <w:rFonts w:ascii="宋体" w:hAnsi="宋体" w:eastAsia="宋体" w:cs="宋体"/>
          <w:color w:val="auto"/>
          <w:spacing w:val="0"/>
          <w:w w:val="100"/>
          <w:position w:val="0"/>
          <w:sz w:val="24"/>
          <w:szCs w:val="24"/>
          <w:highlight w:val="none"/>
        </w:rPr>
        <w:t>公告</w:t>
      </w:r>
      <w:r>
        <w:rPr>
          <w:rFonts w:hint="eastAsia" w:ascii="宋体" w:hAnsi="宋体" w:eastAsia="宋体" w:cs="宋体"/>
          <w:color w:val="auto"/>
          <w:spacing w:val="0"/>
          <w:w w:val="100"/>
          <w:position w:val="0"/>
          <w:sz w:val="24"/>
          <w:szCs w:val="24"/>
          <w:highlight w:val="none"/>
          <w:lang w:eastAsia="zh-CN"/>
        </w:rPr>
        <w:t>。</w:t>
      </w:r>
    </w:p>
    <w:p w14:paraId="1CB569FF">
      <w:pPr>
        <w:spacing w:before="123" w:line="233" w:lineRule="auto"/>
        <w:ind w:firstLine="480" w:firstLineChars="200"/>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勘察设计（设计咨询）范围及内容</w:t>
      </w:r>
    </w:p>
    <w:p w14:paraId="04E1D8B0">
      <w:pPr>
        <w:spacing w:line="63" w:lineRule="exact"/>
        <w:rPr>
          <w:color w:val="auto"/>
          <w:spacing w:val="0"/>
          <w:w w:val="100"/>
          <w:position w:val="0"/>
          <w:highlight w:val="none"/>
        </w:rPr>
      </w:pPr>
    </w:p>
    <w:tbl>
      <w:tblPr>
        <w:tblStyle w:val="18"/>
        <w:tblW w:w="92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1431"/>
        <w:gridCol w:w="7038"/>
      </w:tblGrid>
      <w:tr w14:paraId="29843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20" w:type="dxa"/>
            <w:vAlign w:val="top"/>
          </w:tcPr>
          <w:p w14:paraId="1A58D7E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178"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标段</w:t>
            </w:r>
          </w:p>
        </w:tc>
        <w:tc>
          <w:tcPr>
            <w:tcW w:w="1431" w:type="dxa"/>
            <w:vAlign w:val="top"/>
          </w:tcPr>
          <w:p w14:paraId="20AC736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59"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类别</w:t>
            </w:r>
          </w:p>
        </w:tc>
        <w:tc>
          <w:tcPr>
            <w:tcW w:w="7038" w:type="dxa"/>
            <w:vAlign w:val="top"/>
          </w:tcPr>
          <w:p w14:paraId="50A2A81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882"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招标范围</w:t>
            </w:r>
          </w:p>
        </w:tc>
      </w:tr>
      <w:tr w14:paraId="2C8AC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20" w:type="dxa"/>
            <w:vAlign w:val="center"/>
          </w:tcPr>
          <w:p w14:paraId="38A0D6A0">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0" w:right="0"/>
              <w:jc w:val="center"/>
              <w:textAlignment w:val="baseline"/>
              <w:rPr>
                <w:rFonts w:hint="default" w:ascii="Times New Roman" w:hAnsi="Times New Roman" w:eastAsia="Times New Roman"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01</w:t>
            </w:r>
          </w:p>
        </w:tc>
        <w:tc>
          <w:tcPr>
            <w:tcW w:w="1431" w:type="dxa"/>
            <w:vAlign w:val="center"/>
          </w:tcPr>
          <w:p w14:paraId="470F36C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0" w:right="0"/>
              <w:jc w:val="center"/>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工可、勘察设计</w:t>
            </w:r>
          </w:p>
        </w:tc>
        <w:tc>
          <w:tcPr>
            <w:tcW w:w="7038" w:type="dxa"/>
            <w:vAlign w:val="center"/>
          </w:tcPr>
          <w:p w14:paraId="1312824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111" w:right="23" w:firstLine="4"/>
              <w:jc w:val="center"/>
              <w:textAlignment w:val="baseline"/>
              <w:rPr>
                <w:rFonts w:hint="default"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详细工作范围</w:t>
            </w:r>
            <w:r>
              <w:rPr>
                <w:rFonts w:hint="eastAsia" w:cs="宋体"/>
                <w:color w:val="auto"/>
                <w:spacing w:val="0"/>
                <w:w w:val="100"/>
                <w:position w:val="0"/>
                <w:sz w:val="24"/>
                <w:szCs w:val="24"/>
                <w:highlight w:val="none"/>
                <w:lang w:val="en-US" w:eastAsia="zh-CN"/>
              </w:rPr>
              <w:t>详见第四章《合同条款及格式》</w:t>
            </w:r>
            <w:r>
              <w:rPr>
                <w:rFonts w:hint="eastAsia" w:ascii="宋体" w:hAnsi="宋体" w:eastAsia="宋体" w:cs="宋体"/>
                <w:color w:val="auto"/>
                <w:spacing w:val="0"/>
                <w:w w:val="100"/>
                <w:position w:val="0"/>
                <w:sz w:val="24"/>
                <w:szCs w:val="24"/>
                <w:highlight w:val="none"/>
                <w:lang w:val="en-US" w:eastAsia="zh-CN"/>
              </w:rPr>
              <w:t>专用合同条款</w:t>
            </w:r>
            <w:r>
              <w:rPr>
                <w:rFonts w:hint="eastAsia" w:cs="宋体"/>
                <w:color w:val="auto"/>
                <w:spacing w:val="0"/>
                <w:w w:val="100"/>
                <w:position w:val="0"/>
                <w:sz w:val="24"/>
                <w:szCs w:val="24"/>
                <w:highlight w:val="none"/>
                <w:lang w:val="en-US" w:eastAsia="zh-CN"/>
              </w:rPr>
              <w:t>（01标段）</w:t>
            </w:r>
            <w:r>
              <w:rPr>
                <w:rFonts w:hint="eastAsia" w:ascii="宋体" w:hAnsi="宋体" w:eastAsia="宋体" w:cs="宋体"/>
                <w:color w:val="auto"/>
                <w:spacing w:val="0"/>
                <w:w w:val="100"/>
                <w:position w:val="0"/>
                <w:sz w:val="24"/>
                <w:szCs w:val="24"/>
                <w:highlight w:val="none"/>
                <w:lang w:val="en-US" w:eastAsia="zh-CN"/>
              </w:rPr>
              <w:t>。</w:t>
            </w:r>
          </w:p>
        </w:tc>
      </w:tr>
      <w:tr w14:paraId="505B4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20" w:type="dxa"/>
            <w:vAlign w:val="center"/>
          </w:tcPr>
          <w:p w14:paraId="5009A73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96" w:right="0"/>
              <w:jc w:val="both"/>
              <w:textAlignment w:val="baseline"/>
              <w:rPr>
                <w:rFonts w:hint="default" w:ascii="Times New Roman" w:hAnsi="Times New Roman" w:eastAsia="Times New Roman" w:cs="Times New Roman"/>
                <w:color w:val="auto"/>
                <w:spacing w:val="0"/>
                <w:w w:val="100"/>
                <w:position w:val="0"/>
                <w:sz w:val="24"/>
                <w:szCs w:val="24"/>
                <w:highlight w:val="none"/>
              </w:rPr>
            </w:pPr>
            <w:r>
              <w:rPr>
                <w:rFonts w:hint="eastAsia" w:ascii="Times New Roman" w:hAnsi="Times New Roman" w:eastAsia="Times New Roman" w:cs="Times New Roman"/>
                <w:color w:val="auto"/>
                <w:spacing w:val="0"/>
                <w:w w:val="100"/>
                <w:position w:val="0"/>
                <w:sz w:val="24"/>
                <w:szCs w:val="24"/>
                <w:highlight w:val="none"/>
              </w:rPr>
              <w:t>02</w:t>
            </w:r>
          </w:p>
        </w:tc>
        <w:tc>
          <w:tcPr>
            <w:tcW w:w="1431" w:type="dxa"/>
            <w:vAlign w:val="center"/>
          </w:tcPr>
          <w:p w14:paraId="101ADF1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0" w:right="0"/>
              <w:jc w:val="center"/>
              <w:textAlignment w:val="baseline"/>
              <w:rPr>
                <w:rFonts w:hint="default"/>
                <w:color w:val="auto"/>
                <w:spacing w:val="0"/>
                <w:w w:val="100"/>
                <w:position w:val="0"/>
                <w:sz w:val="24"/>
                <w:szCs w:val="24"/>
                <w:highlight w:val="none"/>
              </w:rPr>
            </w:pPr>
            <w:r>
              <w:rPr>
                <w:rFonts w:hint="eastAsia"/>
                <w:color w:val="auto"/>
                <w:spacing w:val="0"/>
                <w:w w:val="100"/>
                <w:position w:val="0"/>
                <w:sz w:val="24"/>
                <w:szCs w:val="24"/>
                <w:highlight w:val="none"/>
              </w:rPr>
              <w:t>设计咨询</w:t>
            </w:r>
          </w:p>
        </w:tc>
        <w:tc>
          <w:tcPr>
            <w:tcW w:w="7038" w:type="dxa"/>
            <w:vAlign w:val="top"/>
          </w:tcPr>
          <w:p w14:paraId="5AD0E36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111" w:right="23" w:firstLine="4"/>
              <w:jc w:val="center"/>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详细工作范围</w:t>
            </w:r>
            <w:r>
              <w:rPr>
                <w:rFonts w:hint="eastAsia" w:cs="宋体"/>
                <w:color w:val="auto"/>
                <w:spacing w:val="0"/>
                <w:w w:val="100"/>
                <w:position w:val="0"/>
                <w:sz w:val="24"/>
                <w:szCs w:val="24"/>
                <w:highlight w:val="none"/>
                <w:lang w:val="en-US" w:eastAsia="zh-CN"/>
              </w:rPr>
              <w:t>详见第四章《合同条款及格式》</w:t>
            </w:r>
            <w:r>
              <w:rPr>
                <w:rFonts w:hint="eastAsia" w:ascii="宋体" w:hAnsi="宋体" w:eastAsia="宋体" w:cs="宋体"/>
                <w:color w:val="auto"/>
                <w:spacing w:val="0"/>
                <w:w w:val="100"/>
                <w:position w:val="0"/>
                <w:sz w:val="24"/>
                <w:szCs w:val="24"/>
                <w:highlight w:val="none"/>
                <w:lang w:val="en-US" w:eastAsia="zh-CN"/>
              </w:rPr>
              <w:t>专用合同条款</w:t>
            </w:r>
            <w:r>
              <w:rPr>
                <w:rFonts w:hint="eastAsia" w:cs="宋体"/>
                <w:color w:val="auto"/>
                <w:spacing w:val="0"/>
                <w:w w:val="100"/>
                <w:position w:val="0"/>
                <w:sz w:val="24"/>
                <w:szCs w:val="24"/>
                <w:highlight w:val="none"/>
                <w:lang w:val="en-US" w:eastAsia="zh-CN"/>
              </w:rPr>
              <w:t>（02标段）</w:t>
            </w:r>
            <w:r>
              <w:rPr>
                <w:rFonts w:hint="eastAsia" w:ascii="宋体" w:hAnsi="宋体" w:eastAsia="宋体" w:cs="宋体"/>
                <w:color w:val="auto"/>
                <w:spacing w:val="0"/>
                <w:w w:val="100"/>
                <w:position w:val="0"/>
                <w:sz w:val="24"/>
                <w:szCs w:val="24"/>
                <w:highlight w:val="none"/>
              </w:rPr>
              <w:t>。</w:t>
            </w:r>
          </w:p>
        </w:tc>
      </w:tr>
    </w:tbl>
    <w:p w14:paraId="12C3EB3F">
      <w:pPr>
        <w:keepNext w:val="0"/>
        <w:keepLines w:val="0"/>
        <w:pageBreakBefore w:val="0"/>
        <w:widowControl/>
        <w:kinsoku w:val="0"/>
        <w:wordWrap/>
        <w:overflowPunct/>
        <w:topLinePunct w:val="0"/>
        <w:autoSpaceDE w:val="0"/>
        <w:autoSpaceDN w:val="0"/>
        <w:bidi w:val="0"/>
        <w:adjustRightInd w:val="0"/>
        <w:snapToGrid w:val="0"/>
        <w:spacing w:line="480" w:lineRule="exact"/>
        <w:ind w:left="602"/>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勘察设计（设计咨询）依据</w:t>
      </w:r>
    </w:p>
    <w:p w14:paraId="41F725C8">
      <w:pPr>
        <w:keepNext w:val="0"/>
        <w:keepLines w:val="0"/>
        <w:pageBreakBefore w:val="0"/>
        <w:widowControl/>
        <w:kinsoku w:val="0"/>
        <w:wordWrap/>
        <w:overflowPunct/>
        <w:topLinePunct w:val="0"/>
        <w:autoSpaceDE w:val="0"/>
        <w:autoSpaceDN w:val="0"/>
        <w:bidi w:val="0"/>
        <w:adjustRightInd w:val="0"/>
        <w:snapToGrid w:val="0"/>
        <w:spacing w:line="480" w:lineRule="exact"/>
        <w:ind w:left="126" w:right="114" w:firstLine="476"/>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本项目工程可行性研究报告的批复和国家有关工程建设标准强制性条文和交通运输部关于公路勘察设计方面现行的标准、规范、规程、定额、办法、示例 以及安徽省与此相关的规定。</w:t>
      </w:r>
    </w:p>
    <w:p w14:paraId="42796025">
      <w:pPr>
        <w:keepNext w:val="0"/>
        <w:keepLines w:val="0"/>
        <w:pageBreakBefore w:val="0"/>
        <w:widowControl/>
        <w:kinsoku w:val="0"/>
        <w:wordWrap/>
        <w:overflowPunct/>
        <w:topLinePunct w:val="0"/>
        <w:autoSpaceDE w:val="0"/>
        <w:autoSpaceDN w:val="0"/>
        <w:bidi w:val="0"/>
        <w:adjustRightInd w:val="0"/>
        <w:snapToGrid w:val="0"/>
        <w:spacing w:line="480" w:lineRule="exact"/>
        <w:ind w:left="596"/>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项目使用功能的要求</w:t>
      </w:r>
    </w:p>
    <w:p w14:paraId="472546FD">
      <w:pPr>
        <w:keepNext w:val="0"/>
        <w:keepLines w:val="0"/>
        <w:pageBreakBefore w:val="0"/>
        <w:widowControl/>
        <w:kinsoku w:val="0"/>
        <w:wordWrap/>
        <w:overflowPunct/>
        <w:topLinePunct w:val="0"/>
        <w:autoSpaceDE w:val="0"/>
        <w:autoSpaceDN w:val="0"/>
        <w:bidi w:val="0"/>
        <w:adjustRightInd w:val="0"/>
        <w:snapToGrid w:val="0"/>
        <w:spacing w:line="480" w:lineRule="exact"/>
        <w:ind w:left="605"/>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见本项目专用合同条款。</w:t>
      </w:r>
    </w:p>
    <w:p w14:paraId="7FB7527E">
      <w:pPr>
        <w:keepNext w:val="0"/>
        <w:keepLines w:val="0"/>
        <w:pageBreakBefore w:val="0"/>
        <w:widowControl/>
        <w:kinsoku w:val="0"/>
        <w:wordWrap/>
        <w:overflowPunct/>
        <w:topLinePunct w:val="0"/>
        <w:autoSpaceDE w:val="0"/>
        <w:autoSpaceDN w:val="0"/>
        <w:bidi w:val="0"/>
        <w:adjustRightInd w:val="0"/>
        <w:snapToGrid w:val="0"/>
        <w:spacing w:line="480" w:lineRule="exact"/>
        <w:ind w:left="604"/>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5.</w:t>
      </w:r>
      <w:r>
        <w:rPr>
          <w:rFonts w:ascii="宋体" w:hAnsi="宋体" w:eastAsia="宋体" w:cs="宋体"/>
          <w:color w:val="auto"/>
          <w:spacing w:val="0"/>
          <w:w w:val="100"/>
          <w:position w:val="0"/>
          <w:sz w:val="24"/>
          <w:szCs w:val="24"/>
          <w:highlight w:val="none"/>
        </w:rPr>
        <w:t>勘察设计（设计咨询）人员和设备要求</w:t>
      </w:r>
    </w:p>
    <w:p w14:paraId="0E560BA0">
      <w:pPr>
        <w:keepNext w:val="0"/>
        <w:keepLines w:val="0"/>
        <w:pageBreakBefore w:val="0"/>
        <w:widowControl/>
        <w:kinsoku w:val="0"/>
        <w:wordWrap/>
        <w:overflowPunct/>
        <w:topLinePunct w:val="0"/>
        <w:autoSpaceDE w:val="0"/>
        <w:autoSpaceDN w:val="0"/>
        <w:bidi w:val="0"/>
        <w:adjustRightInd w:val="0"/>
        <w:snapToGrid w:val="0"/>
        <w:spacing w:line="480" w:lineRule="exact"/>
        <w:ind w:left="605"/>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见本项目专用合同条款。</w:t>
      </w:r>
    </w:p>
    <w:p w14:paraId="509F626A">
      <w:pPr>
        <w:keepNext w:val="0"/>
        <w:keepLines w:val="0"/>
        <w:pageBreakBefore w:val="0"/>
        <w:widowControl/>
        <w:kinsoku w:val="0"/>
        <w:wordWrap/>
        <w:overflowPunct/>
        <w:topLinePunct w:val="0"/>
        <w:autoSpaceDE w:val="0"/>
        <w:autoSpaceDN w:val="0"/>
        <w:bidi w:val="0"/>
        <w:adjustRightInd w:val="0"/>
        <w:snapToGrid w:val="0"/>
        <w:spacing w:line="480" w:lineRule="exact"/>
        <w:ind w:left="60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6.</w:t>
      </w:r>
      <w:r>
        <w:rPr>
          <w:rFonts w:ascii="宋体" w:hAnsi="宋体" w:eastAsia="宋体" w:cs="宋体"/>
          <w:color w:val="auto"/>
          <w:spacing w:val="0"/>
          <w:w w:val="100"/>
          <w:position w:val="0"/>
          <w:sz w:val="24"/>
          <w:szCs w:val="24"/>
          <w:highlight w:val="none"/>
        </w:rPr>
        <w:t>质量要求</w:t>
      </w:r>
    </w:p>
    <w:p w14:paraId="6D89926F">
      <w:pPr>
        <w:keepNext w:val="0"/>
        <w:keepLines w:val="0"/>
        <w:pageBreakBefore w:val="0"/>
        <w:widowControl/>
        <w:kinsoku w:val="0"/>
        <w:wordWrap/>
        <w:overflowPunct/>
        <w:topLinePunct w:val="0"/>
        <w:autoSpaceDE w:val="0"/>
        <w:autoSpaceDN w:val="0"/>
        <w:bidi w:val="0"/>
        <w:adjustRightInd w:val="0"/>
        <w:snapToGrid w:val="0"/>
        <w:spacing w:line="480" w:lineRule="exact"/>
        <w:ind w:left="605"/>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见投标人须知前附表。</w:t>
      </w:r>
    </w:p>
    <w:p w14:paraId="62BD65E7">
      <w:pPr>
        <w:keepNext w:val="0"/>
        <w:keepLines w:val="0"/>
        <w:pageBreakBefore w:val="0"/>
        <w:widowControl/>
        <w:kinsoku w:val="0"/>
        <w:wordWrap/>
        <w:overflowPunct/>
        <w:topLinePunct w:val="0"/>
        <w:autoSpaceDE w:val="0"/>
        <w:autoSpaceDN w:val="0"/>
        <w:bidi w:val="0"/>
        <w:adjustRightInd w:val="0"/>
        <w:snapToGrid w:val="0"/>
        <w:spacing w:line="480" w:lineRule="exact"/>
        <w:ind w:left="601"/>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7.</w:t>
      </w:r>
      <w:r>
        <w:rPr>
          <w:rFonts w:ascii="宋体" w:hAnsi="宋体" w:eastAsia="宋体" w:cs="宋体"/>
          <w:color w:val="auto"/>
          <w:spacing w:val="0"/>
          <w:w w:val="100"/>
          <w:position w:val="0"/>
          <w:sz w:val="24"/>
          <w:szCs w:val="24"/>
          <w:highlight w:val="none"/>
        </w:rPr>
        <w:t>安全目标</w:t>
      </w:r>
    </w:p>
    <w:p w14:paraId="399D2342">
      <w:pPr>
        <w:keepNext w:val="0"/>
        <w:keepLines w:val="0"/>
        <w:pageBreakBefore w:val="0"/>
        <w:widowControl/>
        <w:kinsoku w:val="0"/>
        <w:wordWrap/>
        <w:overflowPunct/>
        <w:topLinePunct w:val="0"/>
        <w:autoSpaceDE w:val="0"/>
        <w:autoSpaceDN w:val="0"/>
        <w:bidi w:val="0"/>
        <w:adjustRightInd w:val="0"/>
        <w:snapToGrid w:val="0"/>
        <w:spacing w:line="480" w:lineRule="exact"/>
        <w:ind w:left="605"/>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见投标人须知前附表。</w:t>
      </w:r>
    </w:p>
    <w:p w14:paraId="38974EEC">
      <w:pPr>
        <w:keepNext w:val="0"/>
        <w:keepLines w:val="0"/>
        <w:pageBreakBefore w:val="0"/>
        <w:widowControl/>
        <w:kinsoku w:val="0"/>
        <w:wordWrap/>
        <w:overflowPunct/>
        <w:topLinePunct w:val="0"/>
        <w:autoSpaceDE w:val="0"/>
        <w:autoSpaceDN w:val="0"/>
        <w:bidi w:val="0"/>
        <w:adjustRightInd w:val="0"/>
        <w:snapToGrid w:val="0"/>
        <w:spacing w:line="480" w:lineRule="exact"/>
        <w:ind w:left="607"/>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8.</w:t>
      </w:r>
      <w:r>
        <w:rPr>
          <w:rFonts w:ascii="宋体" w:hAnsi="宋体" w:eastAsia="宋体" w:cs="宋体"/>
          <w:color w:val="auto"/>
          <w:spacing w:val="0"/>
          <w:w w:val="100"/>
          <w:position w:val="0"/>
          <w:sz w:val="24"/>
          <w:szCs w:val="24"/>
          <w:highlight w:val="none"/>
        </w:rPr>
        <w:t>其他要求</w:t>
      </w:r>
    </w:p>
    <w:p w14:paraId="12E305D5">
      <w:pPr>
        <w:keepNext w:val="0"/>
        <w:keepLines w:val="0"/>
        <w:pageBreakBefore w:val="0"/>
        <w:widowControl/>
        <w:kinsoku w:val="0"/>
        <w:wordWrap/>
        <w:overflowPunct/>
        <w:topLinePunct w:val="0"/>
        <w:autoSpaceDE w:val="0"/>
        <w:autoSpaceDN w:val="0"/>
        <w:bidi w:val="0"/>
        <w:adjustRightInd w:val="0"/>
        <w:snapToGrid w:val="0"/>
        <w:spacing w:line="480" w:lineRule="exact"/>
        <w:ind w:left="60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无。</w:t>
      </w:r>
    </w:p>
    <w:p w14:paraId="6B338727">
      <w:pPr>
        <w:pStyle w:val="6"/>
        <w:keepNext w:val="0"/>
        <w:keepLines w:val="0"/>
        <w:pageBreakBefore w:val="0"/>
        <w:widowControl/>
        <w:kinsoku w:val="0"/>
        <w:wordWrap/>
        <w:overflowPunct/>
        <w:topLinePunct w:val="0"/>
        <w:autoSpaceDE w:val="0"/>
        <w:autoSpaceDN w:val="0"/>
        <w:bidi w:val="0"/>
        <w:adjustRightInd w:val="0"/>
        <w:snapToGrid w:val="0"/>
        <w:spacing w:line="480" w:lineRule="exact"/>
        <w:ind w:left="605"/>
        <w:textAlignment w:val="baseline"/>
        <w:rPr>
          <w:color w:val="auto"/>
          <w:spacing w:val="0"/>
          <w:w w:val="100"/>
          <w:position w:val="0"/>
          <w:sz w:val="24"/>
          <w:szCs w:val="24"/>
          <w:highlight w:val="none"/>
        </w:rPr>
      </w:pPr>
      <w:r>
        <w:rPr>
          <w:color w:val="auto"/>
          <w:spacing w:val="0"/>
          <w:w w:val="100"/>
          <w:position w:val="0"/>
          <w:sz w:val="24"/>
          <w:szCs w:val="24"/>
          <w:highlight w:val="none"/>
        </w:rPr>
        <w:t>二、适用规范标准</w:t>
      </w:r>
    </w:p>
    <w:p w14:paraId="6D078EFB">
      <w:pPr>
        <w:keepNext w:val="0"/>
        <w:keepLines w:val="0"/>
        <w:pageBreakBefore w:val="0"/>
        <w:widowControl/>
        <w:kinsoku w:val="0"/>
        <w:wordWrap/>
        <w:overflowPunct/>
        <w:topLinePunct w:val="0"/>
        <w:autoSpaceDE w:val="0"/>
        <w:autoSpaceDN w:val="0"/>
        <w:bidi w:val="0"/>
        <w:adjustRightInd w:val="0"/>
        <w:snapToGrid w:val="0"/>
        <w:spacing w:line="480" w:lineRule="exact"/>
        <w:ind w:left="39" w:firstLine="479"/>
        <w:jc w:val="both"/>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本工程的工可、勘察设计及设计咨询过程和成果必须符合国家有关工程建设标准强制性条文和交通运输部关于公路勘察设计方面现行的标准、规范、规程、定额、办法、示例以及招标项目所在地关于公路工程工可、勘察设计及设计咨询方面的文件、规定。</w:t>
      </w:r>
    </w:p>
    <w:p w14:paraId="22C44FB6">
      <w:pPr>
        <w:keepNext w:val="0"/>
        <w:keepLines w:val="0"/>
        <w:pageBreakBefore w:val="0"/>
        <w:widowControl/>
        <w:kinsoku w:val="0"/>
        <w:wordWrap/>
        <w:overflowPunct/>
        <w:topLinePunct w:val="0"/>
        <w:autoSpaceDE w:val="0"/>
        <w:autoSpaceDN w:val="0"/>
        <w:bidi w:val="0"/>
        <w:adjustRightInd w:val="0"/>
        <w:snapToGrid w:val="0"/>
        <w:spacing w:line="480" w:lineRule="exact"/>
        <w:ind w:left="57" w:right="61" w:firstLine="46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设计人在工可、勘察设计及设计咨询工作中使用或参考上述标准、规范以外的技术标准、规范时，应征得发包人或发包人指定代表人的同意。</w:t>
      </w:r>
    </w:p>
    <w:p w14:paraId="5234CBF7">
      <w:pPr>
        <w:keepNext w:val="0"/>
        <w:keepLines w:val="0"/>
        <w:pageBreakBefore w:val="0"/>
        <w:widowControl/>
        <w:kinsoku w:val="0"/>
        <w:wordWrap/>
        <w:overflowPunct/>
        <w:topLinePunct w:val="0"/>
        <w:autoSpaceDE w:val="0"/>
        <w:autoSpaceDN w:val="0"/>
        <w:bidi w:val="0"/>
        <w:adjustRightInd w:val="0"/>
        <w:snapToGrid w:val="0"/>
        <w:spacing w:line="480" w:lineRule="exact"/>
        <w:ind w:left="38" w:right="61" w:firstLine="478"/>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在设计过程中，如果国家或有关部门颁布了新的技术标准或规范，则设计人应采用新的标准或规范进行勘察设计。</w:t>
      </w:r>
    </w:p>
    <w:p w14:paraId="735BA68B">
      <w:pPr>
        <w:keepNext w:val="0"/>
        <w:keepLines w:val="0"/>
        <w:pageBreakBefore w:val="0"/>
        <w:widowControl/>
        <w:kinsoku w:val="0"/>
        <w:wordWrap/>
        <w:overflowPunct/>
        <w:topLinePunct w:val="0"/>
        <w:autoSpaceDE w:val="0"/>
        <w:autoSpaceDN w:val="0"/>
        <w:bidi w:val="0"/>
        <w:adjustRightInd w:val="0"/>
        <w:snapToGrid w:val="0"/>
        <w:spacing w:line="480" w:lineRule="exact"/>
        <w:ind w:left="41" w:right="69" w:firstLine="48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设计人在工可、勘察设计及设计咨询工作中必须使用中华人民共和国《工程建设标准强制性条文》（公路工程部分）和下述标准、规范（不限于）：</w:t>
      </w:r>
    </w:p>
    <w:tbl>
      <w:tblPr>
        <w:tblStyle w:val="18"/>
        <w:tblW w:w="8323" w:type="dxa"/>
        <w:tblInd w:w="32"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933"/>
        <w:gridCol w:w="5390"/>
      </w:tblGrid>
      <w:tr w14:paraId="3E9912A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26" w:hRule="atLeast"/>
        </w:trPr>
        <w:tc>
          <w:tcPr>
            <w:tcW w:w="2933" w:type="dxa"/>
            <w:vAlign w:val="top"/>
          </w:tcPr>
          <w:p w14:paraId="6961B41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4"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B01-2014</w:t>
            </w:r>
            <w:r>
              <w:rPr>
                <w:rFonts w:hint="default"/>
                <w:color w:val="auto"/>
                <w:spacing w:val="0"/>
                <w:w w:val="100"/>
                <w:position w:val="0"/>
                <w:sz w:val="24"/>
                <w:szCs w:val="24"/>
                <w:highlight w:val="none"/>
              </w:rPr>
              <w:t>）</w:t>
            </w:r>
          </w:p>
        </w:tc>
        <w:tc>
          <w:tcPr>
            <w:tcW w:w="5390" w:type="dxa"/>
            <w:vAlign w:val="top"/>
          </w:tcPr>
          <w:p w14:paraId="45C83F5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《公路工程技术标准》</w:t>
            </w:r>
          </w:p>
        </w:tc>
      </w:tr>
      <w:tr w14:paraId="75EEE83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0" w:hRule="atLeast"/>
        </w:trPr>
        <w:tc>
          <w:tcPr>
            <w:tcW w:w="2933" w:type="dxa"/>
            <w:vAlign w:val="top"/>
          </w:tcPr>
          <w:p w14:paraId="32D65B3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1"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2.</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JTJ 002-1987</w:t>
            </w:r>
            <w:r>
              <w:rPr>
                <w:rFonts w:hint="default"/>
                <w:color w:val="auto"/>
                <w:spacing w:val="0"/>
                <w:w w:val="100"/>
                <w:position w:val="0"/>
                <w:sz w:val="24"/>
                <w:szCs w:val="24"/>
                <w:highlight w:val="none"/>
              </w:rPr>
              <w:t>）</w:t>
            </w:r>
          </w:p>
        </w:tc>
        <w:tc>
          <w:tcPr>
            <w:tcW w:w="5390" w:type="dxa"/>
            <w:vAlign w:val="top"/>
          </w:tcPr>
          <w:p w14:paraId="2189AC8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《公路工程名词术语》</w:t>
            </w:r>
          </w:p>
        </w:tc>
      </w:tr>
      <w:tr w14:paraId="465B311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7" w:hRule="atLeast"/>
        </w:trPr>
        <w:tc>
          <w:tcPr>
            <w:tcW w:w="2933" w:type="dxa"/>
            <w:vAlign w:val="top"/>
          </w:tcPr>
          <w:p w14:paraId="77A9AB3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5"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3.</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JTJ 003-1986</w:t>
            </w:r>
            <w:r>
              <w:rPr>
                <w:rFonts w:hint="default"/>
                <w:color w:val="auto"/>
                <w:spacing w:val="0"/>
                <w:w w:val="100"/>
                <w:position w:val="0"/>
                <w:sz w:val="24"/>
                <w:szCs w:val="24"/>
                <w:highlight w:val="none"/>
              </w:rPr>
              <w:t>）</w:t>
            </w:r>
          </w:p>
        </w:tc>
        <w:tc>
          <w:tcPr>
            <w:tcW w:w="5390" w:type="dxa"/>
            <w:vAlign w:val="top"/>
          </w:tcPr>
          <w:p w14:paraId="69E1879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《公路自然区划标准》</w:t>
            </w:r>
          </w:p>
        </w:tc>
      </w:tr>
      <w:tr w14:paraId="5B89AE0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7" w:hRule="atLeast"/>
        </w:trPr>
        <w:tc>
          <w:tcPr>
            <w:tcW w:w="2933" w:type="dxa"/>
            <w:vAlign w:val="top"/>
          </w:tcPr>
          <w:p w14:paraId="2C0BD8A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0"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4.</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JTG/T 2231-01-2020</w:t>
            </w:r>
            <w:r>
              <w:rPr>
                <w:rFonts w:hint="default"/>
                <w:color w:val="auto"/>
                <w:spacing w:val="0"/>
                <w:w w:val="100"/>
                <w:position w:val="0"/>
                <w:sz w:val="24"/>
                <w:szCs w:val="24"/>
                <w:highlight w:val="none"/>
              </w:rPr>
              <w:t>）</w:t>
            </w:r>
          </w:p>
        </w:tc>
        <w:tc>
          <w:tcPr>
            <w:tcW w:w="5390" w:type="dxa"/>
            <w:vAlign w:val="top"/>
          </w:tcPr>
          <w:p w14:paraId="5DDA342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《公路桥梁抗震设计规范》</w:t>
            </w:r>
          </w:p>
        </w:tc>
      </w:tr>
      <w:tr w14:paraId="017F54F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4" w:hRule="atLeast"/>
        </w:trPr>
        <w:tc>
          <w:tcPr>
            <w:tcW w:w="2933" w:type="dxa"/>
            <w:vAlign w:val="top"/>
          </w:tcPr>
          <w:p w14:paraId="5DF4632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7"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5.</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B03-2006</w:t>
            </w:r>
            <w:r>
              <w:rPr>
                <w:rFonts w:hint="default"/>
                <w:color w:val="auto"/>
                <w:spacing w:val="0"/>
                <w:w w:val="100"/>
                <w:position w:val="0"/>
                <w:sz w:val="24"/>
                <w:szCs w:val="24"/>
                <w:highlight w:val="none"/>
              </w:rPr>
              <w:t>）</w:t>
            </w:r>
          </w:p>
        </w:tc>
        <w:tc>
          <w:tcPr>
            <w:tcW w:w="5390" w:type="dxa"/>
            <w:vAlign w:val="top"/>
          </w:tcPr>
          <w:p w14:paraId="6E9FDAA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《公路建设项目环境影响评价规范》</w:t>
            </w:r>
          </w:p>
        </w:tc>
      </w:tr>
      <w:tr w14:paraId="0EA3BAA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8" w:hRule="atLeast"/>
        </w:trPr>
        <w:tc>
          <w:tcPr>
            <w:tcW w:w="2933" w:type="dxa"/>
            <w:vAlign w:val="top"/>
          </w:tcPr>
          <w:p w14:paraId="4716742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6"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6.</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B04-2010</w:t>
            </w:r>
            <w:r>
              <w:rPr>
                <w:rFonts w:hint="default"/>
                <w:color w:val="auto"/>
                <w:spacing w:val="0"/>
                <w:w w:val="100"/>
                <w:position w:val="0"/>
                <w:sz w:val="24"/>
                <w:szCs w:val="24"/>
                <w:highlight w:val="none"/>
              </w:rPr>
              <w:t>）</w:t>
            </w:r>
          </w:p>
        </w:tc>
        <w:tc>
          <w:tcPr>
            <w:tcW w:w="5390" w:type="dxa"/>
            <w:vAlign w:val="top"/>
          </w:tcPr>
          <w:p w14:paraId="6151F9D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《公路环境保护设计规范》</w:t>
            </w:r>
          </w:p>
        </w:tc>
      </w:tr>
      <w:tr w14:paraId="0D4B007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7" w:hRule="atLeast"/>
        </w:trPr>
        <w:tc>
          <w:tcPr>
            <w:tcW w:w="2933" w:type="dxa"/>
            <w:vAlign w:val="top"/>
          </w:tcPr>
          <w:p w14:paraId="5300FEB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5"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7.</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C10-2007</w:t>
            </w:r>
            <w:r>
              <w:rPr>
                <w:rFonts w:hint="default"/>
                <w:color w:val="auto"/>
                <w:spacing w:val="0"/>
                <w:w w:val="100"/>
                <w:position w:val="0"/>
                <w:sz w:val="24"/>
                <w:szCs w:val="24"/>
                <w:highlight w:val="none"/>
              </w:rPr>
              <w:t>）</w:t>
            </w:r>
          </w:p>
        </w:tc>
        <w:tc>
          <w:tcPr>
            <w:tcW w:w="5390" w:type="dxa"/>
            <w:vAlign w:val="top"/>
          </w:tcPr>
          <w:p w14:paraId="1B41BAE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《公路勘测规范》</w:t>
            </w:r>
          </w:p>
        </w:tc>
      </w:tr>
      <w:tr w14:paraId="3776265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5" w:hRule="atLeast"/>
        </w:trPr>
        <w:tc>
          <w:tcPr>
            <w:tcW w:w="2933" w:type="dxa"/>
            <w:vAlign w:val="top"/>
          </w:tcPr>
          <w:p w14:paraId="7B326E1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10"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8.</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C20-2011</w:t>
            </w:r>
            <w:r>
              <w:rPr>
                <w:rFonts w:hint="default"/>
                <w:color w:val="auto"/>
                <w:spacing w:val="0"/>
                <w:w w:val="100"/>
                <w:position w:val="0"/>
                <w:sz w:val="24"/>
                <w:szCs w:val="24"/>
                <w:highlight w:val="none"/>
              </w:rPr>
              <w:t>）</w:t>
            </w:r>
          </w:p>
        </w:tc>
        <w:tc>
          <w:tcPr>
            <w:tcW w:w="5390" w:type="dxa"/>
            <w:vAlign w:val="top"/>
          </w:tcPr>
          <w:p w14:paraId="3FF7904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《公路工程地质勘察规范》</w:t>
            </w:r>
          </w:p>
        </w:tc>
      </w:tr>
      <w:tr w14:paraId="06533DB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8" w:hRule="atLeast"/>
        </w:trPr>
        <w:tc>
          <w:tcPr>
            <w:tcW w:w="2933" w:type="dxa"/>
            <w:vAlign w:val="top"/>
          </w:tcPr>
          <w:p w14:paraId="5F8CA83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5"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9.</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C30-2015</w:t>
            </w:r>
            <w:r>
              <w:rPr>
                <w:rFonts w:hint="default"/>
                <w:color w:val="auto"/>
                <w:spacing w:val="0"/>
                <w:w w:val="100"/>
                <w:position w:val="0"/>
                <w:sz w:val="24"/>
                <w:szCs w:val="24"/>
                <w:highlight w:val="none"/>
              </w:rPr>
              <w:t>）</w:t>
            </w:r>
          </w:p>
        </w:tc>
        <w:tc>
          <w:tcPr>
            <w:tcW w:w="5390" w:type="dxa"/>
            <w:vAlign w:val="top"/>
          </w:tcPr>
          <w:p w14:paraId="527CB85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《公路工程水文勘测设计规范》</w:t>
            </w:r>
          </w:p>
        </w:tc>
      </w:tr>
      <w:tr w14:paraId="21F761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7" w:hRule="atLeast"/>
        </w:trPr>
        <w:tc>
          <w:tcPr>
            <w:tcW w:w="2933" w:type="dxa"/>
            <w:vAlign w:val="top"/>
          </w:tcPr>
          <w:p w14:paraId="57520C7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4"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10.</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3430-2020</w:t>
            </w:r>
            <w:r>
              <w:rPr>
                <w:rFonts w:hint="default"/>
                <w:color w:val="auto"/>
                <w:spacing w:val="0"/>
                <w:w w:val="100"/>
                <w:position w:val="0"/>
                <w:sz w:val="24"/>
                <w:szCs w:val="24"/>
                <w:highlight w:val="none"/>
              </w:rPr>
              <w:t>）</w:t>
            </w:r>
          </w:p>
        </w:tc>
        <w:tc>
          <w:tcPr>
            <w:tcW w:w="5390" w:type="dxa"/>
            <w:vAlign w:val="top"/>
          </w:tcPr>
          <w:p w14:paraId="77C4ADB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《公路土工试验规程》</w:t>
            </w:r>
          </w:p>
        </w:tc>
      </w:tr>
      <w:tr w14:paraId="56DD544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5" w:hRule="atLeast"/>
        </w:trPr>
        <w:tc>
          <w:tcPr>
            <w:tcW w:w="2933" w:type="dxa"/>
            <w:vAlign w:val="top"/>
          </w:tcPr>
          <w:p w14:paraId="5EDA6E4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4"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11.</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D20-2017</w:t>
            </w:r>
            <w:r>
              <w:rPr>
                <w:rFonts w:hint="default"/>
                <w:color w:val="auto"/>
                <w:spacing w:val="0"/>
                <w:w w:val="100"/>
                <w:position w:val="0"/>
                <w:sz w:val="24"/>
                <w:szCs w:val="24"/>
                <w:highlight w:val="none"/>
              </w:rPr>
              <w:t>）</w:t>
            </w:r>
          </w:p>
        </w:tc>
        <w:tc>
          <w:tcPr>
            <w:tcW w:w="5390" w:type="dxa"/>
            <w:vAlign w:val="top"/>
          </w:tcPr>
          <w:p w14:paraId="432CBB2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《公路路线设计规范》</w:t>
            </w:r>
          </w:p>
        </w:tc>
      </w:tr>
      <w:tr w14:paraId="1F69754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8" w:hRule="atLeast"/>
        </w:trPr>
        <w:tc>
          <w:tcPr>
            <w:tcW w:w="2933" w:type="dxa"/>
            <w:vAlign w:val="top"/>
          </w:tcPr>
          <w:p w14:paraId="0ABFE95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4"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12.</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JTG/T D21-2014</w:t>
            </w:r>
            <w:r>
              <w:rPr>
                <w:rFonts w:hint="default"/>
                <w:color w:val="auto"/>
                <w:spacing w:val="0"/>
                <w:w w:val="100"/>
                <w:position w:val="0"/>
                <w:sz w:val="24"/>
                <w:szCs w:val="24"/>
                <w:highlight w:val="none"/>
              </w:rPr>
              <w:t>）</w:t>
            </w:r>
          </w:p>
        </w:tc>
        <w:tc>
          <w:tcPr>
            <w:tcW w:w="5390" w:type="dxa"/>
            <w:vAlign w:val="top"/>
          </w:tcPr>
          <w:p w14:paraId="2F73D0A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《公路立体交叉设计细则》</w:t>
            </w:r>
          </w:p>
        </w:tc>
      </w:tr>
      <w:tr w14:paraId="4683158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7" w:hRule="atLeast"/>
        </w:trPr>
        <w:tc>
          <w:tcPr>
            <w:tcW w:w="2933" w:type="dxa"/>
            <w:vAlign w:val="top"/>
          </w:tcPr>
          <w:p w14:paraId="17BC1F3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4"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13.</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D30-2015</w:t>
            </w:r>
            <w:r>
              <w:rPr>
                <w:rFonts w:hint="default"/>
                <w:color w:val="auto"/>
                <w:spacing w:val="0"/>
                <w:w w:val="100"/>
                <w:position w:val="0"/>
                <w:sz w:val="24"/>
                <w:szCs w:val="24"/>
                <w:highlight w:val="none"/>
              </w:rPr>
              <w:t>）</w:t>
            </w:r>
          </w:p>
        </w:tc>
        <w:tc>
          <w:tcPr>
            <w:tcW w:w="5390" w:type="dxa"/>
            <w:vAlign w:val="top"/>
          </w:tcPr>
          <w:p w14:paraId="03FD165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《公路路基设计规范》</w:t>
            </w:r>
          </w:p>
        </w:tc>
      </w:tr>
      <w:tr w14:paraId="2F826BF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5" w:hRule="atLeast"/>
        </w:trPr>
        <w:tc>
          <w:tcPr>
            <w:tcW w:w="2933" w:type="dxa"/>
            <w:vAlign w:val="top"/>
          </w:tcPr>
          <w:p w14:paraId="5695E9E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4"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14.</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D50-2017</w:t>
            </w:r>
            <w:r>
              <w:rPr>
                <w:rFonts w:hint="default"/>
                <w:color w:val="auto"/>
                <w:spacing w:val="0"/>
                <w:w w:val="100"/>
                <w:position w:val="0"/>
                <w:sz w:val="24"/>
                <w:szCs w:val="24"/>
                <w:highlight w:val="none"/>
              </w:rPr>
              <w:t>）</w:t>
            </w:r>
          </w:p>
        </w:tc>
        <w:tc>
          <w:tcPr>
            <w:tcW w:w="5390" w:type="dxa"/>
            <w:vAlign w:val="top"/>
          </w:tcPr>
          <w:p w14:paraId="34E00C9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《公路沥青路面设计规范》</w:t>
            </w:r>
          </w:p>
        </w:tc>
      </w:tr>
      <w:tr w14:paraId="102F624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8" w:hRule="atLeast"/>
        </w:trPr>
        <w:tc>
          <w:tcPr>
            <w:tcW w:w="2933" w:type="dxa"/>
            <w:vAlign w:val="top"/>
          </w:tcPr>
          <w:p w14:paraId="7D95537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4"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15.</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D40-2011</w:t>
            </w:r>
            <w:r>
              <w:rPr>
                <w:rFonts w:hint="default"/>
                <w:color w:val="auto"/>
                <w:spacing w:val="0"/>
                <w:w w:val="100"/>
                <w:position w:val="0"/>
                <w:sz w:val="24"/>
                <w:szCs w:val="24"/>
                <w:highlight w:val="none"/>
              </w:rPr>
              <w:t>）</w:t>
            </w:r>
          </w:p>
        </w:tc>
        <w:tc>
          <w:tcPr>
            <w:tcW w:w="5390" w:type="dxa"/>
            <w:vAlign w:val="top"/>
          </w:tcPr>
          <w:p w14:paraId="6CCC62C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《公路水泥混凝土路面设计规范》</w:t>
            </w:r>
          </w:p>
        </w:tc>
      </w:tr>
      <w:tr w14:paraId="18E750E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6" w:hRule="atLeast"/>
        </w:trPr>
        <w:tc>
          <w:tcPr>
            <w:tcW w:w="2933" w:type="dxa"/>
            <w:vAlign w:val="top"/>
          </w:tcPr>
          <w:p w14:paraId="1FE825E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4"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16</w:t>
            </w:r>
            <w:r>
              <w:rPr>
                <w:rFonts w:hint="eastAsia" w:eastAsia="宋体"/>
                <w:color w:val="auto"/>
                <w:spacing w:val="0"/>
                <w:w w:val="100"/>
                <w:position w:val="0"/>
                <w:sz w:val="24"/>
                <w:szCs w:val="24"/>
                <w:highlight w:val="none"/>
                <w:lang w:val="en-US" w:eastAsia="zh-CN"/>
              </w:rPr>
              <w:t>.</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JTG/T D33-2012</w:t>
            </w:r>
            <w:r>
              <w:rPr>
                <w:rFonts w:hint="default"/>
                <w:color w:val="auto"/>
                <w:spacing w:val="0"/>
                <w:w w:val="100"/>
                <w:position w:val="0"/>
                <w:sz w:val="24"/>
                <w:szCs w:val="24"/>
                <w:highlight w:val="none"/>
              </w:rPr>
              <w:t>）</w:t>
            </w:r>
          </w:p>
        </w:tc>
        <w:tc>
          <w:tcPr>
            <w:tcW w:w="5390" w:type="dxa"/>
            <w:vAlign w:val="top"/>
          </w:tcPr>
          <w:p w14:paraId="4230FA7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《公路排水设计规范》</w:t>
            </w:r>
          </w:p>
        </w:tc>
      </w:tr>
      <w:tr w14:paraId="154C5AD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04" w:hRule="atLeast"/>
        </w:trPr>
        <w:tc>
          <w:tcPr>
            <w:tcW w:w="2933" w:type="dxa"/>
            <w:vAlign w:val="top"/>
          </w:tcPr>
          <w:p w14:paraId="65B4E84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4"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17.</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D60-2015</w:t>
            </w:r>
            <w:r>
              <w:rPr>
                <w:rFonts w:hint="default"/>
                <w:color w:val="auto"/>
                <w:spacing w:val="0"/>
                <w:w w:val="100"/>
                <w:position w:val="0"/>
                <w:sz w:val="24"/>
                <w:szCs w:val="24"/>
                <w:highlight w:val="none"/>
              </w:rPr>
              <w:t>）</w:t>
            </w:r>
          </w:p>
        </w:tc>
        <w:tc>
          <w:tcPr>
            <w:tcW w:w="5390" w:type="dxa"/>
            <w:vAlign w:val="top"/>
          </w:tcPr>
          <w:p w14:paraId="4491E91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《公路桥涵设计通用规范》</w:t>
            </w:r>
          </w:p>
        </w:tc>
      </w:tr>
      <w:tr w14:paraId="254A0FF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8" w:hRule="atLeast"/>
        </w:trPr>
        <w:tc>
          <w:tcPr>
            <w:tcW w:w="2933" w:type="dxa"/>
            <w:vAlign w:val="top"/>
          </w:tcPr>
          <w:p w14:paraId="14504C7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4"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18.</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3361-2025</w:t>
            </w:r>
            <w:r>
              <w:rPr>
                <w:rFonts w:hint="default"/>
                <w:color w:val="auto"/>
                <w:spacing w:val="0"/>
                <w:w w:val="100"/>
                <w:position w:val="0"/>
                <w:sz w:val="24"/>
                <w:szCs w:val="24"/>
                <w:highlight w:val="none"/>
              </w:rPr>
              <w:t>）</w:t>
            </w:r>
          </w:p>
        </w:tc>
        <w:tc>
          <w:tcPr>
            <w:tcW w:w="5390" w:type="dxa"/>
            <w:vAlign w:val="top"/>
          </w:tcPr>
          <w:p w14:paraId="464FEBB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《公路圬工桥涵设计规范》</w:t>
            </w:r>
          </w:p>
        </w:tc>
      </w:tr>
      <w:tr w14:paraId="12566A6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74" w:hRule="atLeast"/>
        </w:trPr>
        <w:tc>
          <w:tcPr>
            <w:tcW w:w="2933" w:type="dxa"/>
            <w:vAlign w:val="top"/>
          </w:tcPr>
          <w:p w14:paraId="619D0B4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24"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19.</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3362-2018</w:t>
            </w:r>
            <w:r>
              <w:rPr>
                <w:rFonts w:hint="default"/>
                <w:color w:val="auto"/>
                <w:spacing w:val="0"/>
                <w:w w:val="100"/>
                <w:position w:val="0"/>
                <w:sz w:val="24"/>
                <w:szCs w:val="24"/>
                <w:highlight w:val="none"/>
              </w:rPr>
              <w:t>）</w:t>
            </w:r>
          </w:p>
        </w:tc>
        <w:tc>
          <w:tcPr>
            <w:tcW w:w="5390" w:type="dxa"/>
            <w:vAlign w:val="top"/>
          </w:tcPr>
          <w:p w14:paraId="07B4BBA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70" w:right="11" w:hanging="4"/>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《公路钢筋混凝土及预应力混凝土桥涵设计规 范》</w:t>
            </w:r>
          </w:p>
        </w:tc>
      </w:tr>
      <w:tr w14:paraId="3B1F211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89" w:hRule="atLeast"/>
        </w:trPr>
        <w:tc>
          <w:tcPr>
            <w:tcW w:w="2933" w:type="dxa"/>
            <w:vAlign w:val="top"/>
          </w:tcPr>
          <w:p w14:paraId="3B5BD4D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1"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20.</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3363-2019</w:t>
            </w:r>
            <w:r>
              <w:rPr>
                <w:rFonts w:hint="default"/>
                <w:color w:val="auto"/>
                <w:spacing w:val="0"/>
                <w:w w:val="100"/>
                <w:position w:val="0"/>
                <w:sz w:val="24"/>
                <w:szCs w:val="24"/>
                <w:highlight w:val="none"/>
              </w:rPr>
              <w:t>）</w:t>
            </w:r>
          </w:p>
        </w:tc>
        <w:tc>
          <w:tcPr>
            <w:tcW w:w="5390" w:type="dxa"/>
            <w:vAlign w:val="top"/>
          </w:tcPr>
          <w:p w14:paraId="62CECC3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《公路桥涵地基与基础设计规范》</w:t>
            </w:r>
          </w:p>
        </w:tc>
      </w:tr>
      <w:tr w14:paraId="1627021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7" w:hRule="atLeast"/>
        </w:trPr>
        <w:tc>
          <w:tcPr>
            <w:tcW w:w="2933" w:type="dxa"/>
            <w:vAlign w:val="top"/>
          </w:tcPr>
          <w:p w14:paraId="71413CD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1"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21.</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D64-2015</w:t>
            </w:r>
            <w:r>
              <w:rPr>
                <w:rFonts w:hint="default"/>
                <w:color w:val="auto"/>
                <w:spacing w:val="0"/>
                <w:w w:val="100"/>
                <w:position w:val="0"/>
                <w:sz w:val="24"/>
                <w:szCs w:val="24"/>
                <w:highlight w:val="none"/>
              </w:rPr>
              <w:t>）</w:t>
            </w:r>
          </w:p>
        </w:tc>
        <w:tc>
          <w:tcPr>
            <w:tcW w:w="5390" w:type="dxa"/>
            <w:vAlign w:val="top"/>
          </w:tcPr>
          <w:p w14:paraId="57C21FC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《公路钢结构桥梁设计规范》</w:t>
            </w:r>
          </w:p>
        </w:tc>
      </w:tr>
      <w:tr w14:paraId="4CAA3D0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97" w:hRule="atLeast"/>
        </w:trPr>
        <w:tc>
          <w:tcPr>
            <w:tcW w:w="2933" w:type="dxa"/>
            <w:vAlign w:val="top"/>
          </w:tcPr>
          <w:p w14:paraId="727A3E3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1"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22.</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3370.1-2018</w:t>
            </w:r>
            <w:r>
              <w:rPr>
                <w:rFonts w:hint="default"/>
                <w:color w:val="auto"/>
                <w:spacing w:val="0"/>
                <w:w w:val="100"/>
                <w:position w:val="0"/>
                <w:sz w:val="24"/>
                <w:szCs w:val="24"/>
                <w:highlight w:val="none"/>
              </w:rPr>
              <w:t>）</w:t>
            </w:r>
          </w:p>
        </w:tc>
        <w:tc>
          <w:tcPr>
            <w:tcW w:w="5390" w:type="dxa"/>
            <w:vAlign w:val="top"/>
          </w:tcPr>
          <w:p w14:paraId="69E4214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6" w:right="0"/>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《公路隧道设计规范 第一册 土建工程》</w:t>
            </w:r>
          </w:p>
        </w:tc>
      </w:tr>
      <w:tr w14:paraId="5343FDE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26" w:hRule="atLeast"/>
        </w:trPr>
        <w:tc>
          <w:tcPr>
            <w:tcW w:w="2933" w:type="dxa"/>
            <w:vAlign w:val="top"/>
          </w:tcPr>
          <w:p w14:paraId="3048F33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1" w:right="0"/>
              <w:textAlignment w:val="baseline"/>
              <w:rPr>
                <w:rFonts w:hint="default"/>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23.</w:t>
            </w:r>
            <w:r>
              <w:rPr>
                <w:rFonts w:hint="default"/>
                <w:color w:val="auto"/>
                <w:spacing w:val="0"/>
                <w:w w:val="100"/>
                <w:position w:val="0"/>
                <w:sz w:val="24"/>
                <w:szCs w:val="24"/>
                <w:highlight w:val="none"/>
              </w:rPr>
              <w:t>（</w:t>
            </w:r>
            <w:r>
              <w:rPr>
                <w:rFonts w:hint="default" w:ascii="Times New Roman" w:hAnsi="Times New Roman" w:eastAsia="Times New Roman" w:cs="Times New Roman"/>
                <w:color w:val="auto"/>
                <w:spacing w:val="0"/>
                <w:w w:val="100"/>
                <w:position w:val="0"/>
                <w:sz w:val="24"/>
                <w:szCs w:val="24"/>
                <w:highlight w:val="none"/>
              </w:rPr>
              <w:t>JTG D70/2-2014</w:t>
            </w:r>
            <w:r>
              <w:rPr>
                <w:rFonts w:hint="default"/>
                <w:color w:val="auto"/>
                <w:spacing w:val="0"/>
                <w:w w:val="100"/>
                <w:position w:val="0"/>
                <w:sz w:val="24"/>
                <w:szCs w:val="24"/>
                <w:highlight w:val="none"/>
              </w:rPr>
              <w:t>）</w:t>
            </w:r>
          </w:p>
        </w:tc>
        <w:tc>
          <w:tcPr>
            <w:tcW w:w="5390" w:type="dxa"/>
            <w:vAlign w:val="top"/>
          </w:tcPr>
          <w:p w14:paraId="2AA0A3F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80" w:lineRule="exact"/>
              <w:ind w:left="368" w:right="0" w:hanging="2"/>
              <w:textAlignment w:val="baseline"/>
              <w:rPr>
                <w:rFonts w:hint="default"/>
                <w:color w:val="auto"/>
                <w:spacing w:val="0"/>
                <w:w w:val="100"/>
                <w:position w:val="0"/>
                <w:sz w:val="24"/>
                <w:szCs w:val="24"/>
                <w:highlight w:val="none"/>
              </w:rPr>
            </w:pPr>
            <w:r>
              <w:rPr>
                <w:rFonts w:hint="default"/>
                <w:color w:val="auto"/>
                <w:spacing w:val="0"/>
                <w:w w:val="100"/>
                <w:position w:val="0"/>
                <w:sz w:val="24"/>
                <w:szCs w:val="24"/>
                <w:highlight w:val="none"/>
              </w:rPr>
              <w:t>《公路隧道设计规范 第二册 交通工程与附属 设施》</w:t>
            </w:r>
          </w:p>
        </w:tc>
      </w:tr>
    </w:tbl>
    <w:p w14:paraId="09B6CDAE">
      <w:pPr>
        <w:keepNext w:val="0"/>
        <w:keepLines w:val="0"/>
        <w:pageBreakBefore w:val="0"/>
        <w:widowControl/>
        <w:kinsoku w:val="0"/>
        <w:wordWrap/>
        <w:overflowPunct/>
        <w:topLinePunct w:val="0"/>
        <w:autoSpaceDE w:val="0"/>
        <w:autoSpaceDN w:val="0"/>
        <w:bidi w:val="0"/>
        <w:adjustRightInd w:val="0"/>
        <w:snapToGrid w:val="0"/>
        <w:spacing w:line="480" w:lineRule="exact"/>
        <w:ind w:left="3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24.</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JTG/TD70/2-01-2014</w:t>
      </w:r>
      <w:r>
        <w:rPr>
          <w:rFonts w:ascii="宋体" w:hAnsi="宋体" w:eastAsia="宋体" w:cs="宋体"/>
          <w:color w:val="auto"/>
          <w:spacing w:val="0"/>
          <w:w w:val="100"/>
          <w:position w:val="0"/>
          <w:sz w:val="24"/>
          <w:szCs w:val="24"/>
          <w:highlight w:val="none"/>
        </w:rPr>
        <w:t>）  《公路隧道照明设计细则》</w:t>
      </w:r>
    </w:p>
    <w:p w14:paraId="13B72B1C">
      <w:pPr>
        <w:keepNext w:val="0"/>
        <w:keepLines w:val="0"/>
        <w:pageBreakBefore w:val="0"/>
        <w:widowControl/>
        <w:kinsoku w:val="0"/>
        <w:wordWrap/>
        <w:overflowPunct/>
        <w:topLinePunct w:val="0"/>
        <w:autoSpaceDE w:val="0"/>
        <w:autoSpaceDN w:val="0"/>
        <w:bidi w:val="0"/>
        <w:adjustRightInd w:val="0"/>
        <w:snapToGrid w:val="0"/>
        <w:spacing w:line="480" w:lineRule="exact"/>
        <w:ind w:left="3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25.</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JTG/TD70/2-02-2014</w:t>
      </w:r>
      <w:r>
        <w:rPr>
          <w:rFonts w:ascii="宋体" w:hAnsi="宋体" w:eastAsia="宋体" w:cs="宋体"/>
          <w:color w:val="auto"/>
          <w:spacing w:val="0"/>
          <w:w w:val="100"/>
          <w:position w:val="0"/>
          <w:sz w:val="24"/>
          <w:szCs w:val="24"/>
          <w:highlight w:val="none"/>
        </w:rPr>
        <w:t>）  《公路隧道通风设计细则》</w:t>
      </w:r>
    </w:p>
    <w:p w14:paraId="0228056A">
      <w:pPr>
        <w:keepNext w:val="0"/>
        <w:keepLines w:val="0"/>
        <w:pageBreakBefore w:val="0"/>
        <w:widowControl/>
        <w:kinsoku w:val="0"/>
        <w:wordWrap/>
        <w:overflowPunct/>
        <w:topLinePunct w:val="0"/>
        <w:autoSpaceDE w:val="0"/>
        <w:autoSpaceDN w:val="0"/>
        <w:bidi w:val="0"/>
        <w:adjustRightInd w:val="0"/>
        <w:snapToGrid w:val="0"/>
        <w:spacing w:line="480" w:lineRule="exact"/>
        <w:ind w:left="3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26.</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JTG D81-2017</w:t>
      </w:r>
      <w:r>
        <w:rPr>
          <w:rFonts w:ascii="宋体" w:hAnsi="宋体" w:eastAsia="宋体" w:cs="宋体"/>
          <w:color w:val="auto"/>
          <w:spacing w:val="0"/>
          <w:w w:val="100"/>
          <w:position w:val="0"/>
          <w:sz w:val="24"/>
          <w:szCs w:val="24"/>
          <w:highlight w:val="none"/>
        </w:rPr>
        <w:t>）        《公路交通安全设施设计规范》</w:t>
      </w:r>
    </w:p>
    <w:p w14:paraId="684D0D78">
      <w:pPr>
        <w:keepNext w:val="0"/>
        <w:keepLines w:val="0"/>
        <w:pageBreakBefore w:val="0"/>
        <w:widowControl/>
        <w:kinsoku w:val="0"/>
        <w:wordWrap/>
        <w:overflowPunct/>
        <w:topLinePunct w:val="0"/>
        <w:autoSpaceDE w:val="0"/>
        <w:autoSpaceDN w:val="0"/>
        <w:bidi w:val="0"/>
        <w:adjustRightInd w:val="0"/>
        <w:snapToGrid w:val="0"/>
        <w:spacing w:line="480" w:lineRule="exact"/>
        <w:ind w:left="3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27.</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JTG/T D81-2017</w:t>
      </w:r>
      <w:r>
        <w:rPr>
          <w:rFonts w:ascii="宋体" w:hAnsi="宋体" w:eastAsia="宋体" w:cs="宋体"/>
          <w:color w:val="auto"/>
          <w:spacing w:val="0"/>
          <w:w w:val="100"/>
          <w:position w:val="0"/>
          <w:sz w:val="24"/>
          <w:szCs w:val="24"/>
          <w:highlight w:val="none"/>
        </w:rPr>
        <w:t>）       《公路交通安全设施设计细则》</w:t>
      </w:r>
    </w:p>
    <w:p w14:paraId="05559859">
      <w:pPr>
        <w:keepNext w:val="0"/>
        <w:keepLines w:val="0"/>
        <w:pageBreakBefore w:val="0"/>
        <w:widowControl/>
        <w:kinsoku w:val="0"/>
        <w:wordWrap/>
        <w:overflowPunct/>
        <w:topLinePunct w:val="0"/>
        <w:autoSpaceDE w:val="0"/>
        <w:autoSpaceDN w:val="0"/>
        <w:bidi w:val="0"/>
        <w:adjustRightInd w:val="0"/>
        <w:snapToGrid w:val="0"/>
        <w:spacing w:line="480" w:lineRule="exact"/>
        <w:ind w:left="3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28.</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JTG/T 3310-2019</w:t>
      </w:r>
      <w:r>
        <w:rPr>
          <w:rFonts w:ascii="宋体" w:hAnsi="宋体" w:eastAsia="宋体" w:cs="宋体"/>
          <w:color w:val="auto"/>
          <w:spacing w:val="0"/>
          <w:w w:val="100"/>
          <w:position w:val="0"/>
          <w:sz w:val="24"/>
          <w:szCs w:val="24"/>
          <w:highlight w:val="none"/>
        </w:rPr>
        <w:t>）      《公路工程混凝土结构耐久性设计规范》</w:t>
      </w:r>
    </w:p>
    <w:p w14:paraId="23A78454">
      <w:pPr>
        <w:keepNext w:val="0"/>
        <w:keepLines w:val="0"/>
        <w:pageBreakBefore w:val="0"/>
        <w:widowControl/>
        <w:kinsoku w:val="0"/>
        <w:wordWrap/>
        <w:overflowPunct/>
        <w:topLinePunct w:val="0"/>
        <w:autoSpaceDE w:val="0"/>
        <w:autoSpaceDN w:val="0"/>
        <w:bidi w:val="0"/>
        <w:adjustRightInd w:val="0"/>
        <w:snapToGrid w:val="0"/>
        <w:spacing w:line="480" w:lineRule="exact"/>
        <w:ind w:left="3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29.</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JTG B05-2015</w:t>
      </w:r>
      <w:r>
        <w:rPr>
          <w:rFonts w:ascii="宋体" w:hAnsi="宋体" w:eastAsia="宋体" w:cs="宋体"/>
          <w:color w:val="auto"/>
          <w:spacing w:val="0"/>
          <w:w w:val="100"/>
          <w:position w:val="0"/>
          <w:sz w:val="24"/>
          <w:szCs w:val="24"/>
          <w:highlight w:val="none"/>
        </w:rPr>
        <w:t>）         《公路项目安全性评价规范》</w:t>
      </w:r>
    </w:p>
    <w:p w14:paraId="368BFB48">
      <w:pPr>
        <w:keepNext w:val="0"/>
        <w:keepLines w:val="0"/>
        <w:pageBreakBefore w:val="0"/>
        <w:widowControl/>
        <w:kinsoku w:val="0"/>
        <w:wordWrap/>
        <w:overflowPunct/>
        <w:topLinePunct w:val="0"/>
        <w:autoSpaceDE w:val="0"/>
        <w:autoSpaceDN w:val="0"/>
        <w:bidi w:val="0"/>
        <w:adjustRightInd w:val="0"/>
        <w:snapToGrid w:val="0"/>
        <w:spacing w:line="480" w:lineRule="exact"/>
        <w:ind w:left="3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30.</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GB/T 50283-1999</w:t>
      </w:r>
      <w:r>
        <w:rPr>
          <w:rFonts w:ascii="宋体" w:hAnsi="宋体" w:eastAsia="宋体" w:cs="宋体"/>
          <w:color w:val="auto"/>
          <w:spacing w:val="0"/>
          <w:w w:val="100"/>
          <w:position w:val="0"/>
          <w:sz w:val="24"/>
          <w:szCs w:val="24"/>
          <w:highlight w:val="none"/>
        </w:rPr>
        <w:t>）      《公路工程结构可靠度设计统一标准》</w:t>
      </w:r>
    </w:p>
    <w:p w14:paraId="0D83D9D4">
      <w:pPr>
        <w:keepNext w:val="0"/>
        <w:keepLines w:val="0"/>
        <w:pageBreakBefore w:val="0"/>
        <w:widowControl/>
        <w:kinsoku w:val="0"/>
        <w:wordWrap/>
        <w:overflowPunct/>
        <w:topLinePunct w:val="0"/>
        <w:autoSpaceDE w:val="0"/>
        <w:autoSpaceDN w:val="0"/>
        <w:bidi w:val="0"/>
        <w:adjustRightInd w:val="0"/>
        <w:snapToGrid w:val="0"/>
        <w:spacing w:line="480" w:lineRule="exact"/>
        <w:ind w:left="3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31.</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GB 50162-1992</w:t>
      </w:r>
      <w:r>
        <w:rPr>
          <w:rFonts w:ascii="宋体" w:hAnsi="宋体" w:eastAsia="宋体" w:cs="宋体"/>
          <w:color w:val="auto"/>
          <w:spacing w:val="0"/>
          <w:w w:val="100"/>
          <w:position w:val="0"/>
          <w:sz w:val="24"/>
          <w:szCs w:val="24"/>
          <w:highlight w:val="none"/>
        </w:rPr>
        <w:t>）        《道路工程制图标准》</w:t>
      </w:r>
    </w:p>
    <w:p w14:paraId="4DB9F698">
      <w:pPr>
        <w:keepNext w:val="0"/>
        <w:keepLines w:val="0"/>
        <w:pageBreakBefore w:val="0"/>
        <w:widowControl/>
        <w:kinsoku w:val="0"/>
        <w:wordWrap/>
        <w:overflowPunct/>
        <w:topLinePunct w:val="0"/>
        <w:autoSpaceDE w:val="0"/>
        <w:autoSpaceDN w:val="0"/>
        <w:bidi w:val="0"/>
        <w:adjustRightInd w:val="0"/>
        <w:snapToGrid w:val="0"/>
        <w:spacing w:line="480" w:lineRule="exact"/>
        <w:ind w:left="3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32.</w:t>
      </w:r>
      <w:r>
        <w:rPr>
          <w:rFonts w:ascii="宋体" w:hAnsi="宋体" w:eastAsia="宋体" w:cs="宋体"/>
          <w:color w:val="auto"/>
          <w:spacing w:val="0"/>
          <w:w w:val="100"/>
          <w:position w:val="0"/>
          <w:sz w:val="24"/>
          <w:szCs w:val="24"/>
          <w:highlight w:val="none"/>
        </w:rPr>
        <w:t>（交公路发〔</w:t>
      </w:r>
      <w:r>
        <w:rPr>
          <w:rFonts w:ascii="Times New Roman" w:hAnsi="Times New Roman" w:eastAsia="Times New Roman" w:cs="Times New Roman"/>
          <w:color w:val="auto"/>
          <w:spacing w:val="0"/>
          <w:w w:val="100"/>
          <w:position w:val="0"/>
          <w:sz w:val="24"/>
          <w:szCs w:val="24"/>
          <w:highlight w:val="none"/>
        </w:rPr>
        <w:t>2007</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 xml:space="preserve">358 </w:t>
      </w:r>
      <w:r>
        <w:rPr>
          <w:rFonts w:ascii="宋体" w:hAnsi="宋体" w:eastAsia="宋体" w:cs="宋体"/>
          <w:color w:val="auto"/>
          <w:spacing w:val="0"/>
          <w:w w:val="100"/>
          <w:position w:val="0"/>
          <w:sz w:val="24"/>
          <w:szCs w:val="24"/>
          <w:highlight w:val="none"/>
        </w:rPr>
        <w:t>号）《公路工程基本建设项目设计文件编制办法》</w:t>
      </w:r>
    </w:p>
    <w:p w14:paraId="5A109713">
      <w:pPr>
        <w:keepNext w:val="0"/>
        <w:keepLines w:val="0"/>
        <w:pageBreakBefore w:val="0"/>
        <w:widowControl/>
        <w:kinsoku w:val="0"/>
        <w:wordWrap/>
        <w:overflowPunct/>
        <w:topLinePunct w:val="0"/>
        <w:autoSpaceDE w:val="0"/>
        <w:autoSpaceDN w:val="0"/>
        <w:bidi w:val="0"/>
        <w:adjustRightInd w:val="0"/>
        <w:snapToGrid w:val="0"/>
        <w:spacing w:line="480" w:lineRule="exact"/>
        <w:ind w:left="3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33.</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JTG 3830-2018</w:t>
      </w:r>
      <w:r>
        <w:rPr>
          <w:rFonts w:ascii="宋体" w:hAnsi="宋体" w:eastAsia="宋体" w:cs="宋体"/>
          <w:color w:val="auto"/>
          <w:spacing w:val="0"/>
          <w:w w:val="100"/>
          <w:position w:val="0"/>
          <w:sz w:val="24"/>
          <w:szCs w:val="24"/>
          <w:highlight w:val="none"/>
        </w:rPr>
        <w:t>）        《公路工程基本建设项目概算预算编制办法》</w:t>
      </w:r>
    </w:p>
    <w:p w14:paraId="3A17DEE2">
      <w:pPr>
        <w:keepNext w:val="0"/>
        <w:keepLines w:val="0"/>
        <w:pageBreakBefore w:val="0"/>
        <w:widowControl/>
        <w:kinsoku w:val="0"/>
        <w:wordWrap/>
        <w:overflowPunct/>
        <w:topLinePunct w:val="0"/>
        <w:autoSpaceDE w:val="0"/>
        <w:autoSpaceDN w:val="0"/>
        <w:bidi w:val="0"/>
        <w:adjustRightInd w:val="0"/>
        <w:snapToGrid w:val="0"/>
        <w:spacing w:line="480" w:lineRule="exact"/>
        <w:ind w:left="3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34.</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JTG/T 3831-2018</w:t>
      </w:r>
      <w:r>
        <w:rPr>
          <w:rFonts w:ascii="宋体" w:hAnsi="宋体" w:eastAsia="宋体" w:cs="宋体"/>
          <w:color w:val="auto"/>
          <w:spacing w:val="0"/>
          <w:w w:val="100"/>
          <w:position w:val="0"/>
          <w:sz w:val="24"/>
          <w:szCs w:val="24"/>
          <w:highlight w:val="none"/>
        </w:rPr>
        <w:t>）      《公路工程概算定额》</w:t>
      </w:r>
    </w:p>
    <w:p w14:paraId="02E319AE">
      <w:pPr>
        <w:keepNext w:val="0"/>
        <w:keepLines w:val="0"/>
        <w:pageBreakBefore w:val="0"/>
        <w:widowControl/>
        <w:kinsoku w:val="0"/>
        <w:wordWrap/>
        <w:overflowPunct/>
        <w:topLinePunct w:val="0"/>
        <w:autoSpaceDE w:val="0"/>
        <w:autoSpaceDN w:val="0"/>
        <w:bidi w:val="0"/>
        <w:adjustRightInd w:val="0"/>
        <w:snapToGrid w:val="0"/>
        <w:spacing w:line="480" w:lineRule="exact"/>
        <w:ind w:left="3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35.</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JTG/T 3832-2018</w:t>
      </w:r>
      <w:r>
        <w:rPr>
          <w:rFonts w:ascii="宋体" w:hAnsi="宋体" w:eastAsia="宋体" w:cs="宋体"/>
          <w:color w:val="auto"/>
          <w:spacing w:val="0"/>
          <w:w w:val="100"/>
          <w:position w:val="0"/>
          <w:sz w:val="24"/>
          <w:szCs w:val="24"/>
          <w:highlight w:val="none"/>
        </w:rPr>
        <w:t>）      《公路工程预算定额（上、下册）》</w:t>
      </w:r>
    </w:p>
    <w:p w14:paraId="4B36E3EE">
      <w:pPr>
        <w:keepNext w:val="0"/>
        <w:keepLines w:val="0"/>
        <w:pageBreakBefore w:val="0"/>
        <w:widowControl/>
        <w:kinsoku w:val="0"/>
        <w:wordWrap/>
        <w:overflowPunct/>
        <w:topLinePunct w:val="0"/>
        <w:autoSpaceDE w:val="0"/>
        <w:autoSpaceDN w:val="0"/>
        <w:bidi w:val="0"/>
        <w:adjustRightInd w:val="0"/>
        <w:snapToGrid w:val="0"/>
        <w:spacing w:line="480" w:lineRule="exact"/>
        <w:ind w:left="3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36.</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JTG/T 3833-2018</w:t>
      </w:r>
      <w:r>
        <w:rPr>
          <w:rFonts w:ascii="宋体" w:hAnsi="宋体" w:eastAsia="宋体" w:cs="宋体"/>
          <w:color w:val="auto"/>
          <w:spacing w:val="0"/>
          <w:w w:val="100"/>
          <w:position w:val="0"/>
          <w:sz w:val="24"/>
          <w:szCs w:val="24"/>
          <w:highlight w:val="none"/>
        </w:rPr>
        <w:t>）      《公路工程机械台班费用定额》</w:t>
      </w:r>
    </w:p>
    <w:p w14:paraId="12FB3889">
      <w:pPr>
        <w:keepNext w:val="0"/>
        <w:keepLines w:val="0"/>
        <w:pageBreakBefore w:val="0"/>
        <w:widowControl/>
        <w:kinsoku w:val="0"/>
        <w:wordWrap/>
        <w:overflowPunct/>
        <w:topLinePunct w:val="0"/>
        <w:autoSpaceDE w:val="0"/>
        <w:autoSpaceDN w:val="0"/>
        <w:bidi w:val="0"/>
        <w:adjustRightInd w:val="0"/>
        <w:snapToGrid w:val="0"/>
        <w:spacing w:line="480" w:lineRule="exact"/>
        <w:ind w:left="3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37.</w:t>
      </w:r>
      <w:r>
        <w:rPr>
          <w:rFonts w:ascii="宋体" w:hAnsi="宋体" w:eastAsia="宋体" w:cs="宋体"/>
          <w:color w:val="auto"/>
          <w:spacing w:val="0"/>
          <w:w w:val="100"/>
          <w:position w:val="0"/>
          <w:sz w:val="24"/>
          <w:szCs w:val="24"/>
          <w:highlight w:val="none"/>
        </w:rPr>
        <w:t>（建标〔</w:t>
      </w:r>
      <w:r>
        <w:rPr>
          <w:rFonts w:ascii="Times New Roman" w:hAnsi="Times New Roman" w:eastAsia="Times New Roman" w:cs="Times New Roman"/>
          <w:color w:val="auto"/>
          <w:spacing w:val="0"/>
          <w:w w:val="100"/>
          <w:position w:val="0"/>
          <w:sz w:val="24"/>
          <w:szCs w:val="24"/>
          <w:highlight w:val="none"/>
        </w:rPr>
        <w:t>2011</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 xml:space="preserve">124 </w:t>
      </w:r>
      <w:r>
        <w:rPr>
          <w:rFonts w:ascii="宋体" w:hAnsi="宋体" w:eastAsia="宋体" w:cs="宋体"/>
          <w:color w:val="auto"/>
          <w:spacing w:val="0"/>
          <w:w w:val="100"/>
          <w:position w:val="0"/>
          <w:sz w:val="24"/>
          <w:szCs w:val="24"/>
          <w:highlight w:val="none"/>
        </w:rPr>
        <w:t>号）   《公路工程项目建设用地指标》</w:t>
      </w:r>
    </w:p>
    <w:p w14:paraId="443C0818">
      <w:pPr>
        <w:keepNext w:val="0"/>
        <w:keepLines w:val="0"/>
        <w:pageBreakBefore w:val="0"/>
        <w:widowControl/>
        <w:kinsoku w:val="0"/>
        <w:wordWrap/>
        <w:overflowPunct/>
        <w:topLinePunct w:val="0"/>
        <w:autoSpaceDE w:val="0"/>
        <w:autoSpaceDN w:val="0"/>
        <w:bidi w:val="0"/>
        <w:adjustRightInd w:val="0"/>
        <w:snapToGrid w:val="0"/>
        <w:spacing w:line="480" w:lineRule="exact"/>
        <w:ind w:left="3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38.</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YD 2002-1992</w:t>
      </w:r>
      <w:r>
        <w:rPr>
          <w:rFonts w:ascii="宋体" w:hAnsi="宋体" w:eastAsia="宋体" w:cs="宋体"/>
          <w:color w:val="auto"/>
          <w:spacing w:val="0"/>
          <w:w w:val="100"/>
          <w:position w:val="0"/>
          <w:sz w:val="24"/>
          <w:szCs w:val="24"/>
          <w:highlight w:val="none"/>
        </w:rPr>
        <w:t>）        《长途通信干线电缆线路工程设计规范》</w:t>
      </w:r>
    </w:p>
    <w:p w14:paraId="50BCC47D">
      <w:pPr>
        <w:keepNext w:val="0"/>
        <w:keepLines w:val="0"/>
        <w:pageBreakBefore w:val="0"/>
        <w:widowControl/>
        <w:kinsoku w:val="0"/>
        <w:wordWrap/>
        <w:overflowPunct/>
        <w:topLinePunct w:val="0"/>
        <w:autoSpaceDE w:val="0"/>
        <w:autoSpaceDN w:val="0"/>
        <w:bidi w:val="0"/>
        <w:adjustRightInd w:val="0"/>
        <w:snapToGrid w:val="0"/>
        <w:spacing w:line="480" w:lineRule="exact"/>
        <w:ind w:left="3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39.</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YD 5102-</w:t>
      </w:r>
      <w:r>
        <w:rPr>
          <w:rFonts w:hint="eastAsia" w:ascii="Times New Roman" w:hAnsi="Times New Roman" w:eastAsia="宋体" w:cs="Times New Roman"/>
          <w:color w:val="auto"/>
          <w:spacing w:val="0"/>
          <w:w w:val="100"/>
          <w:position w:val="0"/>
          <w:sz w:val="24"/>
          <w:szCs w:val="24"/>
          <w:highlight w:val="none"/>
          <w:lang w:val="en-US" w:eastAsia="zh-CN"/>
        </w:rPr>
        <w:t>2024</w:t>
      </w:r>
      <w:r>
        <w:rPr>
          <w:rFonts w:ascii="宋体" w:hAnsi="宋体" w:eastAsia="宋体" w:cs="宋体"/>
          <w:color w:val="auto"/>
          <w:spacing w:val="0"/>
          <w:w w:val="100"/>
          <w:position w:val="0"/>
          <w:sz w:val="24"/>
          <w:szCs w:val="24"/>
          <w:highlight w:val="none"/>
        </w:rPr>
        <w:t>）        《通信线路工程设计规范》</w:t>
      </w:r>
    </w:p>
    <w:p w14:paraId="7CC38563">
      <w:pPr>
        <w:keepNext w:val="0"/>
        <w:keepLines w:val="0"/>
        <w:pageBreakBefore w:val="0"/>
        <w:widowControl/>
        <w:kinsoku w:val="0"/>
        <w:wordWrap/>
        <w:overflowPunct/>
        <w:topLinePunct w:val="0"/>
        <w:autoSpaceDE w:val="0"/>
        <w:autoSpaceDN w:val="0"/>
        <w:bidi w:val="0"/>
        <w:adjustRightInd w:val="0"/>
        <w:snapToGrid w:val="0"/>
        <w:spacing w:line="480" w:lineRule="exact"/>
        <w:ind w:left="3295" w:right="21" w:hanging="326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40.</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YDJ 44-1989</w:t>
      </w:r>
      <w:r>
        <w:rPr>
          <w:rFonts w:ascii="宋体" w:hAnsi="宋体" w:eastAsia="宋体" w:cs="宋体"/>
          <w:color w:val="auto"/>
          <w:spacing w:val="0"/>
          <w:w w:val="100"/>
          <w:position w:val="0"/>
          <w:sz w:val="24"/>
          <w:szCs w:val="24"/>
          <w:highlight w:val="none"/>
        </w:rPr>
        <w:t>）         《电信网光纤数字传输系统工程施工及验收暂行 技术规定》</w:t>
      </w:r>
    </w:p>
    <w:p w14:paraId="7B811FC2">
      <w:pPr>
        <w:keepNext w:val="0"/>
        <w:keepLines w:val="0"/>
        <w:pageBreakBefore w:val="0"/>
        <w:widowControl/>
        <w:kinsoku w:val="0"/>
        <w:wordWrap/>
        <w:overflowPunct/>
        <w:topLinePunct w:val="0"/>
        <w:autoSpaceDE w:val="0"/>
        <w:autoSpaceDN w:val="0"/>
        <w:bidi w:val="0"/>
        <w:adjustRightInd w:val="0"/>
        <w:snapToGrid w:val="0"/>
        <w:spacing w:line="480" w:lineRule="exact"/>
        <w:ind w:left="32"/>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41.</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GB 50689-2011</w:t>
      </w:r>
      <w:r>
        <w:rPr>
          <w:rFonts w:ascii="宋体" w:hAnsi="宋体" w:eastAsia="宋体" w:cs="宋体"/>
          <w:color w:val="auto"/>
          <w:spacing w:val="0"/>
          <w:w w:val="100"/>
          <w:position w:val="0"/>
          <w:sz w:val="24"/>
          <w:szCs w:val="24"/>
          <w:highlight w:val="none"/>
        </w:rPr>
        <w:t>）       《通信局（站）防雷与接地工程设计规范》</w:t>
      </w:r>
    </w:p>
    <w:p w14:paraId="0139EEB5">
      <w:pPr>
        <w:keepNext w:val="0"/>
        <w:keepLines w:val="0"/>
        <w:pageBreakBefore w:val="0"/>
        <w:widowControl/>
        <w:kinsoku w:val="0"/>
        <w:wordWrap/>
        <w:overflowPunct/>
        <w:topLinePunct w:val="0"/>
        <w:autoSpaceDE w:val="0"/>
        <w:autoSpaceDN w:val="0"/>
        <w:bidi w:val="0"/>
        <w:adjustRightInd w:val="0"/>
        <w:snapToGrid w:val="0"/>
        <w:spacing w:line="480" w:lineRule="exact"/>
        <w:ind w:left="32"/>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42.</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GB/T 50374-2018</w:t>
      </w:r>
      <w:r>
        <w:rPr>
          <w:rFonts w:ascii="宋体" w:hAnsi="宋体" w:eastAsia="宋体" w:cs="宋体"/>
          <w:color w:val="auto"/>
          <w:spacing w:val="0"/>
          <w:w w:val="100"/>
          <w:position w:val="0"/>
          <w:sz w:val="24"/>
          <w:szCs w:val="24"/>
          <w:highlight w:val="none"/>
        </w:rPr>
        <w:t>）      《通信管道工程施工及验收标准》</w:t>
      </w:r>
    </w:p>
    <w:p w14:paraId="484698AF">
      <w:pPr>
        <w:keepNext w:val="0"/>
        <w:keepLines w:val="0"/>
        <w:pageBreakBefore w:val="0"/>
        <w:widowControl/>
        <w:kinsoku w:val="0"/>
        <w:wordWrap/>
        <w:overflowPunct/>
        <w:topLinePunct w:val="0"/>
        <w:autoSpaceDE w:val="0"/>
        <w:autoSpaceDN w:val="0"/>
        <w:bidi w:val="0"/>
        <w:adjustRightInd w:val="0"/>
        <w:snapToGrid w:val="0"/>
        <w:spacing w:line="480" w:lineRule="exact"/>
        <w:ind w:left="32"/>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43.</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GB 50198-2011</w:t>
      </w:r>
      <w:r>
        <w:rPr>
          <w:rFonts w:ascii="宋体" w:hAnsi="宋体" w:eastAsia="宋体" w:cs="宋体"/>
          <w:color w:val="auto"/>
          <w:spacing w:val="0"/>
          <w:w w:val="100"/>
          <w:position w:val="0"/>
          <w:sz w:val="24"/>
          <w:szCs w:val="24"/>
          <w:highlight w:val="none"/>
        </w:rPr>
        <w:t>）       《民用闭路监视电视系统工程技术规范》</w:t>
      </w:r>
    </w:p>
    <w:p w14:paraId="194B7702">
      <w:pPr>
        <w:keepNext w:val="0"/>
        <w:keepLines w:val="0"/>
        <w:pageBreakBefore w:val="0"/>
        <w:widowControl/>
        <w:kinsoku w:val="0"/>
        <w:wordWrap/>
        <w:overflowPunct/>
        <w:topLinePunct w:val="0"/>
        <w:autoSpaceDE w:val="0"/>
        <w:autoSpaceDN w:val="0"/>
        <w:bidi w:val="0"/>
        <w:adjustRightInd w:val="0"/>
        <w:snapToGrid w:val="0"/>
        <w:spacing w:line="480" w:lineRule="exact"/>
        <w:ind w:left="32"/>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44.</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GB 50174-2017</w:t>
      </w:r>
      <w:r>
        <w:rPr>
          <w:rFonts w:ascii="宋体" w:hAnsi="宋体" w:eastAsia="宋体" w:cs="宋体"/>
          <w:color w:val="auto"/>
          <w:spacing w:val="0"/>
          <w:w w:val="100"/>
          <w:position w:val="0"/>
          <w:sz w:val="24"/>
          <w:szCs w:val="24"/>
          <w:highlight w:val="none"/>
        </w:rPr>
        <w:t>）       《数据中心设计规范》</w:t>
      </w:r>
    </w:p>
    <w:p w14:paraId="551905CA">
      <w:pPr>
        <w:keepNext w:val="0"/>
        <w:keepLines w:val="0"/>
        <w:pageBreakBefore w:val="0"/>
        <w:widowControl/>
        <w:kinsoku w:val="0"/>
        <w:wordWrap/>
        <w:overflowPunct/>
        <w:topLinePunct w:val="0"/>
        <w:autoSpaceDE w:val="0"/>
        <w:autoSpaceDN w:val="0"/>
        <w:bidi w:val="0"/>
        <w:adjustRightInd w:val="0"/>
        <w:snapToGrid w:val="0"/>
        <w:spacing w:line="480" w:lineRule="exact"/>
        <w:ind w:left="32"/>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w:t>
      </w:r>
      <w:r>
        <w:rPr>
          <w:rFonts w:hint="eastAsia" w:ascii="Times New Roman" w:hAnsi="Times New Roman" w:eastAsia="宋体" w:cs="Times New Roman"/>
          <w:color w:val="auto"/>
          <w:spacing w:val="0"/>
          <w:w w:val="100"/>
          <w:position w:val="0"/>
          <w:sz w:val="24"/>
          <w:szCs w:val="24"/>
          <w:highlight w:val="none"/>
          <w:lang w:val="en-US" w:eastAsia="zh-CN"/>
        </w:rPr>
        <w:t>5</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GB 50057-2010</w:t>
      </w:r>
      <w:r>
        <w:rPr>
          <w:rFonts w:ascii="宋体" w:hAnsi="宋体" w:eastAsia="宋体" w:cs="宋体"/>
          <w:color w:val="auto"/>
          <w:spacing w:val="0"/>
          <w:w w:val="100"/>
          <w:position w:val="0"/>
          <w:sz w:val="24"/>
          <w:szCs w:val="24"/>
          <w:highlight w:val="none"/>
        </w:rPr>
        <w:t>）       《建筑物防雷设计规范》</w:t>
      </w:r>
    </w:p>
    <w:p w14:paraId="632E0572">
      <w:pPr>
        <w:keepNext w:val="0"/>
        <w:keepLines w:val="0"/>
        <w:pageBreakBefore w:val="0"/>
        <w:widowControl/>
        <w:kinsoku w:val="0"/>
        <w:wordWrap/>
        <w:overflowPunct/>
        <w:topLinePunct w:val="0"/>
        <w:autoSpaceDE w:val="0"/>
        <w:autoSpaceDN w:val="0"/>
        <w:bidi w:val="0"/>
        <w:adjustRightInd w:val="0"/>
        <w:snapToGrid w:val="0"/>
        <w:spacing w:line="480" w:lineRule="exact"/>
        <w:ind w:left="32"/>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w:t>
      </w:r>
      <w:r>
        <w:rPr>
          <w:rFonts w:hint="eastAsia" w:ascii="Times New Roman" w:hAnsi="Times New Roman" w:eastAsia="宋体" w:cs="Times New Roman"/>
          <w:color w:val="auto"/>
          <w:spacing w:val="0"/>
          <w:w w:val="100"/>
          <w:position w:val="0"/>
          <w:sz w:val="24"/>
          <w:szCs w:val="24"/>
          <w:highlight w:val="none"/>
          <w:lang w:val="en-US" w:eastAsia="zh-CN"/>
        </w:rPr>
        <w:t>6</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GB 51348-2019</w:t>
      </w:r>
      <w:r>
        <w:rPr>
          <w:rFonts w:ascii="宋体" w:hAnsi="宋体" w:eastAsia="宋体" w:cs="宋体"/>
          <w:color w:val="auto"/>
          <w:spacing w:val="0"/>
          <w:w w:val="100"/>
          <w:position w:val="0"/>
          <w:sz w:val="24"/>
          <w:szCs w:val="24"/>
          <w:highlight w:val="none"/>
        </w:rPr>
        <w:t>）       《民用建筑电气设计标准》</w:t>
      </w:r>
    </w:p>
    <w:p w14:paraId="0FD66F2E">
      <w:pPr>
        <w:keepNext w:val="0"/>
        <w:keepLines w:val="0"/>
        <w:pageBreakBefore w:val="0"/>
        <w:widowControl/>
        <w:kinsoku w:val="0"/>
        <w:wordWrap/>
        <w:overflowPunct/>
        <w:topLinePunct w:val="0"/>
        <w:autoSpaceDE w:val="0"/>
        <w:autoSpaceDN w:val="0"/>
        <w:bidi w:val="0"/>
        <w:adjustRightInd w:val="0"/>
        <w:snapToGrid w:val="0"/>
        <w:spacing w:line="480" w:lineRule="exact"/>
        <w:ind w:left="32"/>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w:t>
      </w:r>
      <w:r>
        <w:rPr>
          <w:rFonts w:hint="eastAsia" w:ascii="Times New Roman" w:hAnsi="Times New Roman" w:eastAsia="宋体" w:cs="Times New Roman"/>
          <w:color w:val="auto"/>
          <w:spacing w:val="0"/>
          <w:w w:val="100"/>
          <w:position w:val="0"/>
          <w:sz w:val="24"/>
          <w:szCs w:val="24"/>
          <w:highlight w:val="none"/>
          <w:lang w:val="en-US" w:eastAsia="zh-CN"/>
        </w:rPr>
        <w:t>7</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YDJ 9-1990</w:t>
      </w:r>
      <w:r>
        <w:rPr>
          <w:rFonts w:ascii="宋体" w:hAnsi="宋体" w:eastAsia="宋体" w:cs="宋体"/>
          <w:color w:val="auto"/>
          <w:spacing w:val="0"/>
          <w:w w:val="100"/>
          <w:position w:val="0"/>
          <w:sz w:val="24"/>
          <w:szCs w:val="24"/>
          <w:highlight w:val="none"/>
        </w:rPr>
        <w:t>）          《市内通信全塑电缆线路工程设计规范》</w:t>
      </w:r>
    </w:p>
    <w:p w14:paraId="4371898D">
      <w:pPr>
        <w:keepNext w:val="0"/>
        <w:keepLines w:val="0"/>
        <w:pageBreakBefore w:val="0"/>
        <w:widowControl/>
        <w:kinsoku w:val="0"/>
        <w:wordWrap/>
        <w:overflowPunct/>
        <w:topLinePunct w:val="0"/>
        <w:autoSpaceDE w:val="0"/>
        <w:autoSpaceDN w:val="0"/>
        <w:bidi w:val="0"/>
        <w:adjustRightInd w:val="0"/>
        <w:snapToGrid w:val="0"/>
        <w:spacing w:line="480" w:lineRule="exact"/>
        <w:ind w:left="4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w:t>
      </w:r>
      <w:r>
        <w:rPr>
          <w:rFonts w:hint="eastAsia" w:ascii="Times New Roman" w:hAnsi="Times New Roman" w:eastAsia="宋体" w:cs="Times New Roman"/>
          <w:color w:val="auto"/>
          <w:spacing w:val="0"/>
          <w:w w:val="100"/>
          <w:position w:val="0"/>
          <w:sz w:val="24"/>
          <w:szCs w:val="24"/>
          <w:highlight w:val="none"/>
          <w:lang w:val="en-US" w:eastAsia="zh-CN"/>
        </w:rPr>
        <w:t>8</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DL/T 5891-2024</w:t>
      </w:r>
      <w:r>
        <w:rPr>
          <w:rFonts w:ascii="宋体" w:hAnsi="宋体" w:eastAsia="宋体" w:cs="宋体"/>
          <w:color w:val="auto"/>
          <w:spacing w:val="0"/>
          <w:w w:val="100"/>
          <w:position w:val="0"/>
          <w:sz w:val="24"/>
          <w:szCs w:val="24"/>
          <w:highlight w:val="none"/>
        </w:rPr>
        <w:t>）       《电气装置安装工程电缆线路施工及验收规范》</w:t>
      </w:r>
    </w:p>
    <w:p w14:paraId="19A7C3EE">
      <w:pPr>
        <w:keepNext w:val="0"/>
        <w:keepLines w:val="0"/>
        <w:pageBreakBefore w:val="0"/>
        <w:widowControl/>
        <w:kinsoku w:val="0"/>
        <w:wordWrap/>
        <w:overflowPunct/>
        <w:topLinePunct w:val="0"/>
        <w:autoSpaceDE w:val="0"/>
        <w:autoSpaceDN w:val="0"/>
        <w:bidi w:val="0"/>
        <w:adjustRightInd w:val="0"/>
        <w:snapToGrid w:val="0"/>
        <w:spacing w:line="480" w:lineRule="exact"/>
        <w:ind w:left="40"/>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49</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JTG/T C10-2007</w:t>
      </w:r>
      <w:r>
        <w:rPr>
          <w:rFonts w:ascii="宋体" w:hAnsi="宋体" w:eastAsia="宋体" w:cs="宋体"/>
          <w:color w:val="auto"/>
          <w:spacing w:val="0"/>
          <w:w w:val="100"/>
          <w:position w:val="0"/>
          <w:sz w:val="24"/>
          <w:szCs w:val="24"/>
          <w:highlight w:val="none"/>
        </w:rPr>
        <w:t>）       《公路勘测细则》</w:t>
      </w:r>
    </w:p>
    <w:p w14:paraId="1E84F009">
      <w:pPr>
        <w:keepNext w:val="0"/>
        <w:keepLines w:val="0"/>
        <w:pageBreakBefore w:val="0"/>
        <w:widowControl/>
        <w:kinsoku w:val="0"/>
        <w:wordWrap/>
        <w:overflowPunct/>
        <w:topLinePunct w:val="0"/>
        <w:autoSpaceDE w:val="0"/>
        <w:autoSpaceDN w:val="0"/>
        <w:bidi w:val="0"/>
        <w:adjustRightInd w:val="0"/>
        <w:snapToGrid w:val="0"/>
        <w:spacing w:line="480" w:lineRule="exact"/>
        <w:ind w:right="6"/>
        <w:jc w:val="both"/>
        <w:textAlignment w:val="baseline"/>
        <w:rPr>
          <w:rFonts w:ascii="Times New Roman" w:hAnsi="Times New Roman" w:eastAsia="Times New Roman" w:cs="Times New Roman"/>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50</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GB/T 20257.1-2017</w:t>
      </w:r>
      <w:r>
        <w:rPr>
          <w:rFonts w:ascii="宋体" w:hAnsi="宋体" w:eastAsia="宋体" w:cs="宋体"/>
          <w:color w:val="auto"/>
          <w:spacing w:val="0"/>
          <w:w w:val="100"/>
          <w:position w:val="0"/>
          <w:sz w:val="24"/>
          <w:szCs w:val="24"/>
          <w:highlight w:val="none"/>
        </w:rPr>
        <w:t xml:space="preserve">）     《国家基本比例尺地图图式 第 </w:t>
      </w:r>
      <w:r>
        <w:rPr>
          <w:rFonts w:ascii="Times New Roman" w:hAnsi="Times New Roman" w:eastAsia="Times New Roman" w:cs="Times New Roman"/>
          <w:color w:val="auto"/>
          <w:spacing w:val="0"/>
          <w:w w:val="100"/>
          <w:position w:val="0"/>
          <w:sz w:val="24"/>
          <w:szCs w:val="24"/>
          <w:highlight w:val="none"/>
        </w:rPr>
        <w:t xml:space="preserve">1  </w:t>
      </w:r>
      <w:r>
        <w:rPr>
          <w:rFonts w:ascii="宋体" w:hAnsi="宋体" w:eastAsia="宋体" w:cs="宋体"/>
          <w:color w:val="auto"/>
          <w:spacing w:val="0"/>
          <w:w w:val="100"/>
          <w:position w:val="0"/>
          <w:sz w:val="24"/>
          <w:szCs w:val="24"/>
          <w:highlight w:val="none"/>
        </w:rPr>
        <w:t>部分：</w:t>
      </w:r>
      <w:r>
        <w:rPr>
          <w:rFonts w:ascii="Times New Roman" w:hAnsi="Times New Roman" w:eastAsia="Times New Roman" w:cs="Times New Roman"/>
          <w:color w:val="auto"/>
          <w:spacing w:val="0"/>
          <w:w w:val="100"/>
          <w:position w:val="0"/>
          <w:sz w:val="24"/>
          <w:szCs w:val="24"/>
          <w:highlight w:val="none"/>
        </w:rPr>
        <w:t>1:500</w:t>
      </w:r>
    </w:p>
    <w:p w14:paraId="68860E0C">
      <w:pPr>
        <w:keepNext w:val="0"/>
        <w:keepLines w:val="0"/>
        <w:pageBreakBefore w:val="0"/>
        <w:widowControl/>
        <w:kinsoku w:val="0"/>
        <w:wordWrap/>
        <w:overflowPunct/>
        <w:topLinePunct w:val="0"/>
        <w:autoSpaceDE w:val="0"/>
        <w:autoSpaceDN w:val="0"/>
        <w:bidi w:val="0"/>
        <w:adjustRightInd w:val="0"/>
        <w:snapToGrid w:val="0"/>
        <w:spacing w:line="480" w:lineRule="exact"/>
        <w:ind w:left="3434"/>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 xml:space="preserve">1:1000    1:2000 </w:t>
      </w:r>
      <w:r>
        <w:rPr>
          <w:rFonts w:ascii="宋体" w:hAnsi="宋体" w:eastAsia="宋体" w:cs="宋体"/>
          <w:color w:val="auto"/>
          <w:spacing w:val="0"/>
          <w:w w:val="100"/>
          <w:position w:val="0"/>
          <w:sz w:val="24"/>
          <w:szCs w:val="24"/>
          <w:highlight w:val="none"/>
        </w:rPr>
        <w:t>地形图图式》</w:t>
      </w:r>
    </w:p>
    <w:p w14:paraId="2C464453">
      <w:pPr>
        <w:keepNext w:val="0"/>
        <w:keepLines w:val="0"/>
        <w:pageBreakBefore w:val="0"/>
        <w:widowControl/>
        <w:kinsoku w:val="0"/>
        <w:wordWrap/>
        <w:overflowPunct/>
        <w:topLinePunct w:val="0"/>
        <w:autoSpaceDE w:val="0"/>
        <w:autoSpaceDN w:val="0"/>
        <w:bidi w:val="0"/>
        <w:adjustRightInd w:val="0"/>
        <w:snapToGrid w:val="0"/>
        <w:spacing w:line="480" w:lineRule="exact"/>
        <w:ind w:left="40"/>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51</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GB/T 13923-2022</w:t>
      </w:r>
      <w:r>
        <w:rPr>
          <w:rFonts w:ascii="宋体" w:hAnsi="宋体" w:eastAsia="宋体" w:cs="宋体"/>
          <w:color w:val="auto"/>
          <w:spacing w:val="0"/>
          <w:w w:val="100"/>
          <w:position w:val="0"/>
          <w:sz w:val="24"/>
          <w:szCs w:val="24"/>
          <w:highlight w:val="none"/>
        </w:rPr>
        <w:t>）      《基础地理信息要素分类与代码》</w:t>
      </w:r>
    </w:p>
    <w:p w14:paraId="0FA710A5">
      <w:pPr>
        <w:keepNext w:val="0"/>
        <w:keepLines w:val="0"/>
        <w:pageBreakBefore w:val="0"/>
        <w:widowControl/>
        <w:kinsoku w:val="0"/>
        <w:wordWrap/>
        <w:overflowPunct/>
        <w:topLinePunct w:val="0"/>
        <w:autoSpaceDE w:val="0"/>
        <w:autoSpaceDN w:val="0"/>
        <w:bidi w:val="0"/>
        <w:adjustRightInd w:val="0"/>
        <w:snapToGrid w:val="0"/>
        <w:spacing w:line="480" w:lineRule="exact"/>
        <w:ind w:left="40"/>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52</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CH 1003-1995</w:t>
      </w:r>
      <w:r>
        <w:rPr>
          <w:rFonts w:ascii="宋体" w:hAnsi="宋体" w:eastAsia="宋体" w:cs="宋体"/>
          <w:color w:val="auto"/>
          <w:spacing w:val="0"/>
          <w:w w:val="100"/>
          <w:position w:val="0"/>
          <w:sz w:val="24"/>
          <w:szCs w:val="24"/>
          <w:highlight w:val="none"/>
        </w:rPr>
        <w:t>）        《测绘产品质量评定标准》</w:t>
      </w:r>
    </w:p>
    <w:p w14:paraId="2B4BC2A1">
      <w:pPr>
        <w:keepNext w:val="0"/>
        <w:keepLines w:val="0"/>
        <w:pageBreakBefore w:val="0"/>
        <w:widowControl/>
        <w:kinsoku w:val="0"/>
        <w:wordWrap/>
        <w:overflowPunct/>
        <w:topLinePunct w:val="0"/>
        <w:autoSpaceDE w:val="0"/>
        <w:autoSpaceDN w:val="0"/>
        <w:bidi w:val="0"/>
        <w:adjustRightInd w:val="0"/>
        <w:snapToGrid w:val="0"/>
        <w:spacing w:line="480" w:lineRule="exact"/>
        <w:ind w:left="40"/>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53</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CH 1002-</w:t>
      </w:r>
      <w:r>
        <w:rPr>
          <w:rFonts w:hint="eastAsia" w:ascii="Times New Roman" w:hAnsi="Times New Roman" w:eastAsia="宋体" w:cs="Times New Roman"/>
          <w:color w:val="auto"/>
          <w:spacing w:val="0"/>
          <w:w w:val="100"/>
          <w:position w:val="0"/>
          <w:sz w:val="24"/>
          <w:szCs w:val="24"/>
          <w:highlight w:val="none"/>
          <w:lang w:val="en-US" w:eastAsia="zh-CN"/>
        </w:rPr>
        <w:t>19</w:t>
      </w:r>
      <w:r>
        <w:rPr>
          <w:rFonts w:ascii="Times New Roman" w:hAnsi="Times New Roman" w:eastAsia="Times New Roman" w:cs="Times New Roman"/>
          <w:color w:val="auto"/>
          <w:spacing w:val="0"/>
          <w:w w:val="100"/>
          <w:position w:val="0"/>
          <w:sz w:val="24"/>
          <w:szCs w:val="24"/>
          <w:highlight w:val="none"/>
        </w:rPr>
        <w:t>95</w:t>
      </w:r>
      <w:r>
        <w:rPr>
          <w:rFonts w:ascii="宋体" w:hAnsi="宋体" w:eastAsia="宋体" w:cs="宋体"/>
          <w:color w:val="auto"/>
          <w:spacing w:val="0"/>
          <w:w w:val="100"/>
          <w:position w:val="0"/>
          <w:sz w:val="24"/>
          <w:szCs w:val="24"/>
          <w:highlight w:val="none"/>
        </w:rPr>
        <w:t>）          《测绘产品检查验收规定》</w:t>
      </w:r>
    </w:p>
    <w:p w14:paraId="77EAF68B">
      <w:pPr>
        <w:keepNext w:val="0"/>
        <w:keepLines w:val="0"/>
        <w:pageBreakBefore w:val="0"/>
        <w:widowControl/>
        <w:kinsoku w:val="0"/>
        <w:wordWrap/>
        <w:overflowPunct/>
        <w:topLinePunct w:val="0"/>
        <w:autoSpaceDE w:val="0"/>
        <w:autoSpaceDN w:val="0"/>
        <w:bidi w:val="0"/>
        <w:adjustRightInd w:val="0"/>
        <w:snapToGrid w:val="0"/>
        <w:spacing w:line="480" w:lineRule="exact"/>
        <w:ind w:left="40"/>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54</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GB/T 18316-2008</w:t>
      </w:r>
      <w:r>
        <w:rPr>
          <w:rFonts w:ascii="宋体" w:hAnsi="宋体" w:eastAsia="宋体" w:cs="宋体"/>
          <w:color w:val="auto"/>
          <w:spacing w:val="0"/>
          <w:w w:val="100"/>
          <w:position w:val="0"/>
          <w:sz w:val="24"/>
          <w:szCs w:val="24"/>
          <w:highlight w:val="none"/>
        </w:rPr>
        <w:t>）      《数字测绘成果质量检查与验收》</w:t>
      </w:r>
    </w:p>
    <w:p w14:paraId="1CD76D4D">
      <w:pPr>
        <w:keepNext w:val="0"/>
        <w:keepLines w:val="0"/>
        <w:pageBreakBefore w:val="0"/>
        <w:widowControl/>
        <w:kinsoku w:val="0"/>
        <w:wordWrap/>
        <w:overflowPunct/>
        <w:topLinePunct w:val="0"/>
        <w:autoSpaceDE w:val="0"/>
        <w:autoSpaceDN w:val="0"/>
        <w:bidi w:val="0"/>
        <w:adjustRightInd w:val="0"/>
        <w:snapToGrid w:val="0"/>
        <w:spacing w:line="480" w:lineRule="exact"/>
        <w:ind w:left="40"/>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55</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（建质函</w:t>
      </w:r>
      <w:r>
        <w:rPr>
          <w:rFonts w:ascii="Times New Roman" w:hAnsi="Times New Roman" w:eastAsia="Times New Roman" w:cs="Times New Roman"/>
          <w:color w:val="auto"/>
          <w:spacing w:val="0"/>
          <w:w w:val="100"/>
          <w:position w:val="0"/>
          <w:sz w:val="24"/>
          <w:szCs w:val="24"/>
          <w:highlight w:val="none"/>
        </w:rPr>
        <w:t xml:space="preserve">[2016]247 </w:t>
      </w:r>
      <w:r>
        <w:rPr>
          <w:rFonts w:ascii="宋体" w:hAnsi="宋体" w:eastAsia="宋体" w:cs="宋体"/>
          <w:color w:val="auto"/>
          <w:spacing w:val="0"/>
          <w:w w:val="100"/>
          <w:position w:val="0"/>
          <w:sz w:val="24"/>
          <w:szCs w:val="24"/>
          <w:highlight w:val="none"/>
        </w:rPr>
        <w:t>号）   《建筑工程设计文件编制深度规定》</w:t>
      </w:r>
    </w:p>
    <w:p w14:paraId="7D965915">
      <w:pPr>
        <w:keepNext w:val="0"/>
        <w:keepLines w:val="0"/>
        <w:pageBreakBefore w:val="0"/>
        <w:widowControl/>
        <w:kinsoku w:val="0"/>
        <w:wordWrap/>
        <w:overflowPunct/>
        <w:topLinePunct w:val="0"/>
        <w:autoSpaceDE w:val="0"/>
        <w:autoSpaceDN w:val="0"/>
        <w:bidi w:val="0"/>
        <w:adjustRightInd w:val="0"/>
        <w:snapToGrid w:val="0"/>
        <w:spacing w:line="480" w:lineRule="exact"/>
        <w:ind w:left="40"/>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56</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DB34/T 2153-20</w:t>
      </w:r>
      <w:r>
        <w:rPr>
          <w:rFonts w:hint="eastAsia" w:ascii="Times New Roman" w:hAnsi="Times New Roman" w:eastAsia="宋体" w:cs="Times New Roman"/>
          <w:color w:val="auto"/>
          <w:spacing w:val="0"/>
          <w:w w:val="100"/>
          <w:position w:val="0"/>
          <w:sz w:val="24"/>
          <w:szCs w:val="24"/>
          <w:highlight w:val="none"/>
          <w:lang w:val="en-US" w:eastAsia="zh-CN"/>
        </w:rPr>
        <w:t>2</w:t>
      </w: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    《高速公路机电系统管理规范》</w:t>
      </w:r>
    </w:p>
    <w:p w14:paraId="791EDB79">
      <w:pPr>
        <w:keepNext w:val="0"/>
        <w:keepLines w:val="0"/>
        <w:pageBreakBefore w:val="0"/>
        <w:widowControl/>
        <w:kinsoku w:val="0"/>
        <w:wordWrap/>
        <w:overflowPunct/>
        <w:topLinePunct w:val="0"/>
        <w:autoSpaceDE w:val="0"/>
        <w:autoSpaceDN w:val="0"/>
        <w:bidi w:val="0"/>
        <w:adjustRightInd w:val="0"/>
        <w:snapToGrid w:val="0"/>
        <w:spacing w:line="480" w:lineRule="exact"/>
        <w:ind w:left="40"/>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57</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DB34/T 2868-2017</w:t>
      </w:r>
      <w:r>
        <w:rPr>
          <w:rFonts w:ascii="宋体" w:hAnsi="宋体" w:eastAsia="宋体" w:cs="宋体"/>
          <w:color w:val="auto"/>
          <w:spacing w:val="0"/>
          <w:w w:val="100"/>
          <w:position w:val="0"/>
          <w:sz w:val="24"/>
          <w:szCs w:val="24"/>
          <w:highlight w:val="none"/>
        </w:rPr>
        <w:t>）    《高速公路中小梁桥安全性评估规程》</w:t>
      </w:r>
    </w:p>
    <w:p w14:paraId="1515091B">
      <w:pPr>
        <w:keepNext w:val="0"/>
        <w:keepLines w:val="0"/>
        <w:pageBreakBefore w:val="0"/>
        <w:widowControl/>
        <w:kinsoku w:val="0"/>
        <w:wordWrap/>
        <w:overflowPunct/>
        <w:topLinePunct w:val="0"/>
        <w:autoSpaceDE w:val="0"/>
        <w:autoSpaceDN w:val="0"/>
        <w:bidi w:val="0"/>
        <w:adjustRightInd w:val="0"/>
        <w:snapToGrid w:val="0"/>
        <w:spacing w:line="480" w:lineRule="exact"/>
        <w:ind w:left="39"/>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58</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DB34/T 2157-2014</w:t>
      </w:r>
      <w:r>
        <w:rPr>
          <w:rFonts w:ascii="宋体" w:hAnsi="宋体" w:eastAsia="宋体" w:cs="宋体"/>
          <w:color w:val="auto"/>
          <w:spacing w:val="0"/>
          <w:w w:val="100"/>
          <w:position w:val="0"/>
          <w:sz w:val="24"/>
          <w:szCs w:val="24"/>
          <w:highlight w:val="none"/>
        </w:rPr>
        <w:t>）    《根式基础技术规程》</w:t>
      </w:r>
    </w:p>
    <w:p w14:paraId="3BCB47DD">
      <w:pPr>
        <w:keepNext w:val="0"/>
        <w:keepLines w:val="0"/>
        <w:pageBreakBefore w:val="0"/>
        <w:widowControl/>
        <w:kinsoku w:val="0"/>
        <w:wordWrap/>
        <w:overflowPunct/>
        <w:topLinePunct w:val="0"/>
        <w:autoSpaceDE w:val="0"/>
        <w:autoSpaceDN w:val="0"/>
        <w:bidi w:val="0"/>
        <w:adjustRightInd w:val="0"/>
        <w:snapToGrid w:val="0"/>
        <w:spacing w:line="480" w:lineRule="exact"/>
        <w:ind w:left="39"/>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59</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DB34/T 2376-2015</w:t>
      </w:r>
      <w:r>
        <w:rPr>
          <w:rFonts w:ascii="宋体" w:hAnsi="宋体" w:eastAsia="宋体" w:cs="宋体"/>
          <w:color w:val="auto"/>
          <w:spacing w:val="0"/>
          <w:w w:val="100"/>
          <w:position w:val="0"/>
          <w:sz w:val="24"/>
          <w:szCs w:val="24"/>
          <w:highlight w:val="none"/>
        </w:rPr>
        <w:t>）    《公路煤矸石路堤设计与施工指南》</w:t>
      </w:r>
    </w:p>
    <w:p w14:paraId="2CCED74F">
      <w:pPr>
        <w:keepNext w:val="0"/>
        <w:keepLines w:val="0"/>
        <w:pageBreakBefore w:val="0"/>
        <w:widowControl/>
        <w:kinsoku w:val="0"/>
        <w:wordWrap/>
        <w:overflowPunct/>
        <w:topLinePunct w:val="0"/>
        <w:autoSpaceDE w:val="0"/>
        <w:autoSpaceDN w:val="0"/>
        <w:bidi w:val="0"/>
        <w:adjustRightInd w:val="0"/>
        <w:snapToGrid w:val="0"/>
        <w:spacing w:line="480" w:lineRule="exact"/>
        <w:ind w:left="39"/>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60</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DB34/T 1087-2019</w:t>
      </w:r>
      <w:r>
        <w:rPr>
          <w:rFonts w:ascii="宋体" w:hAnsi="宋体" w:eastAsia="宋体" w:cs="宋体"/>
          <w:color w:val="auto"/>
          <w:spacing w:val="0"/>
          <w:w w:val="100"/>
          <w:position w:val="0"/>
          <w:sz w:val="24"/>
          <w:szCs w:val="24"/>
          <w:highlight w:val="none"/>
        </w:rPr>
        <w:t>）    《公路隧道施工非接触量测规程》</w:t>
      </w:r>
    </w:p>
    <w:p w14:paraId="52F2A893">
      <w:pPr>
        <w:keepNext w:val="0"/>
        <w:keepLines w:val="0"/>
        <w:pageBreakBefore w:val="0"/>
        <w:widowControl/>
        <w:kinsoku w:val="0"/>
        <w:wordWrap/>
        <w:overflowPunct/>
        <w:topLinePunct w:val="0"/>
        <w:autoSpaceDE w:val="0"/>
        <w:autoSpaceDN w:val="0"/>
        <w:bidi w:val="0"/>
        <w:adjustRightInd w:val="0"/>
        <w:snapToGrid w:val="0"/>
        <w:spacing w:line="480" w:lineRule="exact"/>
        <w:ind w:left="37"/>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61</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DB34/T 2833-2017</w:t>
      </w:r>
      <w:r>
        <w:rPr>
          <w:rFonts w:ascii="宋体" w:hAnsi="宋体" w:eastAsia="宋体" w:cs="宋体"/>
          <w:color w:val="auto"/>
          <w:spacing w:val="0"/>
          <w:w w:val="100"/>
          <w:position w:val="0"/>
          <w:sz w:val="24"/>
          <w:szCs w:val="24"/>
          <w:highlight w:val="none"/>
        </w:rPr>
        <w:t>）    《装配式钢筋混凝土通道设计规程》</w:t>
      </w:r>
    </w:p>
    <w:p w14:paraId="2EF76827">
      <w:pPr>
        <w:keepNext w:val="0"/>
        <w:keepLines w:val="0"/>
        <w:pageBreakBefore w:val="0"/>
        <w:widowControl/>
        <w:kinsoku w:val="0"/>
        <w:wordWrap/>
        <w:overflowPunct/>
        <w:topLinePunct w:val="0"/>
        <w:autoSpaceDE w:val="0"/>
        <w:autoSpaceDN w:val="0"/>
        <w:bidi w:val="0"/>
        <w:adjustRightInd w:val="0"/>
        <w:snapToGrid w:val="0"/>
        <w:spacing w:line="480" w:lineRule="exact"/>
        <w:ind w:left="37"/>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62</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DB34/T 2834-2017</w:t>
      </w:r>
      <w:r>
        <w:rPr>
          <w:rFonts w:ascii="宋体" w:hAnsi="宋体" w:eastAsia="宋体" w:cs="宋体"/>
          <w:color w:val="auto"/>
          <w:spacing w:val="0"/>
          <w:w w:val="100"/>
          <w:position w:val="0"/>
          <w:sz w:val="24"/>
          <w:szCs w:val="24"/>
          <w:highlight w:val="none"/>
        </w:rPr>
        <w:t>）    《装配式钢筋混凝土通道施工规程》</w:t>
      </w:r>
    </w:p>
    <w:p w14:paraId="2E91F3CF">
      <w:pPr>
        <w:keepNext w:val="0"/>
        <w:keepLines w:val="0"/>
        <w:pageBreakBefore w:val="0"/>
        <w:widowControl/>
        <w:kinsoku w:val="0"/>
        <w:wordWrap/>
        <w:overflowPunct/>
        <w:topLinePunct w:val="0"/>
        <w:autoSpaceDE w:val="0"/>
        <w:autoSpaceDN w:val="0"/>
        <w:bidi w:val="0"/>
        <w:adjustRightInd w:val="0"/>
        <w:snapToGrid w:val="0"/>
        <w:spacing w:line="480" w:lineRule="exact"/>
        <w:ind w:left="37"/>
        <w:textAlignment w:val="baseline"/>
        <w:rPr>
          <w:rFonts w:ascii="宋体" w:hAnsi="宋体" w:eastAsia="宋体" w:cs="宋体"/>
          <w:color w:val="auto"/>
          <w:spacing w:val="0"/>
          <w:w w:val="100"/>
          <w:position w:val="0"/>
          <w:sz w:val="24"/>
          <w:szCs w:val="24"/>
          <w:highlight w:val="none"/>
        </w:rPr>
      </w:pPr>
      <w:r>
        <w:rPr>
          <w:rFonts w:hint="eastAsia" w:ascii="Times New Roman" w:hAnsi="Times New Roman" w:eastAsia="宋体" w:cs="Times New Roman"/>
          <w:color w:val="auto"/>
          <w:spacing w:val="0"/>
          <w:w w:val="100"/>
          <w:position w:val="0"/>
          <w:sz w:val="24"/>
          <w:szCs w:val="24"/>
          <w:highlight w:val="none"/>
          <w:lang w:val="en-US" w:eastAsia="zh-CN"/>
        </w:rPr>
        <w:t>63</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DB34/T 3049-2017</w:t>
      </w:r>
      <w:r>
        <w:rPr>
          <w:rFonts w:ascii="宋体" w:hAnsi="宋体" w:eastAsia="宋体" w:cs="宋体"/>
          <w:color w:val="auto"/>
          <w:spacing w:val="0"/>
          <w:w w:val="100"/>
          <w:position w:val="0"/>
          <w:sz w:val="24"/>
          <w:szCs w:val="24"/>
          <w:highlight w:val="none"/>
        </w:rPr>
        <w:t>）     《同向回转拉索体系设计、施工与验收技术规程》</w:t>
      </w:r>
    </w:p>
    <w:p w14:paraId="779935AB">
      <w:pPr>
        <w:keepNext w:val="0"/>
        <w:keepLines w:val="0"/>
        <w:pageBreakBefore w:val="0"/>
        <w:widowControl/>
        <w:kinsoku w:val="0"/>
        <w:wordWrap/>
        <w:overflowPunct/>
        <w:topLinePunct w:val="0"/>
        <w:autoSpaceDE w:val="0"/>
        <w:autoSpaceDN w:val="0"/>
        <w:bidi w:val="0"/>
        <w:adjustRightInd w:val="0"/>
        <w:snapToGrid w:val="0"/>
        <w:spacing w:line="480" w:lineRule="exact"/>
        <w:ind w:left="3396" w:leftChars="17" w:hanging="3360" w:hangingChars="1400"/>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Times New Roman" w:hAnsi="Times New Roman" w:eastAsia="宋体" w:cs="Times New Roman"/>
          <w:color w:val="auto"/>
          <w:spacing w:val="0"/>
          <w:w w:val="100"/>
          <w:position w:val="0"/>
          <w:sz w:val="24"/>
          <w:szCs w:val="24"/>
          <w:highlight w:val="none"/>
          <w:lang w:val="en-US" w:eastAsia="zh-CN"/>
        </w:rPr>
        <w:t>64</w:t>
      </w:r>
      <w:r>
        <w:rPr>
          <w:rFonts w:ascii="Times New Roman" w:hAnsi="Times New Roman" w:eastAsia="Times New Roman" w:cs="Times New Roman"/>
          <w:color w:val="auto"/>
          <w:spacing w:val="0"/>
          <w:w w:val="100"/>
          <w:position w:val="0"/>
          <w:sz w:val="24"/>
          <w:szCs w:val="24"/>
          <w:highlight w:val="none"/>
        </w:rPr>
        <w:t>.</w:t>
      </w:r>
      <w:r>
        <w:rPr>
          <w:rFonts w:hint="eastAsia" w:ascii="宋体" w:hAnsi="宋体" w:eastAsia="宋体" w:cs="宋体"/>
          <w:color w:val="auto"/>
          <w:spacing w:val="0"/>
          <w:w w:val="100"/>
          <w:position w:val="0"/>
          <w:sz w:val="24"/>
          <w:szCs w:val="24"/>
          <w:highlight w:val="none"/>
          <w:lang w:val="en-US" w:eastAsia="zh-CN"/>
        </w:rPr>
        <w:t>（交公路发〔2023〕131号）《交通运输部关于推进公路数字化转型加快智慧公路建设发展的意见》</w:t>
      </w:r>
    </w:p>
    <w:p w14:paraId="3A9C7B80">
      <w:pPr>
        <w:keepNext w:val="0"/>
        <w:keepLines w:val="0"/>
        <w:pageBreakBefore w:val="0"/>
        <w:widowControl/>
        <w:kinsoku w:val="0"/>
        <w:wordWrap/>
        <w:overflowPunct/>
        <w:topLinePunct w:val="0"/>
        <w:autoSpaceDE w:val="0"/>
        <w:autoSpaceDN w:val="0"/>
        <w:bidi w:val="0"/>
        <w:adjustRightInd w:val="0"/>
        <w:snapToGrid w:val="0"/>
        <w:spacing w:line="480" w:lineRule="exact"/>
        <w:ind w:left="3396" w:leftChars="17" w:hanging="3360" w:hangingChars="1400"/>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65.（GB/T 7262—2025）    《公路通信技术要求及设备配置》</w:t>
      </w:r>
    </w:p>
    <w:p w14:paraId="0D685677">
      <w:pPr>
        <w:keepNext w:val="0"/>
        <w:keepLines w:val="0"/>
        <w:pageBreakBefore w:val="0"/>
        <w:widowControl/>
        <w:kinsoku w:val="0"/>
        <w:wordWrap/>
        <w:overflowPunct/>
        <w:topLinePunct w:val="0"/>
        <w:autoSpaceDE w:val="0"/>
        <w:autoSpaceDN w:val="0"/>
        <w:bidi w:val="0"/>
        <w:adjustRightInd w:val="0"/>
        <w:snapToGrid w:val="0"/>
        <w:spacing w:line="480" w:lineRule="exact"/>
        <w:ind w:left="3396" w:leftChars="17" w:hanging="3360" w:hangingChars="1400"/>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66.（JTG/T 2420-2021）    《公路工程信息模型应用统一标准》</w:t>
      </w:r>
    </w:p>
    <w:p w14:paraId="7CCE4A5A">
      <w:pPr>
        <w:keepNext w:val="0"/>
        <w:keepLines w:val="0"/>
        <w:pageBreakBefore w:val="0"/>
        <w:widowControl/>
        <w:kinsoku w:val="0"/>
        <w:wordWrap/>
        <w:overflowPunct/>
        <w:topLinePunct w:val="0"/>
        <w:autoSpaceDE w:val="0"/>
        <w:autoSpaceDN w:val="0"/>
        <w:bidi w:val="0"/>
        <w:adjustRightInd w:val="0"/>
        <w:snapToGrid w:val="0"/>
        <w:spacing w:line="480" w:lineRule="exact"/>
        <w:ind w:left="37"/>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67.（JT/T 1464-2023）     《智慧高速公路 总体框架》</w:t>
      </w:r>
    </w:p>
    <w:p w14:paraId="1198A981">
      <w:pPr>
        <w:keepNext w:val="0"/>
        <w:keepLines w:val="0"/>
        <w:pageBreakBefore w:val="0"/>
        <w:widowControl/>
        <w:kinsoku w:val="0"/>
        <w:wordWrap/>
        <w:overflowPunct/>
        <w:topLinePunct w:val="0"/>
        <w:autoSpaceDE w:val="0"/>
        <w:autoSpaceDN w:val="0"/>
        <w:bidi w:val="0"/>
        <w:adjustRightInd w:val="0"/>
        <w:snapToGrid w:val="0"/>
        <w:spacing w:line="480" w:lineRule="exact"/>
        <w:ind w:left="37"/>
        <w:textAlignment w:val="baseline"/>
        <w:rPr>
          <w:rFonts w:hint="default"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68.（DB34/T 4649-2023）   《智慧高速公路建设指南》</w:t>
      </w:r>
      <w:r>
        <w:rPr>
          <w:rFonts w:hint="eastAsia" w:ascii="宋体" w:hAnsi="宋体" w:eastAsia="宋体" w:cs="宋体"/>
          <w:color w:val="auto"/>
          <w:spacing w:val="0"/>
          <w:w w:val="100"/>
          <w:position w:val="0"/>
          <w:sz w:val="24"/>
          <w:szCs w:val="24"/>
          <w:highlight w:val="none"/>
          <w:lang w:val="en-US" w:eastAsia="zh-CN"/>
        </w:rPr>
        <w:br w:type="textWrapping"/>
      </w:r>
      <w:r>
        <w:rPr>
          <w:rFonts w:hint="eastAsia" w:ascii="宋体" w:hAnsi="宋体" w:eastAsia="宋体" w:cs="宋体"/>
          <w:color w:val="auto"/>
          <w:spacing w:val="0"/>
          <w:w w:val="100"/>
          <w:position w:val="0"/>
          <w:sz w:val="24"/>
          <w:szCs w:val="24"/>
          <w:highlight w:val="none"/>
          <w:lang w:val="en-US" w:eastAsia="zh-CN"/>
        </w:rPr>
        <w:t>69.（DB34/T 5273-2025）   《高速公路养护智慧工地信息化建设技术规范》</w:t>
      </w:r>
    </w:p>
    <w:p w14:paraId="3C7D410F">
      <w:pPr>
        <w:keepNext w:val="0"/>
        <w:keepLines w:val="0"/>
        <w:pageBreakBefore w:val="0"/>
        <w:widowControl/>
        <w:kinsoku w:val="0"/>
        <w:wordWrap/>
        <w:overflowPunct/>
        <w:topLinePunct w:val="0"/>
        <w:autoSpaceDE w:val="0"/>
        <w:autoSpaceDN w:val="0"/>
        <w:bidi w:val="0"/>
        <w:adjustRightInd w:val="0"/>
        <w:snapToGrid w:val="0"/>
        <w:spacing w:line="480" w:lineRule="exact"/>
        <w:ind w:left="37"/>
        <w:textAlignment w:val="baseline"/>
        <w:rPr>
          <w:rFonts w:hint="default"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70.（JTG/T 3221-01—2025）《公路工程地质遥感勘察规范》</w:t>
      </w:r>
      <w:r>
        <w:rPr>
          <w:rFonts w:hint="default" w:ascii="宋体" w:hAnsi="宋体" w:eastAsia="宋体" w:cs="宋体"/>
          <w:color w:val="auto"/>
          <w:spacing w:val="0"/>
          <w:w w:val="100"/>
          <w:position w:val="0"/>
          <w:sz w:val="24"/>
          <w:szCs w:val="24"/>
          <w:highlight w:val="none"/>
          <w:lang w:val="en-US" w:eastAsia="zh-CN"/>
        </w:rPr>
        <w:br w:type="textWrapping"/>
      </w:r>
      <w:r>
        <w:rPr>
          <w:rFonts w:hint="eastAsia" w:ascii="宋体" w:hAnsi="宋体" w:eastAsia="宋体" w:cs="宋体"/>
          <w:color w:val="auto"/>
          <w:spacing w:val="0"/>
          <w:w w:val="100"/>
          <w:position w:val="0"/>
          <w:sz w:val="24"/>
          <w:szCs w:val="24"/>
          <w:highlight w:val="none"/>
          <w:lang w:val="en-US" w:eastAsia="zh-CN"/>
        </w:rPr>
        <w:t>71.</w:t>
      </w:r>
      <w:r>
        <w:rPr>
          <w:rFonts w:hint="default" w:ascii="宋体" w:hAnsi="宋体" w:eastAsia="宋体" w:cs="宋体"/>
          <w:color w:val="auto"/>
          <w:spacing w:val="0"/>
          <w:w w:val="100"/>
          <w:position w:val="0"/>
          <w:sz w:val="24"/>
          <w:szCs w:val="24"/>
          <w:highlight w:val="none"/>
          <w:lang w:val="en-US" w:eastAsia="zh-CN"/>
        </w:rPr>
        <w:t>（JTG/T 3302-2025）</w:t>
      </w:r>
      <w:r>
        <w:rPr>
          <w:rFonts w:hint="eastAsia" w:ascii="宋体" w:hAnsi="宋体" w:eastAsia="宋体" w:cs="宋体"/>
          <w:color w:val="auto"/>
          <w:spacing w:val="0"/>
          <w:w w:val="100"/>
          <w:position w:val="0"/>
          <w:sz w:val="24"/>
          <w:szCs w:val="24"/>
          <w:highlight w:val="none"/>
          <w:lang w:val="en-US" w:eastAsia="zh-CN"/>
        </w:rPr>
        <w:t xml:space="preserve">    </w:t>
      </w:r>
      <w:r>
        <w:rPr>
          <w:rFonts w:hint="default" w:ascii="宋体" w:hAnsi="宋体" w:eastAsia="宋体" w:cs="宋体"/>
          <w:color w:val="auto"/>
          <w:spacing w:val="0"/>
          <w:w w:val="100"/>
          <w:position w:val="0"/>
          <w:sz w:val="24"/>
          <w:szCs w:val="24"/>
          <w:highlight w:val="none"/>
          <w:lang w:val="en-US" w:eastAsia="zh-CN"/>
        </w:rPr>
        <w:t>《公路桥梁和隧道工程设计安全风险评估指南》</w:t>
      </w:r>
      <w:r>
        <w:rPr>
          <w:rFonts w:hint="default" w:ascii="宋体" w:hAnsi="宋体" w:eastAsia="宋体" w:cs="宋体"/>
          <w:color w:val="auto"/>
          <w:spacing w:val="0"/>
          <w:w w:val="100"/>
          <w:position w:val="0"/>
          <w:sz w:val="24"/>
          <w:szCs w:val="24"/>
          <w:highlight w:val="none"/>
          <w:lang w:val="en-US" w:eastAsia="zh-CN"/>
        </w:rPr>
        <w:br w:type="textWrapping"/>
      </w:r>
      <w:r>
        <w:rPr>
          <w:rFonts w:hint="eastAsia" w:ascii="宋体" w:hAnsi="宋体" w:eastAsia="宋体" w:cs="宋体"/>
          <w:color w:val="auto"/>
          <w:spacing w:val="0"/>
          <w:w w:val="100"/>
          <w:position w:val="0"/>
          <w:sz w:val="24"/>
          <w:szCs w:val="24"/>
          <w:highlight w:val="none"/>
          <w:lang w:val="en-US" w:eastAsia="zh-CN"/>
        </w:rPr>
        <w:t>72.</w:t>
      </w:r>
      <w:r>
        <w:rPr>
          <w:rFonts w:hint="default" w:ascii="宋体" w:hAnsi="宋体" w:eastAsia="宋体" w:cs="宋体"/>
          <w:color w:val="auto"/>
          <w:spacing w:val="0"/>
          <w:w w:val="100"/>
          <w:position w:val="0"/>
          <w:sz w:val="24"/>
          <w:szCs w:val="24"/>
          <w:highlight w:val="none"/>
          <w:lang w:val="en-US" w:eastAsia="zh-CN"/>
        </w:rPr>
        <w:t>（JTG/T 3381-05—2025）《公路避险车道设计规范》</w:t>
      </w:r>
      <w:r>
        <w:rPr>
          <w:rFonts w:hint="default" w:ascii="宋体" w:hAnsi="宋体" w:eastAsia="宋体" w:cs="宋体"/>
          <w:color w:val="auto"/>
          <w:spacing w:val="0"/>
          <w:w w:val="100"/>
          <w:position w:val="0"/>
          <w:sz w:val="24"/>
          <w:szCs w:val="24"/>
          <w:highlight w:val="none"/>
          <w:lang w:val="en-US" w:eastAsia="zh-CN"/>
        </w:rPr>
        <w:br w:type="textWrapping"/>
      </w:r>
      <w:r>
        <w:rPr>
          <w:rFonts w:hint="eastAsia" w:ascii="宋体" w:hAnsi="宋体" w:eastAsia="宋体" w:cs="宋体"/>
          <w:color w:val="auto"/>
          <w:spacing w:val="0"/>
          <w:w w:val="100"/>
          <w:position w:val="0"/>
          <w:sz w:val="24"/>
          <w:szCs w:val="24"/>
          <w:highlight w:val="none"/>
          <w:lang w:val="en-US" w:eastAsia="zh-CN"/>
        </w:rPr>
        <w:t>73.</w:t>
      </w:r>
      <w:r>
        <w:rPr>
          <w:rFonts w:hint="default" w:ascii="宋体" w:hAnsi="宋体" w:eastAsia="宋体" w:cs="宋体"/>
          <w:color w:val="auto"/>
          <w:spacing w:val="0"/>
          <w:w w:val="100"/>
          <w:position w:val="0"/>
          <w:sz w:val="24"/>
          <w:szCs w:val="24"/>
          <w:highlight w:val="none"/>
          <w:lang w:val="en-US" w:eastAsia="zh-CN"/>
        </w:rPr>
        <w:t>（JTG/T 2420-2021）</w:t>
      </w:r>
      <w:r>
        <w:rPr>
          <w:rFonts w:hint="eastAsia" w:ascii="宋体" w:hAnsi="宋体" w:eastAsia="宋体" w:cs="宋体"/>
          <w:color w:val="auto"/>
          <w:spacing w:val="0"/>
          <w:w w:val="100"/>
          <w:position w:val="0"/>
          <w:sz w:val="24"/>
          <w:szCs w:val="24"/>
          <w:highlight w:val="none"/>
          <w:lang w:val="en-US" w:eastAsia="zh-CN"/>
        </w:rPr>
        <w:t xml:space="preserve">    </w:t>
      </w:r>
      <w:r>
        <w:rPr>
          <w:rFonts w:hint="default" w:ascii="宋体" w:hAnsi="宋体" w:eastAsia="宋体" w:cs="宋体"/>
          <w:color w:val="auto"/>
          <w:spacing w:val="0"/>
          <w:w w:val="100"/>
          <w:position w:val="0"/>
          <w:sz w:val="24"/>
          <w:szCs w:val="24"/>
          <w:highlight w:val="none"/>
          <w:lang w:val="en-US" w:eastAsia="zh-CN"/>
        </w:rPr>
        <w:t>《公路工程信息模型应用统一标准》</w:t>
      </w:r>
      <w:r>
        <w:rPr>
          <w:rFonts w:hint="default" w:ascii="宋体" w:hAnsi="宋体" w:eastAsia="宋体" w:cs="宋体"/>
          <w:color w:val="auto"/>
          <w:spacing w:val="0"/>
          <w:w w:val="100"/>
          <w:position w:val="0"/>
          <w:sz w:val="24"/>
          <w:szCs w:val="24"/>
          <w:highlight w:val="none"/>
          <w:lang w:val="en-US" w:eastAsia="zh-CN"/>
        </w:rPr>
        <w:br w:type="textWrapping"/>
      </w:r>
      <w:r>
        <w:rPr>
          <w:rFonts w:hint="eastAsia" w:ascii="宋体" w:hAnsi="宋体" w:eastAsia="宋体" w:cs="宋体"/>
          <w:color w:val="auto"/>
          <w:spacing w:val="0"/>
          <w:w w:val="100"/>
          <w:position w:val="0"/>
          <w:sz w:val="24"/>
          <w:szCs w:val="24"/>
          <w:highlight w:val="none"/>
          <w:lang w:val="en-US" w:eastAsia="zh-CN"/>
        </w:rPr>
        <w:t>74.</w:t>
      </w:r>
      <w:r>
        <w:rPr>
          <w:rFonts w:hint="default" w:ascii="宋体" w:hAnsi="宋体" w:eastAsia="宋体" w:cs="宋体"/>
          <w:color w:val="auto"/>
          <w:spacing w:val="0"/>
          <w:w w:val="100"/>
          <w:position w:val="0"/>
          <w:sz w:val="24"/>
          <w:szCs w:val="24"/>
          <w:highlight w:val="none"/>
          <w:lang w:val="en-US" w:eastAsia="zh-CN"/>
        </w:rPr>
        <w:t>（交规划发〔2025〕42号）</w:t>
      </w:r>
      <w:r>
        <w:rPr>
          <w:rFonts w:hint="eastAsia" w:ascii="宋体" w:hAnsi="宋体" w:eastAsia="宋体" w:cs="宋体"/>
          <w:color w:val="auto"/>
          <w:spacing w:val="0"/>
          <w:w w:val="100"/>
          <w:position w:val="0"/>
          <w:sz w:val="24"/>
          <w:szCs w:val="24"/>
          <w:highlight w:val="none"/>
          <w:lang w:val="en-US" w:eastAsia="zh-CN"/>
        </w:rPr>
        <w:t xml:space="preserve"> </w:t>
      </w:r>
      <w:r>
        <w:rPr>
          <w:rFonts w:hint="default" w:ascii="宋体" w:hAnsi="宋体" w:eastAsia="宋体" w:cs="宋体"/>
          <w:color w:val="auto"/>
          <w:spacing w:val="0"/>
          <w:w w:val="100"/>
          <w:position w:val="0"/>
          <w:sz w:val="24"/>
          <w:szCs w:val="24"/>
          <w:highlight w:val="none"/>
          <w:lang w:val="en-US" w:eastAsia="zh-CN"/>
        </w:rPr>
        <w:t>交通运输部等十部门《关于推动交通运输与能</w:t>
      </w:r>
    </w:p>
    <w:p w14:paraId="1986D7DC">
      <w:pPr>
        <w:keepNext w:val="0"/>
        <w:keepLines w:val="0"/>
        <w:pageBreakBefore w:val="0"/>
        <w:widowControl/>
        <w:kinsoku w:val="0"/>
        <w:wordWrap/>
        <w:overflowPunct/>
        <w:topLinePunct w:val="0"/>
        <w:autoSpaceDE w:val="0"/>
        <w:autoSpaceDN w:val="0"/>
        <w:bidi w:val="0"/>
        <w:adjustRightInd w:val="0"/>
        <w:snapToGrid w:val="0"/>
        <w:spacing w:line="480" w:lineRule="exact"/>
        <w:ind w:left="37" w:firstLine="2160" w:firstLineChars="900"/>
        <w:textAlignment w:val="baseline"/>
        <w:rPr>
          <w:rFonts w:hint="default"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 xml:space="preserve">           </w:t>
      </w:r>
      <w:r>
        <w:rPr>
          <w:rFonts w:hint="default" w:ascii="宋体" w:hAnsi="宋体" w:eastAsia="宋体" w:cs="宋体"/>
          <w:color w:val="auto"/>
          <w:spacing w:val="0"/>
          <w:w w:val="100"/>
          <w:position w:val="0"/>
          <w:sz w:val="24"/>
          <w:szCs w:val="24"/>
          <w:highlight w:val="none"/>
          <w:lang w:val="en-US" w:eastAsia="zh-CN"/>
        </w:rPr>
        <w:t>源融合发展的指导意见》；</w:t>
      </w:r>
      <w:r>
        <w:rPr>
          <w:rFonts w:hint="default" w:ascii="宋体" w:hAnsi="宋体" w:eastAsia="宋体" w:cs="宋体"/>
          <w:color w:val="auto"/>
          <w:spacing w:val="0"/>
          <w:w w:val="100"/>
          <w:position w:val="0"/>
          <w:sz w:val="24"/>
          <w:szCs w:val="24"/>
          <w:highlight w:val="none"/>
          <w:lang w:val="en-US" w:eastAsia="zh-CN"/>
        </w:rPr>
        <w:br w:type="textWrapping"/>
      </w:r>
      <w:r>
        <w:rPr>
          <w:rFonts w:hint="eastAsia" w:ascii="宋体" w:hAnsi="宋体" w:eastAsia="宋体" w:cs="宋体"/>
          <w:color w:val="auto"/>
          <w:spacing w:val="0"/>
          <w:w w:val="100"/>
          <w:position w:val="0"/>
          <w:sz w:val="24"/>
          <w:szCs w:val="24"/>
          <w:highlight w:val="none"/>
          <w:lang w:val="en-US" w:eastAsia="zh-CN"/>
        </w:rPr>
        <w:t>75.</w:t>
      </w:r>
      <w:r>
        <w:rPr>
          <w:rFonts w:hint="default" w:ascii="宋体" w:hAnsi="宋体" w:eastAsia="宋体" w:cs="宋体"/>
          <w:color w:val="auto"/>
          <w:spacing w:val="0"/>
          <w:w w:val="100"/>
          <w:position w:val="0"/>
          <w:sz w:val="24"/>
          <w:szCs w:val="24"/>
          <w:highlight w:val="none"/>
          <w:lang w:val="en-US" w:eastAsia="zh-CN"/>
        </w:rPr>
        <w:t>（交办公路〔2024〕41号）</w:t>
      </w:r>
      <w:r>
        <w:rPr>
          <w:rFonts w:hint="eastAsia" w:ascii="宋体" w:hAnsi="宋体" w:eastAsia="宋体" w:cs="宋体"/>
          <w:color w:val="auto"/>
          <w:spacing w:val="0"/>
          <w:w w:val="100"/>
          <w:position w:val="0"/>
          <w:sz w:val="24"/>
          <w:szCs w:val="24"/>
          <w:highlight w:val="none"/>
          <w:lang w:val="en-US" w:eastAsia="zh-CN"/>
        </w:rPr>
        <w:t xml:space="preserve">  </w:t>
      </w:r>
      <w:r>
        <w:rPr>
          <w:rFonts w:hint="default" w:ascii="宋体" w:hAnsi="宋体" w:eastAsia="宋体" w:cs="宋体"/>
          <w:color w:val="auto"/>
          <w:spacing w:val="0"/>
          <w:w w:val="100"/>
          <w:position w:val="0"/>
          <w:sz w:val="24"/>
          <w:szCs w:val="24"/>
          <w:highlight w:val="none"/>
          <w:lang w:val="en-US" w:eastAsia="zh-CN"/>
        </w:rPr>
        <w:t>交通运输部《进一步提升高速公路防灾抗灾能</w:t>
      </w:r>
    </w:p>
    <w:p w14:paraId="235868DF">
      <w:pPr>
        <w:keepNext w:val="0"/>
        <w:keepLines w:val="0"/>
        <w:pageBreakBefore w:val="0"/>
        <w:widowControl/>
        <w:kinsoku w:val="0"/>
        <w:wordWrap/>
        <w:overflowPunct/>
        <w:topLinePunct w:val="0"/>
        <w:autoSpaceDE w:val="0"/>
        <w:autoSpaceDN w:val="0"/>
        <w:bidi w:val="0"/>
        <w:adjustRightInd w:val="0"/>
        <w:snapToGrid w:val="0"/>
        <w:spacing w:line="480" w:lineRule="exact"/>
        <w:ind w:firstLine="3600" w:firstLineChars="1500"/>
        <w:textAlignment w:val="baseline"/>
        <w:rPr>
          <w:rFonts w:hint="default" w:ascii="宋体" w:hAnsi="宋体" w:eastAsia="宋体" w:cs="宋体"/>
          <w:color w:val="auto"/>
          <w:spacing w:val="0"/>
          <w:w w:val="100"/>
          <w:position w:val="0"/>
          <w:sz w:val="24"/>
          <w:szCs w:val="24"/>
          <w:highlight w:val="none"/>
          <w:lang w:val="en-US" w:eastAsia="zh-CN"/>
        </w:rPr>
      </w:pPr>
      <w:r>
        <w:rPr>
          <w:rFonts w:hint="default" w:ascii="宋体" w:hAnsi="宋体" w:eastAsia="宋体" w:cs="宋体"/>
          <w:color w:val="auto"/>
          <w:spacing w:val="0"/>
          <w:w w:val="100"/>
          <w:position w:val="0"/>
          <w:sz w:val="24"/>
          <w:szCs w:val="24"/>
          <w:highlight w:val="none"/>
          <w:lang w:val="en-US" w:eastAsia="zh-CN"/>
        </w:rPr>
        <w:t>力设计回溯工作方案》</w:t>
      </w:r>
      <w:r>
        <w:rPr>
          <w:rFonts w:hint="default" w:ascii="宋体" w:hAnsi="宋体" w:eastAsia="宋体" w:cs="宋体"/>
          <w:color w:val="auto"/>
          <w:spacing w:val="0"/>
          <w:w w:val="100"/>
          <w:position w:val="0"/>
          <w:sz w:val="24"/>
          <w:szCs w:val="24"/>
          <w:highlight w:val="none"/>
          <w:lang w:val="en-US" w:eastAsia="zh-CN"/>
        </w:rPr>
        <w:br w:type="textWrapping"/>
      </w:r>
      <w:r>
        <w:rPr>
          <w:rFonts w:hint="eastAsia" w:ascii="宋体" w:hAnsi="宋体" w:eastAsia="宋体" w:cs="宋体"/>
          <w:color w:val="auto"/>
          <w:spacing w:val="0"/>
          <w:w w:val="100"/>
          <w:position w:val="0"/>
          <w:sz w:val="24"/>
          <w:szCs w:val="24"/>
          <w:highlight w:val="none"/>
          <w:lang w:val="en-US" w:eastAsia="zh-CN"/>
        </w:rPr>
        <w:t>76.</w:t>
      </w:r>
      <w:r>
        <w:rPr>
          <w:rFonts w:hint="default" w:ascii="宋体" w:hAnsi="宋体" w:eastAsia="宋体" w:cs="宋体"/>
          <w:color w:val="auto"/>
          <w:spacing w:val="0"/>
          <w:w w:val="100"/>
          <w:position w:val="0"/>
          <w:sz w:val="24"/>
          <w:szCs w:val="24"/>
          <w:highlight w:val="none"/>
          <w:lang w:val="en-US" w:eastAsia="zh-CN"/>
        </w:rPr>
        <w:t>（交办规划函〔2025〕227号）</w:t>
      </w:r>
      <w:r>
        <w:rPr>
          <w:rFonts w:hint="eastAsia" w:ascii="宋体" w:hAnsi="宋体" w:eastAsia="宋体" w:cs="宋体"/>
          <w:color w:val="auto"/>
          <w:spacing w:val="0"/>
          <w:w w:val="100"/>
          <w:position w:val="0"/>
          <w:sz w:val="24"/>
          <w:szCs w:val="24"/>
          <w:highlight w:val="none"/>
          <w:lang w:val="en-US" w:eastAsia="zh-CN"/>
        </w:rPr>
        <w:t xml:space="preserve">  </w:t>
      </w:r>
      <w:r>
        <w:rPr>
          <w:rFonts w:hint="default" w:ascii="宋体" w:hAnsi="宋体" w:eastAsia="宋体" w:cs="宋体"/>
          <w:color w:val="auto"/>
          <w:spacing w:val="0"/>
          <w:w w:val="100"/>
          <w:position w:val="0"/>
          <w:sz w:val="24"/>
          <w:szCs w:val="24"/>
          <w:highlight w:val="none"/>
          <w:lang w:val="en-US" w:eastAsia="zh-CN"/>
        </w:rPr>
        <w:t>交通运输部办公厅、生态环境部办公厅《关</w:t>
      </w:r>
    </w:p>
    <w:p w14:paraId="1D1D91E4">
      <w:pPr>
        <w:keepNext w:val="0"/>
        <w:keepLines w:val="0"/>
        <w:pageBreakBefore w:val="0"/>
        <w:widowControl/>
        <w:kinsoku w:val="0"/>
        <w:wordWrap/>
        <w:overflowPunct/>
        <w:topLinePunct w:val="0"/>
        <w:autoSpaceDE w:val="0"/>
        <w:autoSpaceDN w:val="0"/>
        <w:bidi w:val="0"/>
        <w:adjustRightInd w:val="0"/>
        <w:snapToGrid w:val="0"/>
        <w:spacing w:line="480" w:lineRule="exact"/>
        <w:ind w:left="3831" w:leftChars="1710" w:hanging="240" w:hangingChars="100"/>
        <w:textAlignment w:val="baseline"/>
        <w:rPr>
          <w:rFonts w:hint="eastAsia"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 xml:space="preserve"> </w:t>
      </w:r>
      <w:r>
        <w:rPr>
          <w:rFonts w:hint="default" w:ascii="宋体" w:hAnsi="宋体" w:eastAsia="宋体" w:cs="宋体"/>
          <w:color w:val="auto"/>
          <w:spacing w:val="0"/>
          <w:w w:val="100"/>
          <w:position w:val="0"/>
          <w:sz w:val="24"/>
          <w:szCs w:val="24"/>
          <w:highlight w:val="none"/>
          <w:lang w:val="en-US" w:eastAsia="zh-CN"/>
        </w:rPr>
        <w:t>于进一步加强公路规划建设和环评工作推动绿色低碳转型发展的通知》</w:t>
      </w:r>
    </w:p>
    <w:p w14:paraId="0F9F99FA">
      <w:pPr>
        <w:pStyle w:val="6"/>
        <w:keepNext w:val="0"/>
        <w:keepLines w:val="0"/>
        <w:pageBreakBefore w:val="0"/>
        <w:widowControl/>
        <w:kinsoku w:val="0"/>
        <w:wordWrap/>
        <w:overflowPunct/>
        <w:topLinePunct w:val="0"/>
        <w:autoSpaceDE w:val="0"/>
        <w:autoSpaceDN w:val="0"/>
        <w:bidi w:val="0"/>
        <w:adjustRightInd w:val="0"/>
        <w:snapToGrid w:val="0"/>
        <w:spacing w:line="480" w:lineRule="exact"/>
        <w:ind w:left="522"/>
        <w:textAlignment w:val="baseline"/>
        <w:rPr>
          <w:color w:val="auto"/>
          <w:spacing w:val="0"/>
          <w:w w:val="100"/>
          <w:position w:val="0"/>
          <w:sz w:val="24"/>
          <w:szCs w:val="24"/>
          <w:highlight w:val="none"/>
        </w:rPr>
      </w:pPr>
      <w:r>
        <w:rPr>
          <w:color w:val="auto"/>
          <w:spacing w:val="0"/>
          <w:w w:val="100"/>
          <w:position w:val="0"/>
          <w:sz w:val="24"/>
          <w:szCs w:val="24"/>
          <w:highlight w:val="none"/>
        </w:rPr>
        <w:t>三、成果文件要求</w:t>
      </w:r>
    </w:p>
    <w:p w14:paraId="5D343628">
      <w:pPr>
        <w:keepNext w:val="0"/>
        <w:keepLines w:val="0"/>
        <w:pageBreakBefore w:val="0"/>
        <w:widowControl/>
        <w:kinsoku w:val="0"/>
        <w:wordWrap/>
        <w:overflowPunct/>
        <w:topLinePunct w:val="0"/>
        <w:autoSpaceDE w:val="0"/>
        <w:autoSpaceDN w:val="0"/>
        <w:bidi w:val="0"/>
        <w:adjustRightInd w:val="0"/>
        <w:snapToGrid w:val="0"/>
        <w:spacing w:line="480" w:lineRule="exact"/>
        <w:ind w:left="536"/>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成果文件的组成：见本项目专用合同条款；</w:t>
      </w:r>
    </w:p>
    <w:p w14:paraId="0D51F784">
      <w:pPr>
        <w:keepNext w:val="0"/>
        <w:keepLines w:val="0"/>
        <w:pageBreakBefore w:val="0"/>
        <w:widowControl/>
        <w:kinsoku w:val="0"/>
        <w:wordWrap/>
        <w:overflowPunct/>
        <w:topLinePunct w:val="0"/>
        <w:autoSpaceDE w:val="0"/>
        <w:autoSpaceDN w:val="0"/>
        <w:bidi w:val="0"/>
        <w:adjustRightInd w:val="0"/>
        <w:snapToGrid w:val="0"/>
        <w:spacing w:line="480" w:lineRule="exact"/>
        <w:ind w:left="51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成果文件的深度：见本项目专用合同条款；</w:t>
      </w:r>
    </w:p>
    <w:p w14:paraId="4DAA6FE3">
      <w:pPr>
        <w:keepNext w:val="0"/>
        <w:keepLines w:val="0"/>
        <w:pageBreakBefore w:val="0"/>
        <w:widowControl/>
        <w:kinsoku w:val="0"/>
        <w:wordWrap/>
        <w:overflowPunct/>
        <w:topLinePunct w:val="0"/>
        <w:autoSpaceDE w:val="0"/>
        <w:autoSpaceDN w:val="0"/>
        <w:bidi w:val="0"/>
        <w:adjustRightInd w:val="0"/>
        <w:snapToGrid w:val="0"/>
        <w:spacing w:line="480" w:lineRule="exact"/>
        <w:ind w:left="51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成果文件的格式要求：见本项目专用合同条款；</w:t>
      </w:r>
    </w:p>
    <w:p w14:paraId="06572DD6">
      <w:pPr>
        <w:keepNext w:val="0"/>
        <w:keepLines w:val="0"/>
        <w:pageBreakBefore w:val="0"/>
        <w:widowControl/>
        <w:kinsoku w:val="0"/>
        <w:wordWrap/>
        <w:overflowPunct/>
        <w:topLinePunct w:val="0"/>
        <w:autoSpaceDE w:val="0"/>
        <w:autoSpaceDN w:val="0"/>
        <w:bidi w:val="0"/>
        <w:adjustRightInd w:val="0"/>
        <w:snapToGrid w:val="0"/>
        <w:spacing w:line="480" w:lineRule="exact"/>
        <w:ind w:left="512"/>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成果文件的份数要求：见本项目专用合同条款；</w:t>
      </w:r>
    </w:p>
    <w:p w14:paraId="17C2E297">
      <w:pPr>
        <w:keepNext w:val="0"/>
        <w:keepLines w:val="0"/>
        <w:pageBreakBefore w:val="0"/>
        <w:widowControl/>
        <w:kinsoku w:val="0"/>
        <w:wordWrap/>
        <w:overflowPunct/>
        <w:topLinePunct w:val="0"/>
        <w:autoSpaceDE w:val="0"/>
        <w:autoSpaceDN w:val="0"/>
        <w:bidi w:val="0"/>
        <w:adjustRightInd w:val="0"/>
        <w:snapToGrid w:val="0"/>
        <w:spacing w:line="480" w:lineRule="exact"/>
        <w:ind w:left="52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5.</w:t>
      </w:r>
      <w:r>
        <w:rPr>
          <w:rFonts w:ascii="宋体" w:hAnsi="宋体" w:eastAsia="宋体" w:cs="宋体"/>
          <w:color w:val="auto"/>
          <w:spacing w:val="0"/>
          <w:w w:val="100"/>
          <w:position w:val="0"/>
          <w:sz w:val="24"/>
          <w:szCs w:val="24"/>
          <w:highlight w:val="none"/>
        </w:rPr>
        <w:t>成果文件的载体要求</w:t>
      </w:r>
    </w:p>
    <w:p w14:paraId="61F4AB64">
      <w:pPr>
        <w:keepNext w:val="0"/>
        <w:keepLines w:val="0"/>
        <w:pageBreakBefore w:val="0"/>
        <w:widowControl/>
        <w:kinsoku w:val="0"/>
        <w:wordWrap/>
        <w:overflowPunct/>
        <w:topLinePunct w:val="0"/>
        <w:autoSpaceDE w:val="0"/>
        <w:autoSpaceDN w:val="0"/>
        <w:bidi w:val="0"/>
        <w:adjustRightInd w:val="0"/>
        <w:snapToGrid w:val="0"/>
        <w:spacing w:line="48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）纸质版</w:t>
      </w:r>
    </w:p>
    <w:p w14:paraId="46CF9FA7">
      <w:pPr>
        <w:keepNext w:val="0"/>
        <w:keepLines w:val="0"/>
        <w:pageBreakBefore w:val="0"/>
        <w:widowControl/>
        <w:kinsoku w:val="0"/>
        <w:wordWrap/>
        <w:overflowPunct/>
        <w:topLinePunct w:val="0"/>
        <w:autoSpaceDE w:val="0"/>
        <w:autoSpaceDN w:val="0"/>
        <w:bidi w:val="0"/>
        <w:adjustRightInd w:val="0"/>
        <w:snapToGrid w:val="0"/>
        <w:spacing w:line="48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）电子版</w:t>
      </w:r>
    </w:p>
    <w:p w14:paraId="7DD61AC7">
      <w:pPr>
        <w:keepNext w:val="0"/>
        <w:keepLines w:val="0"/>
        <w:pageBreakBefore w:val="0"/>
        <w:widowControl/>
        <w:kinsoku w:val="0"/>
        <w:wordWrap/>
        <w:overflowPunct/>
        <w:topLinePunct w:val="0"/>
        <w:autoSpaceDE w:val="0"/>
        <w:autoSpaceDN w:val="0"/>
        <w:bidi w:val="0"/>
        <w:adjustRightInd w:val="0"/>
        <w:snapToGrid w:val="0"/>
        <w:spacing w:line="48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）其他</w:t>
      </w:r>
    </w:p>
    <w:p w14:paraId="099224B5">
      <w:pPr>
        <w:keepNext w:val="0"/>
        <w:keepLines w:val="0"/>
        <w:pageBreakBefore w:val="0"/>
        <w:widowControl/>
        <w:kinsoku w:val="0"/>
        <w:wordWrap/>
        <w:overflowPunct/>
        <w:topLinePunct w:val="0"/>
        <w:autoSpaceDE w:val="0"/>
        <w:autoSpaceDN w:val="0"/>
        <w:bidi w:val="0"/>
        <w:adjustRightInd w:val="0"/>
        <w:snapToGrid w:val="0"/>
        <w:spacing w:line="480" w:lineRule="exact"/>
        <w:ind w:left="519"/>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6.</w:t>
      </w:r>
      <w:r>
        <w:rPr>
          <w:rFonts w:ascii="宋体" w:hAnsi="宋体" w:eastAsia="宋体" w:cs="宋体"/>
          <w:color w:val="auto"/>
          <w:spacing w:val="0"/>
          <w:w w:val="100"/>
          <w:position w:val="0"/>
          <w:sz w:val="24"/>
          <w:szCs w:val="24"/>
          <w:highlight w:val="none"/>
        </w:rPr>
        <w:t>成果文件的展板、模型、沙盘、动画要求：中标后根据招标人要求提供。</w:t>
      </w:r>
    </w:p>
    <w:p w14:paraId="24AB3E23">
      <w:pPr>
        <w:keepNext w:val="0"/>
        <w:keepLines w:val="0"/>
        <w:pageBreakBefore w:val="0"/>
        <w:widowControl/>
        <w:kinsoku w:val="0"/>
        <w:wordWrap/>
        <w:overflowPunct/>
        <w:topLinePunct w:val="0"/>
        <w:autoSpaceDE w:val="0"/>
        <w:autoSpaceDN w:val="0"/>
        <w:bidi w:val="0"/>
        <w:adjustRightInd w:val="0"/>
        <w:snapToGrid w:val="0"/>
        <w:spacing w:line="480" w:lineRule="exact"/>
        <w:ind w:left="517"/>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7.</w:t>
      </w:r>
      <w:r>
        <w:rPr>
          <w:rFonts w:ascii="宋体" w:hAnsi="宋体" w:eastAsia="宋体" w:cs="宋体"/>
          <w:color w:val="auto"/>
          <w:spacing w:val="0"/>
          <w:w w:val="100"/>
          <w:position w:val="0"/>
          <w:sz w:val="24"/>
          <w:szCs w:val="24"/>
          <w:highlight w:val="none"/>
        </w:rPr>
        <w:t>成果文件的其他要求：中标后根据招标人要求提供。</w:t>
      </w:r>
    </w:p>
    <w:p w14:paraId="054990BD">
      <w:pPr>
        <w:pStyle w:val="6"/>
        <w:keepNext w:val="0"/>
        <w:keepLines w:val="0"/>
        <w:pageBreakBefore w:val="0"/>
        <w:widowControl/>
        <w:kinsoku w:val="0"/>
        <w:wordWrap/>
        <w:overflowPunct/>
        <w:topLinePunct w:val="0"/>
        <w:autoSpaceDE w:val="0"/>
        <w:autoSpaceDN w:val="0"/>
        <w:bidi w:val="0"/>
        <w:adjustRightInd w:val="0"/>
        <w:snapToGrid w:val="0"/>
        <w:spacing w:line="480" w:lineRule="exact"/>
        <w:ind w:left="532"/>
        <w:textAlignment w:val="baseline"/>
        <w:rPr>
          <w:color w:val="auto"/>
          <w:spacing w:val="0"/>
          <w:w w:val="100"/>
          <w:position w:val="0"/>
          <w:sz w:val="24"/>
          <w:szCs w:val="24"/>
          <w:highlight w:val="none"/>
        </w:rPr>
      </w:pPr>
      <w:r>
        <w:rPr>
          <w:color w:val="auto"/>
          <w:spacing w:val="0"/>
          <w:w w:val="100"/>
          <w:position w:val="0"/>
          <w:sz w:val="24"/>
          <w:szCs w:val="24"/>
          <w:highlight w:val="none"/>
        </w:rPr>
        <w:t>四、发包人财产清单</w:t>
      </w:r>
    </w:p>
    <w:p w14:paraId="0C1A744D">
      <w:pPr>
        <w:keepNext w:val="0"/>
        <w:keepLines w:val="0"/>
        <w:pageBreakBefore w:val="0"/>
        <w:widowControl/>
        <w:kinsoku w:val="0"/>
        <w:wordWrap/>
        <w:overflowPunct/>
        <w:topLinePunct w:val="0"/>
        <w:autoSpaceDE w:val="0"/>
        <w:autoSpaceDN w:val="0"/>
        <w:bidi w:val="0"/>
        <w:adjustRightInd w:val="0"/>
        <w:snapToGrid w:val="0"/>
        <w:spacing w:line="48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（一）发包人提供的设备、设施</w:t>
      </w:r>
      <w:r>
        <w:rPr>
          <w:rFonts w:hint="eastAsia" w:ascii="宋体" w:hAnsi="宋体" w:eastAsia="宋体" w:cs="宋体"/>
          <w:color w:val="auto"/>
          <w:spacing w:val="0"/>
          <w:w w:val="100"/>
          <w:position w:val="0"/>
          <w:sz w:val="24"/>
          <w:szCs w:val="24"/>
          <w:highlight w:val="none"/>
          <w:lang w:eastAsia="zh-CN"/>
        </w:rPr>
        <w:t>：</w:t>
      </w:r>
      <w:r>
        <w:rPr>
          <w:rFonts w:ascii="宋体" w:hAnsi="宋体" w:eastAsia="宋体" w:cs="宋体"/>
          <w:color w:val="auto"/>
          <w:spacing w:val="0"/>
          <w:w w:val="100"/>
          <w:position w:val="0"/>
          <w:sz w:val="24"/>
          <w:szCs w:val="24"/>
          <w:highlight w:val="none"/>
        </w:rPr>
        <w:t>不提供。</w:t>
      </w:r>
    </w:p>
    <w:p w14:paraId="1D44462B">
      <w:pPr>
        <w:keepNext w:val="0"/>
        <w:keepLines w:val="0"/>
        <w:pageBreakBefore w:val="0"/>
        <w:widowControl/>
        <w:kinsoku w:val="0"/>
        <w:wordWrap/>
        <w:overflowPunct/>
        <w:topLinePunct w:val="0"/>
        <w:autoSpaceDE w:val="0"/>
        <w:autoSpaceDN w:val="0"/>
        <w:bidi w:val="0"/>
        <w:adjustRightInd w:val="0"/>
        <w:snapToGrid w:val="0"/>
        <w:spacing w:line="48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（二）发包人提供的资料</w:t>
      </w:r>
    </w:p>
    <w:p w14:paraId="7D2C2E9C">
      <w:pPr>
        <w:keepNext w:val="0"/>
        <w:keepLines w:val="0"/>
        <w:pageBreakBefore w:val="0"/>
        <w:widowControl/>
        <w:kinsoku w:val="0"/>
        <w:wordWrap/>
        <w:overflowPunct/>
        <w:topLinePunct w:val="0"/>
        <w:autoSpaceDE w:val="0"/>
        <w:autoSpaceDN w:val="0"/>
        <w:bidi w:val="0"/>
        <w:adjustRightInd w:val="0"/>
        <w:snapToGrid w:val="0"/>
        <w:spacing w:line="480" w:lineRule="exact"/>
        <w:ind w:left="43" w:right="132" w:firstLine="475"/>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本项目不提供相关资料需设计人自行收集并承担费用，发包人不另行支付费用。</w:t>
      </w:r>
    </w:p>
    <w:p w14:paraId="2CC4CDBE">
      <w:pPr>
        <w:keepNext w:val="0"/>
        <w:keepLines w:val="0"/>
        <w:pageBreakBefore w:val="0"/>
        <w:widowControl/>
        <w:kinsoku w:val="0"/>
        <w:wordWrap/>
        <w:overflowPunct/>
        <w:topLinePunct w:val="0"/>
        <w:autoSpaceDE w:val="0"/>
        <w:autoSpaceDN w:val="0"/>
        <w:bidi w:val="0"/>
        <w:adjustRightInd w:val="0"/>
        <w:snapToGrid w:val="0"/>
        <w:spacing w:line="480" w:lineRule="exact"/>
        <w:ind w:left="52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（三）发包人财产使用要求及退还要求</w:t>
      </w:r>
    </w:p>
    <w:p w14:paraId="45DA92D2">
      <w:pPr>
        <w:keepNext w:val="0"/>
        <w:keepLines w:val="0"/>
        <w:pageBreakBefore w:val="0"/>
        <w:widowControl/>
        <w:kinsoku w:val="0"/>
        <w:wordWrap/>
        <w:overflowPunct/>
        <w:topLinePunct w:val="0"/>
        <w:autoSpaceDE w:val="0"/>
        <w:autoSpaceDN w:val="0"/>
        <w:bidi w:val="0"/>
        <w:adjustRightInd w:val="0"/>
        <w:snapToGrid w:val="0"/>
        <w:spacing w:line="480" w:lineRule="exact"/>
        <w:ind w:left="521"/>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未提供，无要求。</w:t>
      </w:r>
    </w:p>
    <w:p w14:paraId="70A85CE2">
      <w:pPr>
        <w:pStyle w:val="6"/>
        <w:keepNext w:val="0"/>
        <w:keepLines w:val="0"/>
        <w:pageBreakBefore w:val="0"/>
        <w:widowControl/>
        <w:kinsoku w:val="0"/>
        <w:wordWrap/>
        <w:overflowPunct/>
        <w:topLinePunct w:val="0"/>
        <w:autoSpaceDE w:val="0"/>
        <w:autoSpaceDN w:val="0"/>
        <w:bidi w:val="0"/>
        <w:adjustRightInd w:val="0"/>
        <w:snapToGrid w:val="0"/>
        <w:spacing w:line="480" w:lineRule="exact"/>
        <w:ind w:left="524"/>
        <w:textAlignment w:val="baseline"/>
        <w:rPr>
          <w:color w:val="auto"/>
          <w:spacing w:val="0"/>
          <w:w w:val="100"/>
          <w:position w:val="0"/>
          <w:sz w:val="24"/>
          <w:szCs w:val="24"/>
          <w:highlight w:val="none"/>
        </w:rPr>
      </w:pPr>
      <w:r>
        <w:rPr>
          <w:color w:val="auto"/>
          <w:spacing w:val="0"/>
          <w:w w:val="100"/>
          <w:position w:val="0"/>
          <w:sz w:val="24"/>
          <w:szCs w:val="24"/>
          <w:highlight w:val="none"/>
        </w:rPr>
        <w:t>五、发包人提供的便利条件</w:t>
      </w:r>
    </w:p>
    <w:p w14:paraId="1A64514B">
      <w:pPr>
        <w:keepNext w:val="0"/>
        <w:keepLines w:val="0"/>
        <w:pageBreakBefore w:val="0"/>
        <w:widowControl/>
        <w:kinsoku w:val="0"/>
        <w:wordWrap/>
        <w:overflowPunct/>
        <w:topLinePunct w:val="0"/>
        <w:autoSpaceDE w:val="0"/>
        <w:autoSpaceDN w:val="0"/>
        <w:bidi w:val="0"/>
        <w:adjustRightInd w:val="0"/>
        <w:snapToGrid w:val="0"/>
        <w:spacing w:line="480" w:lineRule="exact"/>
        <w:ind w:left="521"/>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发包人不提供，设计人自行解决。</w:t>
      </w:r>
    </w:p>
    <w:p w14:paraId="5DDE46D1">
      <w:pPr>
        <w:pStyle w:val="6"/>
        <w:keepNext w:val="0"/>
        <w:keepLines w:val="0"/>
        <w:pageBreakBefore w:val="0"/>
        <w:widowControl/>
        <w:kinsoku w:val="0"/>
        <w:wordWrap/>
        <w:overflowPunct/>
        <w:topLinePunct w:val="0"/>
        <w:autoSpaceDE w:val="0"/>
        <w:autoSpaceDN w:val="0"/>
        <w:bidi w:val="0"/>
        <w:adjustRightInd w:val="0"/>
        <w:snapToGrid w:val="0"/>
        <w:spacing w:line="480" w:lineRule="exact"/>
        <w:ind w:left="525"/>
        <w:textAlignment w:val="baseline"/>
        <w:rPr>
          <w:color w:val="auto"/>
          <w:spacing w:val="0"/>
          <w:w w:val="100"/>
          <w:position w:val="0"/>
          <w:sz w:val="24"/>
          <w:szCs w:val="24"/>
          <w:highlight w:val="none"/>
        </w:rPr>
      </w:pPr>
      <w:r>
        <w:rPr>
          <w:color w:val="auto"/>
          <w:spacing w:val="0"/>
          <w:w w:val="100"/>
          <w:position w:val="0"/>
          <w:sz w:val="24"/>
          <w:szCs w:val="24"/>
          <w:highlight w:val="none"/>
        </w:rPr>
        <w:t>六、设计人需要自备的工作条件</w:t>
      </w:r>
    </w:p>
    <w:p w14:paraId="0CCCA5A1">
      <w:pPr>
        <w:keepNext w:val="0"/>
        <w:keepLines w:val="0"/>
        <w:pageBreakBefore w:val="0"/>
        <w:widowControl/>
        <w:kinsoku w:val="0"/>
        <w:wordWrap/>
        <w:overflowPunct/>
        <w:topLinePunct w:val="0"/>
        <w:autoSpaceDE w:val="0"/>
        <w:autoSpaceDN w:val="0"/>
        <w:bidi w:val="0"/>
        <w:adjustRightInd w:val="0"/>
        <w:snapToGrid w:val="0"/>
        <w:spacing w:line="480" w:lineRule="exact"/>
        <w:ind w:left="536"/>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设计人自备的工作手册：如本项目必备的规范标准、图集等。</w:t>
      </w:r>
    </w:p>
    <w:p w14:paraId="3215A704">
      <w:pPr>
        <w:keepNext w:val="0"/>
        <w:keepLines w:val="0"/>
        <w:pageBreakBefore w:val="0"/>
        <w:widowControl/>
        <w:kinsoku w:val="0"/>
        <w:wordWrap/>
        <w:overflowPunct/>
        <w:topLinePunct w:val="0"/>
        <w:autoSpaceDE w:val="0"/>
        <w:autoSpaceDN w:val="0"/>
        <w:bidi w:val="0"/>
        <w:adjustRightInd w:val="0"/>
        <w:snapToGrid w:val="0"/>
        <w:spacing w:line="480" w:lineRule="exact"/>
        <w:ind w:left="56" w:right="86" w:firstLine="456"/>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设计人自备的办公设备：如计算机、软件、投影、打印机、复印机、照相机等。</w:t>
      </w:r>
    </w:p>
    <w:p w14:paraId="633CE568">
      <w:pPr>
        <w:keepNext w:val="0"/>
        <w:keepLines w:val="0"/>
        <w:pageBreakBefore w:val="0"/>
        <w:widowControl/>
        <w:kinsoku w:val="0"/>
        <w:wordWrap/>
        <w:overflowPunct/>
        <w:topLinePunct w:val="0"/>
        <w:autoSpaceDE w:val="0"/>
        <w:autoSpaceDN w:val="0"/>
        <w:bidi w:val="0"/>
        <w:adjustRightInd w:val="0"/>
        <w:snapToGrid w:val="0"/>
        <w:spacing w:line="480" w:lineRule="exact"/>
        <w:ind w:left="51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设计人自备的交通工具：如出行车辆等。</w:t>
      </w:r>
    </w:p>
    <w:p w14:paraId="0DB29A23">
      <w:pPr>
        <w:keepNext w:val="0"/>
        <w:keepLines w:val="0"/>
        <w:pageBreakBefore w:val="0"/>
        <w:widowControl/>
        <w:kinsoku w:val="0"/>
        <w:wordWrap/>
        <w:overflowPunct/>
        <w:topLinePunct w:val="0"/>
        <w:autoSpaceDE w:val="0"/>
        <w:autoSpaceDN w:val="0"/>
        <w:bidi w:val="0"/>
        <w:adjustRightInd w:val="0"/>
        <w:snapToGrid w:val="0"/>
        <w:spacing w:line="480" w:lineRule="exact"/>
        <w:ind w:left="512"/>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设计人自备的现场办公设施：如办公桌椅、文件柜等。</w:t>
      </w:r>
    </w:p>
    <w:p w14:paraId="65A14979">
      <w:pPr>
        <w:keepNext w:val="0"/>
        <w:keepLines w:val="0"/>
        <w:pageBreakBefore w:val="0"/>
        <w:widowControl/>
        <w:kinsoku w:val="0"/>
        <w:wordWrap/>
        <w:overflowPunct/>
        <w:topLinePunct w:val="0"/>
        <w:autoSpaceDE w:val="0"/>
        <w:autoSpaceDN w:val="0"/>
        <w:bidi w:val="0"/>
        <w:adjustRightInd w:val="0"/>
        <w:snapToGrid w:val="0"/>
        <w:spacing w:line="480" w:lineRule="exact"/>
        <w:ind w:left="520"/>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5.</w:t>
      </w:r>
      <w:r>
        <w:rPr>
          <w:rFonts w:ascii="宋体" w:hAnsi="宋体" w:eastAsia="宋体" w:cs="宋体"/>
          <w:color w:val="auto"/>
          <w:spacing w:val="0"/>
          <w:w w:val="100"/>
          <w:position w:val="0"/>
          <w:sz w:val="24"/>
          <w:szCs w:val="24"/>
          <w:highlight w:val="none"/>
        </w:rPr>
        <w:t>设计人自备的安全设施：如安全帽、安全鞋、手电筒等。</w:t>
      </w:r>
    </w:p>
    <w:p w14:paraId="4C65123A">
      <w:pPr>
        <w:keepNext w:val="0"/>
        <w:keepLines w:val="0"/>
        <w:pageBreakBefore w:val="0"/>
        <w:widowControl/>
        <w:kinsoku w:val="0"/>
        <w:wordWrap/>
        <w:overflowPunct/>
        <w:topLinePunct w:val="0"/>
        <w:autoSpaceDE w:val="0"/>
        <w:autoSpaceDN w:val="0"/>
        <w:bidi w:val="0"/>
        <w:adjustRightInd w:val="0"/>
        <w:snapToGrid w:val="0"/>
        <w:spacing w:line="480" w:lineRule="exact"/>
        <w:ind w:left="519"/>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6.</w:t>
      </w:r>
      <w:r>
        <w:rPr>
          <w:rFonts w:ascii="宋体" w:hAnsi="宋体" w:eastAsia="宋体" w:cs="宋体"/>
          <w:color w:val="auto"/>
          <w:spacing w:val="0"/>
          <w:w w:val="100"/>
          <w:position w:val="0"/>
          <w:sz w:val="24"/>
          <w:szCs w:val="24"/>
          <w:highlight w:val="none"/>
        </w:rPr>
        <w:t>设计人自备的勘察检测仪器、设备、工具。</w:t>
      </w:r>
    </w:p>
    <w:p w14:paraId="42B43C1B">
      <w:pPr>
        <w:keepNext w:val="0"/>
        <w:keepLines w:val="0"/>
        <w:pageBreakBefore w:val="0"/>
        <w:widowControl/>
        <w:kinsoku w:val="0"/>
        <w:wordWrap/>
        <w:overflowPunct/>
        <w:topLinePunct w:val="0"/>
        <w:autoSpaceDE w:val="0"/>
        <w:autoSpaceDN w:val="0"/>
        <w:bidi w:val="0"/>
        <w:adjustRightInd w:val="0"/>
        <w:snapToGrid w:val="0"/>
        <w:spacing w:line="480" w:lineRule="exact"/>
        <w:ind w:left="517"/>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7.</w:t>
      </w:r>
      <w:r>
        <w:rPr>
          <w:rFonts w:ascii="宋体" w:hAnsi="宋体" w:eastAsia="宋体" w:cs="宋体"/>
          <w:color w:val="auto"/>
          <w:spacing w:val="0"/>
          <w:w w:val="100"/>
          <w:position w:val="0"/>
          <w:sz w:val="24"/>
          <w:szCs w:val="24"/>
          <w:highlight w:val="none"/>
        </w:rPr>
        <w:t>设计人应根据勘察设计实际需要：</w:t>
      </w:r>
    </w:p>
    <w:p w14:paraId="395355F5">
      <w:pPr>
        <w:keepNext w:val="0"/>
        <w:keepLines w:val="0"/>
        <w:pageBreakBefore w:val="0"/>
        <w:widowControl/>
        <w:kinsoku w:val="0"/>
        <w:wordWrap/>
        <w:overflowPunct/>
        <w:topLinePunct w:val="0"/>
        <w:autoSpaceDE w:val="0"/>
        <w:autoSpaceDN w:val="0"/>
        <w:bidi w:val="0"/>
        <w:adjustRightInd w:val="0"/>
        <w:snapToGrid w:val="0"/>
        <w:spacing w:line="480" w:lineRule="exact"/>
        <w:ind w:left="40" w:right="28" w:firstLine="48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）自行搜集或购买全部地形图、地质图、规划图及所涉及的其他图纸或 资料，自费进行工程测量、工程勘察、研究试验及有关协调（包括签订协议）、调查和资料搜集等工作；</w:t>
      </w:r>
    </w:p>
    <w:p w14:paraId="44053857">
      <w:pPr>
        <w:keepNext w:val="0"/>
        <w:keepLines w:val="0"/>
        <w:pageBreakBefore w:val="0"/>
        <w:widowControl/>
        <w:kinsoku w:val="0"/>
        <w:wordWrap/>
        <w:overflowPunct/>
        <w:topLinePunct w:val="0"/>
        <w:autoSpaceDE w:val="0"/>
        <w:autoSpaceDN w:val="0"/>
        <w:bidi w:val="0"/>
        <w:adjustRightInd w:val="0"/>
        <w:snapToGrid w:val="0"/>
        <w:spacing w:line="480" w:lineRule="exact"/>
        <w:ind w:left="40" w:firstLine="484"/>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自行搜集或购买相关路网交通工程设施的配置资料（包括通信、监控、收费、供配电、照明等设施）；沿线供电资料；沿线管线资料；沿线气象、环境、人文景观的有关资料；相关路网的管理运营体制资料；相关路网服务设施设置情况的资料；与交通工程相关的规划资料。</w:t>
      </w:r>
    </w:p>
    <w:p w14:paraId="081E4D97">
      <w:pPr>
        <w:keepNext w:val="0"/>
        <w:keepLines w:val="0"/>
        <w:pageBreakBefore w:val="0"/>
        <w:widowControl/>
        <w:kinsoku w:val="0"/>
        <w:wordWrap/>
        <w:overflowPunct/>
        <w:topLinePunct w:val="0"/>
        <w:autoSpaceDE w:val="0"/>
        <w:autoSpaceDN w:val="0"/>
        <w:bidi w:val="0"/>
        <w:adjustRightInd w:val="0"/>
        <w:snapToGrid w:val="0"/>
        <w:spacing w:line="480" w:lineRule="exact"/>
        <w:textAlignment w:val="baseline"/>
        <w:rPr>
          <w:rFonts w:ascii="宋体" w:hAnsi="宋体" w:eastAsia="宋体" w:cs="宋体"/>
          <w:color w:val="auto"/>
          <w:spacing w:val="0"/>
          <w:w w:val="100"/>
          <w:position w:val="0"/>
          <w:sz w:val="24"/>
          <w:szCs w:val="24"/>
          <w:highlight w:val="none"/>
        </w:rPr>
        <w:sectPr>
          <w:headerReference r:id="rId52" w:type="default"/>
          <w:footerReference r:id="rId53" w:type="default"/>
          <w:pgSz w:w="11900" w:h="16843"/>
          <w:pgMar w:top="1378" w:right="1417" w:bottom="1208" w:left="1417" w:header="1366" w:footer="1003" w:gutter="0"/>
          <w:pgNumType w:fmt="decimal"/>
          <w:cols w:space="0" w:num="1"/>
          <w:rtlGutter w:val="0"/>
          <w:docGrid w:linePitch="0" w:charSpace="0"/>
        </w:sectPr>
      </w:pPr>
    </w:p>
    <w:p w14:paraId="705575E9">
      <w:pPr>
        <w:spacing w:line="248" w:lineRule="auto"/>
        <w:rPr>
          <w:rFonts w:ascii="Arial"/>
          <w:color w:val="auto"/>
          <w:spacing w:val="0"/>
          <w:w w:val="100"/>
          <w:position w:val="0"/>
          <w:sz w:val="21"/>
          <w:highlight w:val="none"/>
        </w:rPr>
      </w:pPr>
    </w:p>
    <w:p w14:paraId="70E037E6">
      <w:pPr>
        <w:spacing w:line="248" w:lineRule="auto"/>
        <w:rPr>
          <w:rFonts w:ascii="Arial"/>
          <w:color w:val="auto"/>
          <w:spacing w:val="0"/>
          <w:w w:val="100"/>
          <w:position w:val="0"/>
          <w:sz w:val="21"/>
          <w:highlight w:val="none"/>
        </w:rPr>
      </w:pPr>
    </w:p>
    <w:p w14:paraId="2DFD6FB7">
      <w:pPr>
        <w:spacing w:line="248" w:lineRule="auto"/>
        <w:rPr>
          <w:rFonts w:ascii="Arial"/>
          <w:color w:val="auto"/>
          <w:spacing w:val="0"/>
          <w:w w:val="100"/>
          <w:position w:val="0"/>
          <w:sz w:val="21"/>
          <w:highlight w:val="none"/>
        </w:rPr>
      </w:pPr>
    </w:p>
    <w:p w14:paraId="30BF799A">
      <w:pPr>
        <w:spacing w:line="248" w:lineRule="auto"/>
        <w:rPr>
          <w:rFonts w:ascii="Arial"/>
          <w:color w:val="auto"/>
          <w:spacing w:val="0"/>
          <w:w w:val="100"/>
          <w:position w:val="0"/>
          <w:sz w:val="21"/>
          <w:highlight w:val="none"/>
        </w:rPr>
      </w:pPr>
    </w:p>
    <w:p w14:paraId="6E73BC88">
      <w:pPr>
        <w:spacing w:line="248" w:lineRule="auto"/>
        <w:rPr>
          <w:rFonts w:ascii="Arial"/>
          <w:color w:val="auto"/>
          <w:spacing w:val="0"/>
          <w:w w:val="100"/>
          <w:position w:val="0"/>
          <w:sz w:val="21"/>
          <w:highlight w:val="none"/>
        </w:rPr>
      </w:pPr>
    </w:p>
    <w:p w14:paraId="0436E89B">
      <w:pPr>
        <w:spacing w:line="248" w:lineRule="auto"/>
        <w:rPr>
          <w:rFonts w:ascii="Arial"/>
          <w:color w:val="auto"/>
          <w:spacing w:val="0"/>
          <w:w w:val="100"/>
          <w:position w:val="0"/>
          <w:sz w:val="21"/>
          <w:highlight w:val="none"/>
        </w:rPr>
      </w:pPr>
    </w:p>
    <w:p w14:paraId="7CDC7EED">
      <w:pPr>
        <w:spacing w:line="248" w:lineRule="auto"/>
        <w:rPr>
          <w:rFonts w:ascii="Arial"/>
          <w:color w:val="auto"/>
          <w:spacing w:val="0"/>
          <w:w w:val="100"/>
          <w:position w:val="0"/>
          <w:sz w:val="21"/>
          <w:highlight w:val="none"/>
        </w:rPr>
      </w:pPr>
    </w:p>
    <w:p w14:paraId="0C0A8B10">
      <w:pPr>
        <w:spacing w:line="248" w:lineRule="auto"/>
        <w:rPr>
          <w:rFonts w:ascii="Arial"/>
          <w:color w:val="auto"/>
          <w:spacing w:val="0"/>
          <w:w w:val="100"/>
          <w:position w:val="0"/>
          <w:sz w:val="21"/>
          <w:highlight w:val="none"/>
        </w:rPr>
      </w:pPr>
    </w:p>
    <w:p w14:paraId="50428EFB">
      <w:pPr>
        <w:spacing w:line="248" w:lineRule="auto"/>
        <w:rPr>
          <w:rFonts w:ascii="Arial"/>
          <w:color w:val="auto"/>
          <w:spacing w:val="0"/>
          <w:w w:val="100"/>
          <w:position w:val="0"/>
          <w:sz w:val="21"/>
          <w:highlight w:val="none"/>
        </w:rPr>
      </w:pPr>
    </w:p>
    <w:p w14:paraId="28A7D52D">
      <w:pPr>
        <w:spacing w:line="248" w:lineRule="auto"/>
        <w:rPr>
          <w:rFonts w:ascii="Arial"/>
          <w:color w:val="auto"/>
          <w:spacing w:val="0"/>
          <w:w w:val="100"/>
          <w:position w:val="0"/>
          <w:sz w:val="21"/>
          <w:highlight w:val="none"/>
        </w:rPr>
      </w:pPr>
    </w:p>
    <w:p w14:paraId="23E671D3">
      <w:pPr>
        <w:spacing w:line="249" w:lineRule="auto"/>
        <w:rPr>
          <w:rFonts w:ascii="Arial"/>
          <w:color w:val="auto"/>
          <w:spacing w:val="0"/>
          <w:w w:val="100"/>
          <w:position w:val="0"/>
          <w:sz w:val="21"/>
          <w:highlight w:val="none"/>
        </w:rPr>
      </w:pPr>
    </w:p>
    <w:p w14:paraId="3AF22536">
      <w:pPr>
        <w:spacing w:line="249" w:lineRule="auto"/>
        <w:rPr>
          <w:rFonts w:ascii="Arial"/>
          <w:color w:val="auto"/>
          <w:spacing w:val="0"/>
          <w:w w:val="100"/>
          <w:position w:val="0"/>
          <w:sz w:val="21"/>
          <w:highlight w:val="none"/>
        </w:rPr>
      </w:pPr>
    </w:p>
    <w:p w14:paraId="18431D4D">
      <w:pPr>
        <w:pStyle w:val="6"/>
        <w:spacing w:before="234" w:line="219" w:lineRule="auto"/>
        <w:ind w:left="3124"/>
        <w:outlineLvl w:val="0"/>
        <w:rPr>
          <w:color w:val="auto"/>
          <w:spacing w:val="0"/>
          <w:w w:val="100"/>
          <w:position w:val="0"/>
          <w:sz w:val="72"/>
          <w:szCs w:val="72"/>
          <w:highlight w:val="none"/>
        </w:rPr>
      </w:pPr>
      <w:bookmarkStart w:id="30" w:name="bookmark28"/>
      <w:bookmarkEnd w:id="30"/>
      <w:r>
        <w:rPr>
          <w:b/>
          <w:bCs/>
          <w:color w:val="auto"/>
          <w:spacing w:val="0"/>
          <w:w w:val="100"/>
          <w:position w:val="0"/>
          <w:sz w:val="72"/>
          <w:szCs w:val="72"/>
          <w:highlight w:val="none"/>
        </w:rPr>
        <w:t>第三卷</w:t>
      </w:r>
    </w:p>
    <w:p w14:paraId="6C768387">
      <w:pPr>
        <w:spacing w:line="219" w:lineRule="auto"/>
        <w:rPr>
          <w:color w:val="auto"/>
          <w:spacing w:val="0"/>
          <w:w w:val="100"/>
          <w:position w:val="0"/>
          <w:sz w:val="72"/>
          <w:szCs w:val="72"/>
          <w:highlight w:val="none"/>
        </w:rPr>
        <w:sectPr>
          <w:footerReference r:id="rId54" w:type="default"/>
          <w:pgSz w:w="11900" w:h="16843"/>
          <w:pgMar w:top="1378" w:right="1417" w:bottom="1208" w:left="1417" w:header="1366" w:footer="1003" w:gutter="0"/>
          <w:pgNumType w:fmt="decimal"/>
          <w:cols w:space="0" w:num="1"/>
          <w:rtlGutter w:val="0"/>
          <w:docGrid w:linePitch="0" w:charSpace="0"/>
        </w:sectPr>
      </w:pPr>
    </w:p>
    <w:p w14:paraId="3064F65A">
      <w:pPr>
        <w:spacing w:line="245" w:lineRule="auto"/>
        <w:rPr>
          <w:rFonts w:ascii="Arial"/>
          <w:color w:val="auto"/>
          <w:spacing w:val="0"/>
          <w:w w:val="100"/>
          <w:position w:val="0"/>
          <w:sz w:val="21"/>
          <w:highlight w:val="none"/>
        </w:rPr>
      </w:pPr>
    </w:p>
    <w:p w14:paraId="2B8495E9">
      <w:pPr>
        <w:spacing w:line="245" w:lineRule="auto"/>
        <w:rPr>
          <w:rFonts w:ascii="Arial"/>
          <w:color w:val="auto"/>
          <w:spacing w:val="0"/>
          <w:w w:val="100"/>
          <w:position w:val="0"/>
          <w:sz w:val="21"/>
          <w:highlight w:val="none"/>
        </w:rPr>
      </w:pPr>
    </w:p>
    <w:p w14:paraId="614D99E9">
      <w:pPr>
        <w:spacing w:line="245" w:lineRule="auto"/>
        <w:rPr>
          <w:rFonts w:ascii="Arial"/>
          <w:color w:val="auto"/>
          <w:spacing w:val="0"/>
          <w:w w:val="100"/>
          <w:position w:val="0"/>
          <w:sz w:val="21"/>
          <w:highlight w:val="none"/>
        </w:rPr>
      </w:pPr>
    </w:p>
    <w:p w14:paraId="511FB89A">
      <w:pPr>
        <w:spacing w:line="245" w:lineRule="auto"/>
        <w:rPr>
          <w:rFonts w:ascii="Arial"/>
          <w:color w:val="auto"/>
          <w:spacing w:val="0"/>
          <w:w w:val="100"/>
          <w:position w:val="0"/>
          <w:sz w:val="21"/>
          <w:highlight w:val="none"/>
        </w:rPr>
      </w:pPr>
    </w:p>
    <w:p w14:paraId="54D41511">
      <w:pPr>
        <w:spacing w:line="245" w:lineRule="auto"/>
        <w:rPr>
          <w:rFonts w:ascii="Arial"/>
          <w:color w:val="auto"/>
          <w:spacing w:val="0"/>
          <w:w w:val="100"/>
          <w:position w:val="0"/>
          <w:sz w:val="21"/>
          <w:highlight w:val="none"/>
        </w:rPr>
      </w:pPr>
    </w:p>
    <w:p w14:paraId="308B2358">
      <w:pPr>
        <w:spacing w:line="245" w:lineRule="auto"/>
        <w:rPr>
          <w:rFonts w:ascii="Arial"/>
          <w:color w:val="auto"/>
          <w:spacing w:val="0"/>
          <w:w w:val="100"/>
          <w:position w:val="0"/>
          <w:sz w:val="21"/>
          <w:highlight w:val="none"/>
        </w:rPr>
      </w:pPr>
    </w:p>
    <w:p w14:paraId="67B9F42C">
      <w:pPr>
        <w:spacing w:line="245" w:lineRule="auto"/>
        <w:rPr>
          <w:rFonts w:ascii="Arial"/>
          <w:color w:val="auto"/>
          <w:spacing w:val="0"/>
          <w:w w:val="100"/>
          <w:position w:val="0"/>
          <w:sz w:val="21"/>
          <w:highlight w:val="none"/>
        </w:rPr>
      </w:pPr>
    </w:p>
    <w:p w14:paraId="69CADD64">
      <w:pPr>
        <w:spacing w:line="245" w:lineRule="auto"/>
        <w:rPr>
          <w:rFonts w:ascii="Arial"/>
          <w:color w:val="auto"/>
          <w:spacing w:val="0"/>
          <w:w w:val="100"/>
          <w:position w:val="0"/>
          <w:sz w:val="21"/>
          <w:highlight w:val="none"/>
        </w:rPr>
      </w:pPr>
    </w:p>
    <w:p w14:paraId="07E90454">
      <w:pPr>
        <w:spacing w:line="245" w:lineRule="auto"/>
        <w:rPr>
          <w:rFonts w:ascii="Arial"/>
          <w:color w:val="auto"/>
          <w:spacing w:val="0"/>
          <w:w w:val="100"/>
          <w:position w:val="0"/>
          <w:sz w:val="21"/>
          <w:highlight w:val="none"/>
        </w:rPr>
      </w:pPr>
    </w:p>
    <w:p w14:paraId="1ABA3C46">
      <w:pPr>
        <w:spacing w:line="245" w:lineRule="auto"/>
        <w:rPr>
          <w:rFonts w:ascii="Arial"/>
          <w:color w:val="auto"/>
          <w:spacing w:val="0"/>
          <w:w w:val="100"/>
          <w:position w:val="0"/>
          <w:sz w:val="21"/>
          <w:highlight w:val="none"/>
        </w:rPr>
      </w:pPr>
    </w:p>
    <w:p w14:paraId="0CFA2C44">
      <w:pPr>
        <w:spacing w:line="246" w:lineRule="auto"/>
        <w:rPr>
          <w:rFonts w:ascii="Arial"/>
          <w:color w:val="auto"/>
          <w:spacing w:val="0"/>
          <w:w w:val="100"/>
          <w:position w:val="0"/>
          <w:sz w:val="21"/>
          <w:highlight w:val="none"/>
        </w:rPr>
      </w:pPr>
    </w:p>
    <w:p w14:paraId="6886C6DF">
      <w:pPr>
        <w:spacing w:line="246" w:lineRule="auto"/>
        <w:rPr>
          <w:rFonts w:ascii="Arial"/>
          <w:color w:val="auto"/>
          <w:spacing w:val="0"/>
          <w:w w:val="100"/>
          <w:position w:val="0"/>
          <w:sz w:val="21"/>
          <w:highlight w:val="none"/>
        </w:rPr>
      </w:pPr>
    </w:p>
    <w:p w14:paraId="7DE44CB0">
      <w:pPr>
        <w:pStyle w:val="6"/>
        <w:spacing w:before="169" w:line="219" w:lineRule="auto"/>
        <w:ind w:left="1592"/>
        <w:outlineLvl w:val="0"/>
        <w:rPr>
          <w:color w:val="auto"/>
          <w:spacing w:val="0"/>
          <w:w w:val="100"/>
          <w:position w:val="0"/>
          <w:sz w:val="52"/>
          <w:szCs w:val="52"/>
          <w:highlight w:val="none"/>
        </w:rPr>
      </w:pPr>
      <w:bookmarkStart w:id="31" w:name="bookmark8"/>
      <w:bookmarkEnd w:id="31"/>
      <w:bookmarkStart w:id="32" w:name="bookmark29"/>
      <w:bookmarkEnd w:id="32"/>
      <w:r>
        <w:rPr>
          <w:b/>
          <w:bCs/>
          <w:color w:val="auto"/>
          <w:spacing w:val="0"/>
          <w:w w:val="100"/>
          <w:position w:val="0"/>
          <w:sz w:val="52"/>
          <w:szCs w:val="52"/>
          <w:highlight w:val="none"/>
        </w:rPr>
        <w:t>第六章</w:t>
      </w:r>
      <w:r>
        <w:rPr>
          <w:color w:val="auto"/>
          <w:spacing w:val="0"/>
          <w:w w:val="100"/>
          <w:position w:val="0"/>
          <w:sz w:val="52"/>
          <w:szCs w:val="52"/>
          <w:highlight w:val="none"/>
        </w:rPr>
        <w:t xml:space="preserve">  </w:t>
      </w:r>
      <w:r>
        <w:rPr>
          <w:b/>
          <w:bCs/>
          <w:color w:val="auto"/>
          <w:spacing w:val="0"/>
          <w:w w:val="100"/>
          <w:position w:val="0"/>
          <w:sz w:val="52"/>
          <w:szCs w:val="52"/>
          <w:highlight w:val="none"/>
        </w:rPr>
        <w:t>投标文件格式</w:t>
      </w:r>
    </w:p>
    <w:p w14:paraId="4684879D">
      <w:pPr>
        <w:spacing w:line="219" w:lineRule="auto"/>
        <w:rPr>
          <w:color w:val="auto"/>
          <w:spacing w:val="0"/>
          <w:w w:val="100"/>
          <w:position w:val="0"/>
          <w:sz w:val="52"/>
          <w:szCs w:val="52"/>
          <w:highlight w:val="none"/>
        </w:rPr>
        <w:sectPr>
          <w:footerReference r:id="rId55" w:type="default"/>
          <w:pgSz w:w="11900" w:h="16843"/>
          <w:pgMar w:top="1378" w:right="1417" w:bottom="1208" w:left="1417" w:header="1366" w:footer="1003" w:gutter="0"/>
          <w:pgNumType w:fmt="decimal"/>
          <w:cols w:space="0" w:num="1"/>
          <w:rtlGutter w:val="0"/>
          <w:docGrid w:linePitch="0" w:charSpace="0"/>
        </w:sectPr>
      </w:pPr>
    </w:p>
    <w:p w14:paraId="28A52367">
      <w:pPr>
        <w:spacing w:line="442" w:lineRule="auto"/>
        <w:rPr>
          <w:rFonts w:ascii="Arial"/>
          <w:color w:val="auto"/>
          <w:spacing w:val="0"/>
          <w:w w:val="100"/>
          <w:position w:val="0"/>
          <w:sz w:val="21"/>
          <w:highlight w:val="none"/>
        </w:rPr>
      </w:pPr>
    </w:p>
    <w:p w14:paraId="4F8B3DA6">
      <w:pPr>
        <w:pStyle w:val="6"/>
        <w:spacing w:before="117" w:line="219" w:lineRule="auto"/>
        <w:ind w:left="2388"/>
        <w:outlineLvl w:val="1"/>
        <w:rPr>
          <w:color w:val="auto"/>
          <w:spacing w:val="0"/>
          <w:w w:val="100"/>
          <w:position w:val="0"/>
          <w:sz w:val="36"/>
          <w:szCs w:val="36"/>
          <w:highlight w:val="none"/>
        </w:rPr>
      </w:pPr>
      <w:r>
        <w:rPr>
          <w:b/>
          <w:bCs/>
          <w:color w:val="auto"/>
          <w:spacing w:val="0"/>
          <w:w w:val="100"/>
          <w:position w:val="0"/>
          <w:sz w:val="36"/>
          <w:szCs w:val="36"/>
          <w:highlight w:val="none"/>
        </w:rPr>
        <w:t>第六章</w:t>
      </w:r>
      <w:r>
        <w:rPr>
          <w:color w:val="auto"/>
          <w:spacing w:val="0"/>
          <w:w w:val="100"/>
          <w:position w:val="0"/>
          <w:sz w:val="36"/>
          <w:szCs w:val="36"/>
          <w:highlight w:val="none"/>
        </w:rPr>
        <w:t xml:space="preserve">  </w:t>
      </w:r>
      <w:r>
        <w:rPr>
          <w:b/>
          <w:bCs/>
          <w:color w:val="auto"/>
          <w:spacing w:val="0"/>
          <w:w w:val="100"/>
          <w:position w:val="0"/>
          <w:sz w:val="36"/>
          <w:szCs w:val="36"/>
          <w:highlight w:val="none"/>
        </w:rPr>
        <w:t>投标文件格式</w:t>
      </w:r>
    </w:p>
    <w:p w14:paraId="2EBFE6DD">
      <w:pPr>
        <w:spacing w:line="387" w:lineRule="auto"/>
        <w:rPr>
          <w:rFonts w:ascii="Arial"/>
          <w:color w:val="auto"/>
          <w:spacing w:val="0"/>
          <w:w w:val="100"/>
          <w:position w:val="0"/>
          <w:sz w:val="21"/>
          <w:highlight w:val="none"/>
        </w:rPr>
      </w:pPr>
    </w:p>
    <w:p w14:paraId="48DCD5C3">
      <w:pPr>
        <w:pStyle w:val="6"/>
        <w:tabs>
          <w:tab w:val="left" w:pos="3012"/>
        </w:tabs>
        <w:spacing w:before="117" w:line="219" w:lineRule="auto"/>
        <w:ind w:left="1751"/>
        <w:rPr>
          <w:color w:val="auto"/>
          <w:spacing w:val="0"/>
          <w:w w:val="100"/>
          <w:position w:val="0"/>
          <w:sz w:val="36"/>
          <w:szCs w:val="36"/>
          <w:highlight w:val="none"/>
        </w:rPr>
      </w:pPr>
      <w:r>
        <w:rPr>
          <w:color w:val="auto"/>
          <w:spacing w:val="0"/>
          <w:w w:val="100"/>
          <w:position w:val="0"/>
          <w:sz w:val="36"/>
          <w:szCs w:val="36"/>
          <w:highlight w:val="none"/>
          <w:u w:val="single" w:color="auto"/>
        </w:rPr>
        <w:tab/>
      </w:r>
      <w:r>
        <w:rPr>
          <w:color w:val="auto"/>
          <w:spacing w:val="0"/>
          <w:w w:val="100"/>
          <w:position w:val="0"/>
          <w:sz w:val="36"/>
          <w:szCs w:val="36"/>
          <w:highlight w:val="none"/>
        </w:rPr>
        <w:t xml:space="preserve"> 省（自治区、直辖市）</w:t>
      </w:r>
    </w:p>
    <w:p w14:paraId="2CFDB5DE">
      <w:pPr>
        <w:spacing w:line="387" w:lineRule="auto"/>
        <w:rPr>
          <w:rFonts w:ascii="Arial"/>
          <w:color w:val="auto"/>
          <w:spacing w:val="0"/>
          <w:w w:val="100"/>
          <w:position w:val="0"/>
          <w:sz w:val="21"/>
          <w:highlight w:val="none"/>
        </w:rPr>
      </w:pPr>
    </w:p>
    <w:p w14:paraId="6C43EF38">
      <w:pPr>
        <w:pStyle w:val="6"/>
        <w:tabs>
          <w:tab w:val="left" w:pos="2188"/>
        </w:tabs>
        <w:spacing w:before="117" w:line="219" w:lineRule="auto"/>
        <w:ind w:left="28"/>
        <w:rPr>
          <w:color w:val="auto"/>
          <w:spacing w:val="0"/>
          <w:w w:val="100"/>
          <w:position w:val="0"/>
          <w:sz w:val="36"/>
          <w:szCs w:val="36"/>
          <w:highlight w:val="none"/>
        </w:rPr>
      </w:pPr>
      <w:r>
        <w:rPr>
          <w:color w:val="auto"/>
          <w:spacing w:val="0"/>
          <w:w w:val="100"/>
          <w:position w:val="0"/>
          <w:sz w:val="36"/>
          <w:szCs w:val="36"/>
          <w:highlight w:val="none"/>
          <w:u w:val="single" w:color="auto"/>
        </w:rPr>
        <w:tab/>
      </w:r>
      <w:r>
        <w:rPr>
          <w:rFonts w:hint="eastAsia"/>
          <w:color w:val="auto"/>
          <w:spacing w:val="0"/>
          <w:w w:val="100"/>
          <w:position w:val="0"/>
          <w:sz w:val="36"/>
          <w:szCs w:val="36"/>
          <w:highlight w:val="none"/>
          <w:u w:val="single" w:color="auto"/>
          <w:lang w:val="en-US" w:eastAsia="zh-CN"/>
        </w:rPr>
        <w:t xml:space="preserve">    </w:t>
      </w:r>
      <w:r>
        <w:rPr>
          <w:color w:val="auto"/>
          <w:spacing w:val="0"/>
          <w:w w:val="100"/>
          <w:position w:val="0"/>
          <w:sz w:val="36"/>
          <w:szCs w:val="36"/>
          <w:highlight w:val="none"/>
        </w:rPr>
        <w:t>（项目名称）</w:t>
      </w:r>
      <w:r>
        <w:rPr>
          <w:color w:val="auto"/>
          <w:spacing w:val="0"/>
          <w:w w:val="100"/>
          <w:position w:val="0"/>
          <w:sz w:val="36"/>
          <w:szCs w:val="36"/>
          <w:highlight w:val="none"/>
          <w:u w:val="single" w:color="auto"/>
        </w:rPr>
        <w:t xml:space="preserve">     </w:t>
      </w:r>
      <w:r>
        <w:rPr>
          <w:rFonts w:hint="eastAsia"/>
          <w:color w:val="auto"/>
          <w:spacing w:val="0"/>
          <w:w w:val="100"/>
          <w:position w:val="0"/>
          <w:sz w:val="36"/>
          <w:szCs w:val="36"/>
          <w:highlight w:val="none"/>
          <w:u w:val="single" w:color="auto"/>
          <w:lang w:val="en-US" w:eastAsia="zh-CN"/>
        </w:rPr>
        <w:t xml:space="preserve">      </w:t>
      </w:r>
      <w:r>
        <w:rPr>
          <w:color w:val="auto"/>
          <w:spacing w:val="0"/>
          <w:w w:val="100"/>
          <w:position w:val="0"/>
          <w:sz w:val="36"/>
          <w:szCs w:val="36"/>
          <w:highlight w:val="none"/>
          <w:u w:val="single" w:color="auto"/>
        </w:rPr>
        <w:t xml:space="preserve"> </w:t>
      </w:r>
      <w:r>
        <w:rPr>
          <w:color w:val="auto"/>
          <w:spacing w:val="0"/>
          <w:w w:val="100"/>
          <w:position w:val="0"/>
          <w:sz w:val="36"/>
          <w:szCs w:val="36"/>
          <w:highlight w:val="none"/>
        </w:rPr>
        <w:t>标段</w:t>
      </w:r>
    </w:p>
    <w:p w14:paraId="4FBD4A47">
      <w:pPr>
        <w:spacing w:line="253" w:lineRule="auto"/>
        <w:rPr>
          <w:rFonts w:ascii="Arial"/>
          <w:color w:val="auto"/>
          <w:spacing w:val="0"/>
          <w:w w:val="100"/>
          <w:position w:val="0"/>
          <w:sz w:val="21"/>
          <w:highlight w:val="none"/>
        </w:rPr>
      </w:pPr>
    </w:p>
    <w:p w14:paraId="608DFF61">
      <w:pPr>
        <w:spacing w:line="254" w:lineRule="auto"/>
        <w:rPr>
          <w:rFonts w:ascii="Arial"/>
          <w:color w:val="auto"/>
          <w:spacing w:val="0"/>
          <w:w w:val="100"/>
          <w:position w:val="0"/>
          <w:sz w:val="21"/>
          <w:highlight w:val="none"/>
        </w:rPr>
      </w:pPr>
    </w:p>
    <w:p w14:paraId="5E0E7E14">
      <w:pPr>
        <w:spacing w:line="254" w:lineRule="auto"/>
        <w:rPr>
          <w:rFonts w:ascii="Arial"/>
          <w:color w:val="auto"/>
          <w:spacing w:val="0"/>
          <w:w w:val="100"/>
          <w:position w:val="0"/>
          <w:sz w:val="21"/>
          <w:highlight w:val="none"/>
        </w:rPr>
      </w:pPr>
    </w:p>
    <w:p w14:paraId="6E070DEE">
      <w:pPr>
        <w:spacing w:line="254" w:lineRule="auto"/>
        <w:rPr>
          <w:rFonts w:ascii="Arial"/>
          <w:color w:val="auto"/>
          <w:spacing w:val="0"/>
          <w:w w:val="100"/>
          <w:position w:val="0"/>
          <w:sz w:val="21"/>
          <w:highlight w:val="none"/>
        </w:rPr>
      </w:pPr>
    </w:p>
    <w:p w14:paraId="79ECB460">
      <w:pPr>
        <w:spacing w:line="254" w:lineRule="auto"/>
        <w:rPr>
          <w:rFonts w:ascii="Arial"/>
          <w:color w:val="auto"/>
          <w:spacing w:val="0"/>
          <w:w w:val="100"/>
          <w:position w:val="0"/>
          <w:sz w:val="21"/>
          <w:highlight w:val="none"/>
        </w:rPr>
      </w:pPr>
    </w:p>
    <w:p w14:paraId="2D4BE394">
      <w:pPr>
        <w:spacing w:line="254" w:lineRule="auto"/>
        <w:rPr>
          <w:rFonts w:ascii="Arial"/>
          <w:color w:val="auto"/>
          <w:spacing w:val="0"/>
          <w:w w:val="100"/>
          <w:position w:val="0"/>
          <w:sz w:val="21"/>
          <w:highlight w:val="none"/>
        </w:rPr>
      </w:pPr>
    </w:p>
    <w:p w14:paraId="083EF3F0">
      <w:pPr>
        <w:spacing w:line="254" w:lineRule="auto"/>
        <w:rPr>
          <w:rFonts w:ascii="Arial"/>
          <w:color w:val="auto"/>
          <w:spacing w:val="0"/>
          <w:w w:val="100"/>
          <w:position w:val="0"/>
          <w:sz w:val="21"/>
          <w:highlight w:val="none"/>
        </w:rPr>
      </w:pPr>
    </w:p>
    <w:p w14:paraId="50720089">
      <w:pPr>
        <w:spacing w:line="254" w:lineRule="auto"/>
        <w:rPr>
          <w:rFonts w:ascii="Arial"/>
          <w:color w:val="auto"/>
          <w:spacing w:val="0"/>
          <w:w w:val="100"/>
          <w:position w:val="0"/>
          <w:sz w:val="21"/>
          <w:highlight w:val="none"/>
        </w:rPr>
      </w:pPr>
    </w:p>
    <w:p w14:paraId="553D07A6">
      <w:pPr>
        <w:spacing w:line="254" w:lineRule="auto"/>
        <w:rPr>
          <w:rFonts w:ascii="Arial"/>
          <w:color w:val="auto"/>
          <w:spacing w:val="0"/>
          <w:w w:val="100"/>
          <w:position w:val="0"/>
          <w:sz w:val="21"/>
          <w:highlight w:val="none"/>
        </w:rPr>
      </w:pPr>
    </w:p>
    <w:p w14:paraId="1D2D8B07">
      <w:pPr>
        <w:spacing w:line="254" w:lineRule="auto"/>
        <w:rPr>
          <w:rFonts w:ascii="Arial"/>
          <w:color w:val="auto"/>
          <w:spacing w:val="0"/>
          <w:w w:val="100"/>
          <w:position w:val="0"/>
          <w:sz w:val="21"/>
          <w:highlight w:val="none"/>
        </w:rPr>
      </w:pPr>
    </w:p>
    <w:p w14:paraId="225FD648">
      <w:pPr>
        <w:spacing w:line="254" w:lineRule="auto"/>
        <w:rPr>
          <w:rFonts w:ascii="Arial"/>
          <w:color w:val="auto"/>
          <w:spacing w:val="0"/>
          <w:w w:val="100"/>
          <w:position w:val="0"/>
          <w:sz w:val="21"/>
          <w:highlight w:val="none"/>
        </w:rPr>
      </w:pPr>
    </w:p>
    <w:p w14:paraId="5F965B0F">
      <w:pPr>
        <w:pStyle w:val="6"/>
        <w:spacing w:before="234" w:line="219" w:lineRule="auto"/>
        <w:ind w:left="2216"/>
        <w:outlineLvl w:val="1"/>
        <w:rPr>
          <w:color w:val="auto"/>
          <w:spacing w:val="0"/>
          <w:w w:val="100"/>
          <w:position w:val="0"/>
          <w:sz w:val="72"/>
          <w:szCs w:val="72"/>
          <w:highlight w:val="none"/>
        </w:rPr>
      </w:pPr>
      <w:bookmarkStart w:id="33" w:name="bookmark55"/>
      <w:bookmarkEnd w:id="33"/>
      <w:r>
        <w:rPr>
          <w:b/>
          <w:bCs/>
          <w:color w:val="auto"/>
          <w:spacing w:val="0"/>
          <w:w w:val="100"/>
          <w:position w:val="0"/>
          <w:sz w:val="72"/>
          <w:szCs w:val="72"/>
          <w:highlight w:val="none"/>
        </w:rPr>
        <w:t>投</w:t>
      </w:r>
      <w:r>
        <w:rPr>
          <w:color w:val="auto"/>
          <w:spacing w:val="0"/>
          <w:w w:val="100"/>
          <w:position w:val="0"/>
          <w:sz w:val="72"/>
          <w:szCs w:val="72"/>
          <w:highlight w:val="none"/>
        </w:rPr>
        <w:t xml:space="preserve"> </w:t>
      </w:r>
      <w:r>
        <w:rPr>
          <w:b/>
          <w:bCs/>
          <w:color w:val="auto"/>
          <w:spacing w:val="0"/>
          <w:w w:val="100"/>
          <w:position w:val="0"/>
          <w:sz w:val="72"/>
          <w:szCs w:val="72"/>
          <w:highlight w:val="none"/>
        </w:rPr>
        <w:t>标</w:t>
      </w:r>
      <w:r>
        <w:rPr>
          <w:color w:val="auto"/>
          <w:spacing w:val="0"/>
          <w:w w:val="100"/>
          <w:position w:val="0"/>
          <w:sz w:val="72"/>
          <w:szCs w:val="72"/>
          <w:highlight w:val="none"/>
        </w:rPr>
        <w:t xml:space="preserve"> </w:t>
      </w:r>
      <w:r>
        <w:rPr>
          <w:b/>
          <w:bCs/>
          <w:color w:val="auto"/>
          <w:spacing w:val="0"/>
          <w:w w:val="100"/>
          <w:position w:val="0"/>
          <w:sz w:val="72"/>
          <w:szCs w:val="72"/>
          <w:highlight w:val="none"/>
        </w:rPr>
        <w:t>文</w:t>
      </w:r>
      <w:r>
        <w:rPr>
          <w:color w:val="auto"/>
          <w:spacing w:val="0"/>
          <w:w w:val="100"/>
          <w:position w:val="0"/>
          <w:sz w:val="72"/>
          <w:szCs w:val="72"/>
          <w:highlight w:val="none"/>
        </w:rPr>
        <w:t xml:space="preserve"> </w:t>
      </w:r>
      <w:r>
        <w:rPr>
          <w:b/>
          <w:bCs/>
          <w:color w:val="auto"/>
          <w:spacing w:val="0"/>
          <w:w w:val="100"/>
          <w:position w:val="0"/>
          <w:sz w:val="72"/>
          <w:szCs w:val="72"/>
          <w:highlight w:val="none"/>
        </w:rPr>
        <w:t>件</w:t>
      </w:r>
    </w:p>
    <w:p w14:paraId="24552830">
      <w:pPr>
        <w:spacing w:line="375" w:lineRule="auto"/>
        <w:rPr>
          <w:rFonts w:ascii="Arial"/>
          <w:color w:val="auto"/>
          <w:spacing w:val="0"/>
          <w:w w:val="100"/>
          <w:position w:val="0"/>
          <w:sz w:val="21"/>
          <w:highlight w:val="none"/>
        </w:rPr>
      </w:pPr>
    </w:p>
    <w:p w14:paraId="21F6716E">
      <w:pPr>
        <w:pStyle w:val="6"/>
        <w:spacing w:before="117" w:line="218" w:lineRule="auto"/>
        <w:ind w:left="3134"/>
        <w:rPr>
          <w:color w:val="auto"/>
          <w:spacing w:val="0"/>
          <w:w w:val="100"/>
          <w:position w:val="0"/>
          <w:sz w:val="36"/>
          <w:szCs w:val="36"/>
          <w:highlight w:val="none"/>
        </w:rPr>
      </w:pPr>
      <w:r>
        <w:rPr>
          <w:b/>
          <w:bCs/>
          <w:color w:val="auto"/>
          <w:spacing w:val="0"/>
          <w:w w:val="100"/>
          <w:position w:val="0"/>
          <w:sz w:val="36"/>
          <w:szCs w:val="36"/>
          <w:highlight w:val="none"/>
        </w:rPr>
        <w:t>（商务</w:t>
      </w:r>
      <w:r>
        <w:rPr>
          <w:rFonts w:hint="eastAsia"/>
          <w:b/>
          <w:bCs/>
          <w:color w:val="auto"/>
          <w:spacing w:val="0"/>
          <w:w w:val="100"/>
          <w:position w:val="0"/>
          <w:sz w:val="36"/>
          <w:szCs w:val="36"/>
          <w:highlight w:val="none"/>
          <w:lang w:val="en-US" w:eastAsia="zh-CN"/>
        </w:rPr>
        <w:t>及技术</w:t>
      </w:r>
      <w:r>
        <w:rPr>
          <w:b/>
          <w:bCs/>
          <w:color w:val="auto"/>
          <w:spacing w:val="0"/>
          <w:w w:val="100"/>
          <w:position w:val="0"/>
          <w:sz w:val="36"/>
          <w:szCs w:val="36"/>
          <w:highlight w:val="none"/>
        </w:rPr>
        <w:t>文件）</w:t>
      </w:r>
    </w:p>
    <w:p w14:paraId="7C28AF40">
      <w:pPr>
        <w:spacing w:line="241" w:lineRule="auto"/>
        <w:rPr>
          <w:rFonts w:ascii="Arial"/>
          <w:color w:val="auto"/>
          <w:spacing w:val="0"/>
          <w:w w:val="100"/>
          <w:position w:val="0"/>
          <w:sz w:val="21"/>
          <w:highlight w:val="none"/>
        </w:rPr>
      </w:pPr>
    </w:p>
    <w:p w14:paraId="61A28746">
      <w:pPr>
        <w:spacing w:line="241" w:lineRule="auto"/>
        <w:rPr>
          <w:rFonts w:ascii="Arial"/>
          <w:color w:val="auto"/>
          <w:spacing w:val="0"/>
          <w:w w:val="100"/>
          <w:position w:val="0"/>
          <w:sz w:val="21"/>
          <w:highlight w:val="none"/>
        </w:rPr>
      </w:pPr>
    </w:p>
    <w:p w14:paraId="59C62036">
      <w:pPr>
        <w:spacing w:line="241" w:lineRule="auto"/>
        <w:rPr>
          <w:rFonts w:ascii="Arial"/>
          <w:color w:val="auto"/>
          <w:spacing w:val="0"/>
          <w:w w:val="100"/>
          <w:position w:val="0"/>
          <w:sz w:val="21"/>
          <w:highlight w:val="none"/>
        </w:rPr>
      </w:pPr>
    </w:p>
    <w:p w14:paraId="0EE62940">
      <w:pPr>
        <w:spacing w:line="241" w:lineRule="auto"/>
        <w:rPr>
          <w:rFonts w:ascii="Arial"/>
          <w:color w:val="auto"/>
          <w:spacing w:val="0"/>
          <w:w w:val="100"/>
          <w:position w:val="0"/>
          <w:sz w:val="21"/>
          <w:highlight w:val="none"/>
        </w:rPr>
      </w:pPr>
    </w:p>
    <w:p w14:paraId="48B57074">
      <w:pPr>
        <w:spacing w:line="241" w:lineRule="auto"/>
        <w:rPr>
          <w:rFonts w:ascii="Arial"/>
          <w:color w:val="auto"/>
          <w:spacing w:val="0"/>
          <w:w w:val="100"/>
          <w:position w:val="0"/>
          <w:sz w:val="21"/>
          <w:highlight w:val="none"/>
        </w:rPr>
      </w:pPr>
    </w:p>
    <w:p w14:paraId="4C68BABA">
      <w:pPr>
        <w:spacing w:line="241" w:lineRule="auto"/>
        <w:rPr>
          <w:rFonts w:ascii="Arial"/>
          <w:color w:val="auto"/>
          <w:spacing w:val="0"/>
          <w:w w:val="100"/>
          <w:position w:val="0"/>
          <w:sz w:val="21"/>
          <w:highlight w:val="none"/>
        </w:rPr>
      </w:pPr>
    </w:p>
    <w:p w14:paraId="2FE7504F">
      <w:pPr>
        <w:spacing w:line="241" w:lineRule="auto"/>
        <w:rPr>
          <w:rFonts w:ascii="Arial"/>
          <w:color w:val="auto"/>
          <w:spacing w:val="0"/>
          <w:w w:val="100"/>
          <w:position w:val="0"/>
          <w:sz w:val="21"/>
          <w:highlight w:val="none"/>
        </w:rPr>
      </w:pPr>
    </w:p>
    <w:p w14:paraId="0EE3024F">
      <w:pPr>
        <w:spacing w:line="241" w:lineRule="auto"/>
        <w:rPr>
          <w:rFonts w:ascii="Arial"/>
          <w:color w:val="auto"/>
          <w:spacing w:val="0"/>
          <w:w w:val="100"/>
          <w:position w:val="0"/>
          <w:sz w:val="21"/>
          <w:highlight w:val="none"/>
        </w:rPr>
      </w:pPr>
    </w:p>
    <w:p w14:paraId="3C82C89D">
      <w:pPr>
        <w:spacing w:line="241" w:lineRule="auto"/>
        <w:rPr>
          <w:rFonts w:ascii="Arial"/>
          <w:color w:val="auto"/>
          <w:spacing w:val="0"/>
          <w:w w:val="100"/>
          <w:position w:val="0"/>
          <w:sz w:val="21"/>
          <w:highlight w:val="none"/>
        </w:rPr>
      </w:pPr>
    </w:p>
    <w:p w14:paraId="4023B6F6">
      <w:pPr>
        <w:spacing w:line="241" w:lineRule="auto"/>
        <w:rPr>
          <w:rFonts w:ascii="Arial"/>
          <w:color w:val="auto"/>
          <w:spacing w:val="0"/>
          <w:w w:val="100"/>
          <w:position w:val="0"/>
          <w:sz w:val="21"/>
          <w:highlight w:val="none"/>
        </w:rPr>
      </w:pPr>
    </w:p>
    <w:p w14:paraId="5EA38226">
      <w:pPr>
        <w:spacing w:line="241" w:lineRule="auto"/>
        <w:rPr>
          <w:rFonts w:ascii="Arial"/>
          <w:color w:val="auto"/>
          <w:spacing w:val="0"/>
          <w:w w:val="100"/>
          <w:position w:val="0"/>
          <w:sz w:val="21"/>
          <w:highlight w:val="none"/>
        </w:rPr>
      </w:pPr>
    </w:p>
    <w:p w14:paraId="49A880F4">
      <w:pPr>
        <w:spacing w:line="241" w:lineRule="auto"/>
        <w:rPr>
          <w:rFonts w:ascii="Arial"/>
          <w:color w:val="auto"/>
          <w:spacing w:val="0"/>
          <w:w w:val="100"/>
          <w:position w:val="0"/>
          <w:sz w:val="21"/>
          <w:highlight w:val="none"/>
        </w:rPr>
      </w:pPr>
    </w:p>
    <w:p w14:paraId="64F96333">
      <w:pPr>
        <w:spacing w:line="242" w:lineRule="auto"/>
        <w:rPr>
          <w:rFonts w:ascii="Arial"/>
          <w:color w:val="auto"/>
          <w:spacing w:val="0"/>
          <w:w w:val="100"/>
          <w:position w:val="0"/>
          <w:sz w:val="21"/>
          <w:highlight w:val="none"/>
        </w:rPr>
      </w:pPr>
    </w:p>
    <w:p w14:paraId="64B19054">
      <w:pPr>
        <w:spacing w:line="242" w:lineRule="auto"/>
        <w:rPr>
          <w:rFonts w:ascii="Arial"/>
          <w:color w:val="auto"/>
          <w:spacing w:val="0"/>
          <w:w w:val="100"/>
          <w:position w:val="0"/>
          <w:sz w:val="21"/>
          <w:highlight w:val="none"/>
        </w:rPr>
      </w:pPr>
    </w:p>
    <w:p w14:paraId="3F3D9CF8">
      <w:pPr>
        <w:spacing w:line="242" w:lineRule="auto"/>
        <w:rPr>
          <w:rFonts w:ascii="Arial"/>
          <w:color w:val="auto"/>
          <w:spacing w:val="0"/>
          <w:w w:val="100"/>
          <w:position w:val="0"/>
          <w:sz w:val="21"/>
          <w:highlight w:val="none"/>
        </w:rPr>
      </w:pPr>
    </w:p>
    <w:p w14:paraId="6722F48F">
      <w:pPr>
        <w:spacing w:line="242" w:lineRule="auto"/>
        <w:rPr>
          <w:rFonts w:ascii="Arial"/>
          <w:color w:val="auto"/>
          <w:spacing w:val="0"/>
          <w:w w:val="100"/>
          <w:position w:val="0"/>
          <w:sz w:val="21"/>
          <w:highlight w:val="none"/>
        </w:rPr>
      </w:pPr>
    </w:p>
    <w:p w14:paraId="589FB68C">
      <w:pPr>
        <w:spacing w:line="242" w:lineRule="auto"/>
        <w:rPr>
          <w:rFonts w:ascii="Arial"/>
          <w:color w:val="auto"/>
          <w:spacing w:val="0"/>
          <w:w w:val="100"/>
          <w:position w:val="0"/>
          <w:sz w:val="21"/>
          <w:highlight w:val="none"/>
        </w:rPr>
      </w:pPr>
    </w:p>
    <w:p w14:paraId="4E4430D8">
      <w:pPr>
        <w:pStyle w:val="6"/>
        <w:spacing w:before="101" w:line="224" w:lineRule="auto"/>
        <w:ind w:left="432"/>
        <w:rPr>
          <w:color w:val="auto"/>
          <w:spacing w:val="0"/>
          <w:w w:val="100"/>
          <w:position w:val="0"/>
          <w:highlight w:val="none"/>
        </w:rPr>
      </w:pPr>
      <w:r>
        <w:rPr>
          <w:color w:val="auto"/>
          <w:spacing w:val="0"/>
          <w:w w:val="100"/>
          <w:position w:val="0"/>
          <w:highlight w:val="none"/>
        </w:rPr>
        <w:t xml:space="preserve">投标人： </w:t>
      </w:r>
      <w:r>
        <w:rPr>
          <w:color w:val="auto"/>
          <w:spacing w:val="0"/>
          <w:w w:val="100"/>
          <w:position w:val="0"/>
          <w:highlight w:val="none"/>
          <w:u w:val="single" w:color="auto"/>
        </w:rPr>
        <w:t xml:space="preserve">                           </w:t>
      </w:r>
      <w:r>
        <w:rPr>
          <w:color w:val="auto"/>
          <w:spacing w:val="0"/>
          <w:w w:val="100"/>
          <w:position w:val="0"/>
          <w:highlight w:val="none"/>
        </w:rPr>
        <w:t xml:space="preserve"> （盖单位章）</w:t>
      </w:r>
    </w:p>
    <w:p w14:paraId="527A8CE8">
      <w:pPr>
        <w:pStyle w:val="6"/>
        <w:tabs>
          <w:tab w:val="left" w:pos="3226"/>
        </w:tabs>
        <w:spacing w:before="247" w:line="226" w:lineRule="auto"/>
        <w:ind w:left="1622"/>
        <w:rPr>
          <w:color w:val="auto"/>
          <w:spacing w:val="0"/>
          <w:w w:val="100"/>
          <w:position w:val="0"/>
          <w:highlight w:val="none"/>
        </w:rPr>
      </w:pPr>
      <w:r>
        <w:rPr>
          <w:color w:val="auto"/>
          <w:spacing w:val="0"/>
          <w:w w:val="100"/>
          <w:position w:val="0"/>
          <w:highlight w:val="none"/>
          <w:u w:val="single" w:color="auto"/>
        </w:rPr>
        <w:tab/>
      </w:r>
      <w:r>
        <w:rPr>
          <w:color w:val="auto"/>
          <w:spacing w:val="0"/>
          <w:w w:val="100"/>
          <w:position w:val="0"/>
          <w:highlight w:val="none"/>
        </w:rPr>
        <w:t xml:space="preserve"> 年</w:t>
      </w:r>
      <w:r>
        <w:rPr>
          <w:color w:val="auto"/>
          <w:spacing w:val="0"/>
          <w:w w:val="100"/>
          <w:position w:val="0"/>
          <w:highlight w:val="none"/>
          <w:u w:val="single" w:color="auto"/>
        </w:rPr>
        <w:t xml:space="preserve">        </w:t>
      </w:r>
      <w:r>
        <w:rPr>
          <w:color w:val="auto"/>
          <w:spacing w:val="0"/>
          <w:w w:val="100"/>
          <w:position w:val="0"/>
          <w:highlight w:val="none"/>
        </w:rPr>
        <w:t xml:space="preserve"> 月</w:t>
      </w:r>
      <w:r>
        <w:rPr>
          <w:color w:val="auto"/>
          <w:spacing w:val="0"/>
          <w:w w:val="100"/>
          <w:position w:val="0"/>
          <w:highlight w:val="none"/>
          <w:u w:val="single" w:color="auto"/>
        </w:rPr>
        <w:t xml:space="preserve">        </w:t>
      </w:r>
      <w:r>
        <w:rPr>
          <w:color w:val="auto"/>
          <w:spacing w:val="0"/>
          <w:w w:val="100"/>
          <w:position w:val="0"/>
          <w:highlight w:val="none"/>
        </w:rPr>
        <w:t xml:space="preserve"> 日</w:t>
      </w:r>
    </w:p>
    <w:p w14:paraId="0AD1336F">
      <w:pPr>
        <w:spacing w:line="226" w:lineRule="auto"/>
        <w:rPr>
          <w:color w:val="auto"/>
          <w:spacing w:val="0"/>
          <w:w w:val="100"/>
          <w:position w:val="0"/>
          <w:highlight w:val="none"/>
        </w:rPr>
        <w:sectPr>
          <w:footerReference r:id="rId56" w:type="default"/>
          <w:pgSz w:w="11900" w:h="16843"/>
          <w:pgMar w:top="1378" w:right="1417" w:bottom="1208" w:left="1417" w:header="1366" w:footer="1003" w:gutter="0"/>
          <w:pgNumType w:fmt="decimal"/>
          <w:cols w:space="0" w:num="1"/>
          <w:rtlGutter w:val="0"/>
          <w:docGrid w:linePitch="0" w:charSpace="0"/>
        </w:sectPr>
      </w:pPr>
    </w:p>
    <w:p w14:paraId="4AA6E48F">
      <w:pPr>
        <w:pStyle w:val="6"/>
        <w:spacing w:before="101" w:line="224" w:lineRule="auto"/>
        <w:ind w:left="3592"/>
        <w:outlineLvl w:val="2"/>
        <w:rPr>
          <w:color w:val="auto"/>
          <w:spacing w:val="0"/>
          <w:w w:val="100"/>
          <w:position w:val="0"/>
          <w:highlight w:val="none"/>
        </w:rPr>
      </w:pPr>
      <w:r>
        <w:rPr>
          <w:b/>
          <w:bCs/>
          <w:color w:val="auto"/>
          <w:spacing w:val="0"/>
          <w:w w:val="100"/>
          <w:position w:val="0"/>
          <w:highlight w:val="none"/>
        </w:rPr>
        <w:t>目</w:t>
      </w:r>
      <w:r>
        <w:rPr>
          <w:color w:val="auto"/>
          <w:spacing w:val="0"/>
          <w:w w:val="100"/>
          <w:position w:val="0"/>
          <w:highlight w:val="none"/>
        </w:rPr>
        <w:t xml:space="preserve">    </w:t>
      </w:r>
      <w:r>
        <w:rPr>
          <w:b/>
          <w:bCs/>
          <w:color w:val="auto"/>
          <w:spacing w:val="0"/>
          <w:w w:val="100"/>
          <w:position w:val="0"/>
          <w:highlight w:val="none"/>
        </w:rPr>
        <w:t>录</w:t>
      </w:r>
    </w:p>
    <w:p w14:paraId="276E7277">
      <w:pPr>
        <w:spacing w:line="348" w:lineRule="auto"/>
        <w:rPr>
          <w:rFonts w:ascii="Arial"/>
          <w:color w:val="auto"/>
          <w:spacing w:val="0"/>
          <w:w w:val="100"/>
          <w:position w:val="0"/>
          <w:sz w:val="21"/>
          <w:highlight w:val="none"/>
        </w:rPr>
      </w:pPr>
    </w:p>
    <w:p w14:paraId="56E12D7F">
      <w:pPr>
        <w:spacing w:line="348" w:lineRule="auto"/>
        <w:rPr>
          <w:rFonts w:ascii="Arial"/>
          <w:color w:val="auto"/>
          <w:spacing w:val="0"/>
          <w:w w:val="100"/>
          <w:position w:val="0"/>
          <w:sz w:val="21"/>
          <w:highlight w:val="none"/>
        </w:rPr>
      </w:pPr>
    </w:p>
    <w:p w14:paraId="0DB89FF4">
      <w:pPr>
        <w:spacing w:before="78" w:line="220" w:lineRule="auto"/>
        <w:ind w:left="521"/>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一、投标函</w:t>
      </w:r>
    </w:p>
    <w:p w14:paraId="644F0566">
      <w:pPr>
        <w:spacing w:before="179" w:line="219" w:lineRule="auto"/>
        <w:ind w:left="521"/>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二、授权委托书或法定代表人身份证明</w:t>
      </w:r>
    </w:p>
    <w:p w14:paraId="2803717B">
      <w:pPr>
        <w:spacing w:before="181" w:line="220" w:lineRule="auto"/>
        <w:ind w:left="540"/>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三、投标保证金</w:t>
      </w:r>
    </w:p>
    <w:p w14:paraId="34D45D1A">
      <w:pPr>
        <w:spacing w:before="181" w:line="219" w:lineRule="auto"/>
        <w:ind w:left="521"/>
        <w:rPr>
          <w:rFonts w:hint="default" w:ascii="宋体" w:hAnsi="宋体" w:eastAsia="宋体" w:cs="宋体"/>
          <w:color w:val="auto"/>
          <w:spacing w:val="0"/>
          <w:w w:val="100"/>
          <w:position w:val="0"/>
          <w:sz w:val="24"/>
          <w:szCs w:val="24"/>
          <w:highlight w:val="none"/>
          <w:lang w:val="en-US" w:eastAsia="zh-CN"/>
        </w:rPr>
      </w:pPr>
      <w:r>
        <w:rPr>
          <w:rFonts w:hint="eastAsia" w:ascii="宋体" w:hAnsi="宋体" w:eastAsia="宋体" w:cs="宋体"/>
          <w:color w:val="auto"/>
          <w:spacing w:val="0"/>
          <w:w w:val="100"/>
          <w:position w:val="0"/>
          <w:sz w:val="24"/>
          <w:szCs w:val="24"/>
          <w:highlight w:val="none"/>
          <w:lang w:val="en-US" w:eastAsia="zh-CN"/>
        </w:rPr>
        <w:t>四</w:t>
      </w:r>
      <w:r>
        <w:rPr>
          <w:rFonts w:ascii="宋体" w:hAnsi="宋体" w:eastAsia="宋体" w:cs="宋体"/>
          <w:color w:val="auto"/>
          <w:spacing w:val="0"/>
          <w:w w:val="100"/>
          <w:position w:val="0"/>
          <w:sz w:val="24"/>
          <w:szCs w:val="24"/>
          <w:highlight w:val="none"/>
        </w:rPr>
        <w:t>、</w:t>
      </w:r>
      <w:r>
        <w:rPr>
          <w:rFonts w:hint="eastAsia" w:ascii="宋体" w:hAnsi="宋体" w:eastAsia="宋体" w:cs="宋体"/>
          <w:color w:val="auto"/>
          <w:spacing w:val="0"/>
          <w:w w:val="100"/>
          <w:position w:val="0"/>
          <w:sz w:val="24"/>
          <w:szCs w:val="24"/>
          <w:highlight w:val="none"/>
          <w:lang w:val="en-US" w:eastAsia="zh-CN"/>
        </w:rPr>
        <w:t>联合体协议书</w:t>
      </w:r>
    </w:p>
    <w:p w14:paraId="116B7CB8">
      <w:pPr>
        <w:spacing w:before="181" w:line="219" w:lineRule="auto"/>
        <w:ind w:left="521"/>
        <w:rPr>
          <w:rFonts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五、</w:t>
      </w:r>
      <w:r>
        <w:rPr>
          <w:rFonts w:ascii="宋体" w:hAnsi="宋体" w:eastAsia="宋体" w:cs="宋体"/>
          <w:color w:val="auto"/>
          <w:spacing w:val="0"/>
          <w:w w:val="100"/>
          <w:position w:val="0"/>
          <w:sz w:val="24"/>
          <w:szCs w:val="24"/>
          <w:highlight w:val="none"/>
        </w:rPr>
        <w:t>拟分包项目情况表</w:t>
      </w:r>
    </w:p>
    <w:p w14:paraId="50773F3F">
      <w:pPr>
        <w:spacing w:before="181" w:line="220" w:lineRule="auto"/>
        <w:ind w:left="520"/>
        <w:rPr>
          <w:rFonts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六</w:t>
      </w:r>
      <w:r>
        <w:rPr>
          <w:rFonts w:ascii="宋体" w:hAnsi="宋体" w:eastAsia="宋体" w:cs="宋体"/>
          <w:color w:val="auto"/>
          <w:spacing w:val="0"/>
          <w:w w:val="100"/>
          <w:position w:val="0"/>
          <w:sz w:val="24"/>
          <w:szCs w:val="24"/>
          <w:highlight w:val="none"/>
        </w:rPr>
        <w:t>、资格审查资料</w:t>
      </w:r>
    </w:p>
    <w:p w14:paraId="582B8CF5">
      <w:pPr>
        <w:spacing w:before="183" w:line="220" w:lineRule="auto"/>
        <w:ind w:left="517"/>
        <w:rPr>
          <w:rFonts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七</w:t>
      </w:r>
      <w:r>
        <w:rPr>
          <w:rFonts w:ascii="宋体" w:hAnsi="宋体" w:eastAsia="宋体" w:cs="宋体"/>
          <w:color w:val="auto"/>
          <w:spacing w:val="0"/>
          <w:w w:val="100"/>
          <w:position w:val="0"/>
          <w:sz w:val="24"/>
          <w:szCs w:val="24"/>
          <w:highlight w:val="none"/>
        </w:rPr>
        <w:t>、其他资料</w:t>
      </w:r>
    </w:p>
    <w:p w14:paraId="5E9B7346">
      <w:pPr>
        <w:spacing w:before="179" w:line="219" w:lineRule="auto"/>
        <w:ind w:left="521"/>
        <w:rPr>
          <w:rFonts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val="en-US" w:eastAsia="zh-CN"/>
        </w:rPr>
        <w:t>八</w:t>
      </w:r>
      <w:r>
        <w:rPr>
          <w:rFonts w:ascii="宋体" w:hAnsi="宋体" w:eastAsia="宋体" w:cs="宋体"/>
          <w:color w:val="auto"/>
          <w:spacing w:val="0"/>
          <w:w w:val="100"/>
          <w:position w:val="0"/>
          <w:sz w:val="24"/>
          <w:szCs w:val="24"/>
          <w:highlight w:val="none"/>
        </w:rPr>
        <w:t>、技术建议书</w:t>
      </w:r>
    </w:p>
    <w:p w14:paraId="556717B5">
      <w:pPr>
        <w:spacing w:line="219" w:lineRule="auto"/>
        <w:rPr>
          <w:rFonts w:ascii="宋体" w:hAnsi="宋体" w:eastAsia="宋体" w:cs="宋体"/>
          <w:color w:val="auto"/>
          <w:spacing w:val="0"/>
          <w:w w:val="100"/>
          <w:position w:val="0"/>
          <w:sz w:val="24"/>
          <w:szCs w:val="24"/>
          <w:highlight w:val="none"/>
        </w:rPr>
        <w:sectPr>
          <w:footerReference r:id="rId57" w:type="default"/>
          <w:pgSz w:w="11900" w:h="16843"/>
          <w:pgMar w:top="1378" w:right="1417" w:bottom="1208" w:left="1417" w:header="1366" w:footer="1003" w:gutter="0"/>
          <w:pgNumType w:fmt="decimal"/>
          <w:cols w:space="0" w:num="1"/>
          <w:rtlGutter w:val="0"/>
          <w:docGrid w:linePitch="0" w:charSpace="0"/>
        </w:sectPr>
      </w:pPr>
    </w:p>
    <w:p w14:paraId="21CBB8C8">
      <w:pPr>
        <w:pStyle w:val="6"/>
        <w:spacing w:before="101" w:line="225" w:lineRule="auto"/>
        <w:ind w:left="3397"/>
        <w:outlineLvl w:val="2"/>
        <w:rPr>
          <w:color w:val="auto"/>
          <w:spacing w:val="0"/>
          <w:w w:val="100"/>
          <w:position w:val="0"/>
          <w:highlight w:val="none"/>
        </w:rPr>
      </w:pPr>
      <w:bookmarkStart w:id="34" w:name="bookmark30"/>
      <w:bookmarkEnd w:id="34"/>
      <w:r>
        <w:rPr>
          <w:b/>
          <w:bCs/>
          <w:color w:val="auto"/>
          <w:spacing w:val="0"/>
          <w:w w:val="100"/>
          <w:position w:val="0"/>
          <w:highlight w:val="none"/>
        </w:rPr>
        <w:t>一、投标函</w:t>
      </w:r>
    </w:p>
    <w:p w14:paraId="1BD84265">
      <w:pPr>
        <w:spacing w:line="273" w:lineRule="auto"/>
        <w:rPr>
          <w:rFonts w:ascii="Arial"/>
          <w:color w:val="auto"/>
          <w:spacing w:val="0"/>
          <w:w w:val="100"/>
          <w:position w:val="0"/>
          <w:sz w:val="21"/>
          <w:highlight w:val="none"/>
        </w:rPr>
      </w:pPr>
    </w:p>
    <w:p w14:paraId="11688B3D">
      <w:pPr>
        <w:keepNext w:val="0"/>
        <w:keepLines w:val="0"/>
        <w:pageBreakBefore w:val="0"/>
        <w:widowControl/>
        <w:tabs>
          <w:tab w:val="left" w:pos="2188"/>
        </w:tabs>
        <w:kinsoku w:val="0"/>
        <w:wordWrap/>
        <w:overflowPunct/>
        <w:topLinePunct w:val="0"/>
        <w:autoSpaceDE w:val="0"/>
        <w:autoSpaceDN w:val="0"/>
        <w:bidi w:val="0"/>
        <w:adjustRightInd w:val="0"/>
        <w:snapToGrid w:val="0"/>
        <w:spacing w:line="288" w:lineRule="auto"/>
        <w:ind w:left="0" w:right="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（招标人名称）：</w:t>
      </w:r>
    </w:p>
    <w:p w14:paraId="410CA927">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9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1.</w:t>
      </w:r>
      <w:r>
        <w:rPr>
          <w:rFonts w:ascii="宋体" w:hAnsi="宋体" w:eastAsia="宋体" w:cs="宋体"/>
          <w:color w:val="auto"/>
          <w:spacing w:val="0"/>
          <w:w w:val="100"/>
          <w:position w:val="0"/>
          <w:sz w:val="24"/>
          <w:szCs w:val="24"/>
          <w:highlight w:val="none"/>
        </w:rPr>
        <w:t xml:space="preserve">我方已仔细研究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（项目名称）</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标段招标文件的全部内容（含补遗书），在考察工程现场后，愿意以第二个信封（报价文件）中的投标总报价（或根据招标文件规定修正核实后确定的另一金额），按合同约定完成勘察设计工作。</w:t>
      </w:r>
    </w:p>
    <w:p w14:paraId="29FDBC84">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85"/>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我方承诺在招标文件规定的投标有效期内不撤销投标文件。</w:t>
      </w:r>
    </w:p>
    <w:p w14:paraId="3BC0649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85"/>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项目负责人姓名：</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，年龄：</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，职称：</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w:t>
      </w:r>
    </w:p>
    <w:p w14:paraId="30336BF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57"/>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质量要求：</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，安全目标：</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，勘察设计服务期限：</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w:t>
      </w:r>
    </w:p>
    <w:p w14:paraId="6EA2258B">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85"/>
        <w:textAlignment w:val="baseline"/>
        <w:rPr>
          <w:rFonts w:ascii="Times New Roman" w:hAnsi="Times New Roman" w:eastAsia="Times New Roman" w:cs="Times New Roman"/>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5.如我方中标，我方承诺：</w:t>
      </w:r>
    </w:p>
    <w:p w14:paraId="42BC0008">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85"/>
        <w:textAlignment w:val="baseline"/>
        <w:rPr>
          <w:rFonts w:ascii="Times New Roman" w:hAnsi="Times New Roman" w:eastAsia="Times New Roman" w:cs="Times New Roman"/>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（1）在收到中标通知书后，在中标通知书规定的期限内与你方签订合同；</w:t>
      </w:r>
    </w:p>
    <w:p w14:paraId="063A4E37">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85"/>
        <w:textAlignment w:val="baseline"/>
        <w:rPr>
          <w:rFonts w:ascii="Times New Roman" w:hAnsi="Times New Roman" w:eastAsia="Times New Roman" w:cs="Times New Roman"/>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（2）在签订合同时不向你方提出附加条件；</w:t>
      </w:r>
    </w:p>
    <w:p w14:paraId="75DA4D26">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85"/>
        <w:textAlignment w:val="baseline"/>
        <w:rPr>
          <w:rFonts w:ascii="Times New Roman" w:hAnsi="Times New Roman" w:eastAsia="Times New Roman" w:cs="Times New Roman"/>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（3）按照招标文件要求提交履约保证金；</w:t>
      </w:r>
    </w:p>
    <w:p w14:paraId="7458CC1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85"/>
        <w:textAlignment w:val="baseline"/>
        <w:rPr>
          <w:rFonts w:ascii="Times New Roman" w:hAnsi="Times New Roman" w:eastAsia="Times New Roman" w:cs="Times New Roman"/>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（4）在合同约定的期限内完成合同规定的全部义务；</w:t>
      </w:r>
    </w:p>
    <w:p w14:paraId="256AD6F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85"/>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w:t>
      </w:r>
      <w:r>
        <w:rPr>
          <w:rFonts w:ascii="Times New Roman" w:hAnsi="Times New Roman" w:eastAsia="Times New Roman" w:cs="Times New Roman"/>
          <w:color w:val="auto"/>
          <w:spacing w:val="0"/>
          <w:w w:val="100"/>
          <w:position w:val="0"/>
          <w:sz w:val="24"/>
          <w:szCs w:val="24"/>
          <w:highlight w:val="none"/>
        </w:rPr>
        <w:t>5</w:t>
      </w:r>
      <w:r>
        <w:rPr>
          <w:rFonts w:ascii="宋体" w:hAnsi="宋体" w:eastAsia="宋体" w:cs="宋体"/>
          <w:color w:val="auto"/>
          <w:spacing w:val="0"/>
          <w:w w:val="100"/>
          <w:position w:val="0"/>
          <w:sz w:val="24"/>
          <w:szCs w:val="24"/>
          <w:highlight w:val="none"/>
        </w:rPr>
        <w:t>）在你方和我方进行合同谈判之前，我方将按照合同附件提出的最低要求填报派驻本标段的分项负责人，经你方审批后作为派驻本标段的勘察设计主要人员且不进行更换。如我方拟派驻的人员不满足合同附件要求， 你方有权取消我方中标资格。</w:t>
      </w:r>
    </w:p>
    <w:p w14:paraId="24A60E54">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78"/>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6.</w:t>
      </w:r>
      <w:r>
        <w:rPr>
          <w:rFonts w:ascii="宋体" w:hAnsi="宋体" w:eastAsia="宋体" w:cs="宋体"/>
          <w:color w:val="auto"/>
          <w:spacing w:val="0"/>
          <w:w w:val="100"/>
          <w:position w:val="0"/>
          <w:sz w:val="24"/>
          <w:szCs w:val="24"/>
          <w:highlight w:val="none"/>
        </w:rPr>
        <w:t>我方在此声明，所递交的投标文件及有关资料内容完整、真实和准确，且不存在招标文件第二章“投标人须知”第</w:t>
      </w:r>
      <w:r>
        <w:rPr>
          <w:rFonts w:ascii="Times New Roman" w:hAnsi="Times New Roman" w:eastAsia="Times New Roman" w:cs="Times New Roman"/>
          <w:color w:val="auto"/>
          <w:spacing w:val="0"/>
          <w:w w:val="100"/>
          <w:position w:val="0"/>
          <w:sz w:val="24"/>
          <w:szCs w:val="24"/>
          <w:highlight w:val="none"/>
        </w:rPr>
        <w:t>1.4.3</w:t>
      </w:r>
      <w:r>
        <w:rPr>
          <w:rFonts w:ascii="宋体" w:hAnsi="宋体" w:eastAsia="宋体" w:cs="宋体"/>
          <w:color w:val="auto"/>
          <w:spacing w:val="0"/>
          <w:w w:val="100"/>
          <w:position w:val="0"/>
          <w:sz w:val="24"/>
          <w:szCs w:val="24"/>
          <w:highlight w:val="none"/>
        </w:rPr>
        <w:t>项和第</w:t>
      </w:r>
      <w:r>
        <w:rPr>
          <w:rFonts w:ascii="Times New Roman" w:hAnsi="Times New Roman" w:eastAsia="Times New Roman" w:cs="Times New Roman"/>
          <w:color w:val="auto"/>
          <w:spacing w:val="0"/>
          <w:w w:val="100"/>
          <w:position w:val="0"/>
          <w:sz w:val="24"/>
          <w:szCs w:val="24"/>
          <w:highlight w:val="none"/>
        </w:rPr>
        <w:t>1.4.4</w:t>
      </w:r>
      <w:r>
        <w:rPr>
          <w:rFonts w:ascii="宋体" w:hAnsi="宋体" w:eastAsia="宋体" w:cs="宋体"/>
          <w:color w:val="auto"/>
          <w:spacing w:val="0"/>
          <w:w w:val="100"/>
          <w:position w:val="0"/>
          <w:sz w:val="24"/>
          <w:szCs w:val="24"/>
          <w:highlight w:val="none"/>
        </w:rPr>
        <w:t>项规定的任何一种情形。</w:t>
      </w:r>
    </w:p>
    <w:p w14:paraId="13C0F794">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77"/>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7.</w:t>
      </w:r>
      <w:r>
        <w:rPr>
          <w:rFonts w:ascii="宋体" w:hAnsi="宋体" w:eastAsia="宋体" w:cs="宋体"/>
          <w:color w:val="auto"/>
          <w:spacing w:val="0"/>
          <w:w w:val="100"/>
          <w:position w:val="0"/>
          <w:sz w:val="24"/>
          <w:szCs w:val="24"/>
          <w:highlight w:val="none"/>
        </w:rPr>
        <w:t>在合同协议书正式签署生效之前，本投标函连同你方的中标通知书将构成我们双方之间共同遵守的文件，对双方具有约束力。</w:t>
      </w:r>
    </w:p>
    <w:p w14:paraId="2F035DE2">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485"/>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8.</w:t>
      </w:r>
      <w:r>
        <w:rPr>
          <w:rFonts w:ascii="Times New Roman" w:hAnsi="Times New Roman" w:eastAsia="Times New Roman" w:cs="Times New Roman"/>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（其他补充说明）。</w:t>
      </w:r>
    </w:p>
    <w:p w14:paraId="20F3FB4E">
      <w:pPr>
        <w:spacing w:line="430" w:lineRule="auto"/>
        <w:rPr>
          <w:rFonts w:ascii="Arial"/>
          <w:color w:val="auto"/>
          <w:spacing w:val="0"/>
          <w:w w:val="100"/>
          <w:position w:val="0"/>
          <w:sz w:val="21"/>
          <w:highlight w:val="none"/>
        </w:rPr>
      </w:pPr>
    </w:p>
    <w:p w14:paraId="1F2E12C7">
      <w:pPr>
        <w:spacing w:before="177" w:line="219" w:lineRule="auto"/>
        <w:ind w:left="3063"/>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投标人：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（盖单位章）</w:t>
      </w:r>
    </w:p>
    <w:p w14:paraId="6B07B7A4">
      <w:pPr>
        <w:spacing w:before="177" w:line="219" w:lineRule="auto"/>
        <w:ind w:left="3063"/>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法定代表人或其委托代理人：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（签字）</w:t>
      </w:r>
    </w:p>
    <w:p w14:paraId="56BD4BF6">
      <w:pPr>
        <w:spacing w:before="177" w:line="219" w:lineRule="auto"/>
        <w:ind w:left="3063"/>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地址：</w:t>
      </w:r>
      <w:r>
        <w:rPr>
          <w:rFonts w:ascii="宋体" w:hAnsi="宋体" w:eastAsia="宋体" w:cs="宋体"/>
          <w:color w:val="auto"/>
          <w:spacing w:val="0"/>
          <w:w w:val="100"/>
          <w:position w:val="0"/>
          <w:sz w:val="24"/>
          <w:szCs w:val="24"/>
          <w:highlight w:val="none"/>
          <w:u w:val="single" w:color="auto"/>
        </w:rPr>
        <w:t xml:space="preserve">                                      </w:t>
      </w:r>
    </w:p>
    <w:p w14:paraId="48F59B87">
      <w:pPr>
        <w:spacing w:before="177" w:line="219" w:lineRule="auto"/>
        <w:ind w:left="3063"/>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网址：</w:t>
      </w:r>
      <w:r>
        <w:rPr>
          <w:rFonts w:ascii="宋体" w:hAnsi="宋体" w:eastAsia="宋体" w:cs="宋体"/>
          <w:color w:val="auto"/>
          <w:spacing w:val="0"/>
          <w:w w:val="100"/>
          <w:position w:val="0"/>
          <w:sz w:val="24"/>
          <w:szCs w:val="24"/>
          <w:highlight w:val="none"/>
          <w:u w:val="single" w:color="auto"/>
        </w:rPr>
        <w:t xml:space="preserve">                                      </w:t>
      </w:r>
    </w:p>
    <w:p w14:paraId="0468F6DF">
      <w:pPr>
        <w:spacing w:before="177" w:line="219" w:lineRule="auto"/>
        <w:ind w:left="3063"/>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电话：</w:t>
      </w:r>
      <w:r>
        <w:rPr>
          <w:rFonts w:ascii="宋体" w:hAnsi="宋体" w:eastAsia="宋体" w:cs="宋体"/>
          <w:color w:val="auto"/>
          <w:spacing w:val="0"/>
          <w:w w:val="100"/>
          <w:position w:val="0"/>
          <w:sz w:val="24"/>
          <w:szCs w:val="24"/>
          <w:highlight w:val="none"/>
          <w:u w:val="single" w:color="auto"/>
        </w:rPr>
        <w:t xml:space="preserve">                                      </w:t>
      </w:r>
    </w:p>
    <w:p w14:paraId="44DF4585">
      <w:pPr>
        <w:spacing w:before="177" w:line="219" w:lineRule="auto"/>
        <w:ind w:left="3063"/>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传真：</w:t>
      </w:r>
      <w:r>
        <w:rPr>
          <w:rFonts w:ascii="宋体" w:hAnsi="宋体" w:eastAsia="宋体" w:cs="宋体"/>
          <w:color w:val="auto"/>
          <w:spacing w:val="0"/>
          <w:w w:val="100"/>
          <w:position w:val="0"/>
          <w:sz w:val="24"/>
          <w:szCs w:val="24"/>
          <w:highlight w:val="none"/>
          <w:u w:val="single" w:color="auto"/>
        </w:rPr>
        <w:t xml:space="preserve">                                      </w:t>
      </w:r>
    </w:p>
    <w:p w14:paraId="42DBCA4A">
      <w:pPr>
        <w:spacing w:before="177" w:line="219" w:lineRule="auto"/>
        <w:ind w:left="3063"/>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邮政编码：</w:t>
      </w:r>
      <w:r>
        <w:rPr>
          <w:rFonts w:ascii="宋体" w:hAnsi="宋体" w:eastAsia="宋体" w:cs="宋体"/>
          <w:color w:val="auto"/>
          <w:spacing w:val="0"/>
          <w:w w:val="100"/>
          <w:position w:val="0"/>
          <w:sz w:val="24"/>
          <w:szCs w:val="24"/>
          <w:highlight w:val="none"/>
          <w:u w:val="single" w:color="auto"/>
        </w:rPr>
        <w:t xml:space="preserve">                                  </w:t>
      </w:r>
    </w:p>
    <w:p w14:paraId="65F17DE2">
      <w:pPr>
        <w:spacing w:line="256" w:lineRule="auto"/>
        <w:rPr>
          <w:rFonts w:ascii="Arial"/>
          <w:color w:val="auto"/>
          <w:spacing w:val="0"/>
          <w:w w:val="100"/>
          <w:position w:val="0"/>
          <w:sz w:val="21"/>
          <w:highlight w:val="none"/>
        </w:rPr>
      </w:pPr>
    </w:p>
    <w:p w14:paraId="4FD26BA5">
      <w:pPr>
        <w:tabs>
          <w:tab w:val="left" w:pos="6415"/>
        </w:tabs>
        <w:spacing w:before="79" w:line="220" w:lineRule="auto"/>
        <w:ind w:left="5576"/>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年</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月</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日</w:t>
      </w:r>
    </w:p>
    <w:p w14:paraId="394234B2">
      <w:pPr>
        <w:spacing w:line="220" w:lineRule="auto"/>
        <w:rPr>
          <w:rFonts w:ascii="宋体" w:hAnsi="宋体" w:eastAsia="宋体" w:cs="宋体"/>
          <w:color w:val="auto"/>
          <w:spacing w:val="0"/>
          <w:w w:val="100"/>
          <w:position w:val="0"/>
          <w:sz w:val="24"/>
          <w:szCs w:val="24"/>
          <w:highlight w:val="none"/>
        </w:rPr>
        <w:sectPr>
          <w:headerReference r:id="rId58" w:type="default"/>
          <w:footerReference r:id="rId59" w:type="default"/>
          <w:pgSz w:w="11900" w:h="16843"/>
          <w:pgMar w:top="1378" w:right="1417" w:bottom="1208" w:left="1417" w:header="1366" w:footer="1003" w:gutter="0"/>
          <w:pgNumType w:fmt="decimal"/>
          <w:cols w:space="0" w:num="1"/>
          <w:rtlGutter w:val="0"/>
          <w:docGrid w:linePitch="0" w:charSpace="0"/>
        </w:sectPr>
      </w:pPr>
    </w:p>
    <w:p w14:paraId="264913E4">
      <w:pPr>
        <w:pStyle w:val="6"/>
        <w:spacing w:before="101" w:line="224" w:lineRule="auto"/>
        <w:ind w:left="1467"/>
        <w:outlineLvl w:val="2"/>
        <w:rPr>
          <w:color w:val="auto"/>
          <w:spacing w:val="0"/>
          <w:w w:val="100"/>
          <w:position w:val="0"/>
          <w:highlight w:val="none"/>
        </w:rPr>
      </w:pPr>
      <w:bookmarkStart w:id="35" w:name="bookmark31"/>
      <w:bookmarkEnd w:id="35"/>
      <w:bookmarkStart w:id="36" w:name="bookmark32"/>
      <w:bookmarkEnd w:id="36"/>
      <w:r>
        <w:rPr>
          <w:b/>
          <w:bCs/>
          <w:color w:val="auto"/>
          <w:spacing w:val="0"/>
          <w:w w:val="100"/>
          <w:position w:val="0"/>
          <w:highlight w:val="none"/>
        </w:rPr>
        <w:t>二、授权委托书或法定代表人身份证明</w:t>
      </w:r>
    </w:p>
    <w:p w14:paraId="457C4933">
      <w:pPr>
        <w:spacing w:line="341" w:lineRule="auto"/>
        <w:rPr>
          <w:rFonts w:ascii="Arial"/>
          <w:color w:val="auto"/>
          <w:spacing w:val="0"/>
          <w:w w:val="100"/>
          <w:position w:val="0"/>
          <w:sz w:val="21"/>
          <w:highlight w:val="none"/>
        </w:rPr>
      </w:pPr>
    </w:p>
    <w:p w14:paraId="6608A92F">
      <w:pPr>
        <w:spacing w:line="342" w:lineRule="auto"/>
        <w:rPr>
          <w:rFonts w:ascii="Arial"/>
          <w:color w:val="auto"/>
          <w:spacing w:val="0"/>
          <w:w w:val="100"/>
          <w:position w:val="0"/>
          <w:sz w:val="21"/>
          <w:highlight w:val="none"/>
        </w:rPr>
      </w:pPr>
    </w:p>
    <w:p w14:paraId="458BCC02">
      <w:pPr>
        <w:pStyle w:val="6"/>
        <w:spacing w:before="97" w:line="220" w:lineRule="auto"/>
        <w:ind w:left="3008"/>
        <w:outlineLvl w:val="3"/>
        <w:rPr>
          <w:color w:val="auto"/>
          <w:spacing w:val="0"/>
          <w:w w:val="100"/>
          <w:position w:val="0"/>
          <w:sz w:val="30"/>
          <w:szCs w:val="30"/>
          <w:highlight w:val="none"/>
        </w:rPr>
      </w:pPr>
      <w:r>
        <w:rPr>
          <w:b/>
          <w:bCs/>
          <w:color w:val="auto"/>
          <w:spacing w:val="0"/>
          <w:w w:val="100"/>
          <w:position w:val="0"/>
          <w:sz w:val="30"/>
          <w:szCs w:val="30"/>
          <w:highlight w:val="none"/>
        </w:rPr>
        <w:t>（一）授权委托书</w:t>
      </w:r>
    </w:p>
    <w:p w14:paraId="11158A2F">
      <w:pPr>
        <w:spacing w:line="281" w:lineRule="auto"/>
        <w:rPr>
          <w:rFonts w:ascii="Arial"/>
          <w:color w:val="auto"/>
          <w:spacing w:val="0"/>
          <w:w w:val="100"/>
          <w:position w:val="0"/>
          <w:sz w:val="21"/>
          <w:highlight w:val="none"/>
        </w:rPr>
      </w:pPr>
    </w:p>
    <w:p w14:paraId="530E68F9">
      <w:pPr>
        <w:spacing w:line="281" w:lineRule="auto"/>
        <w:rPr>
          <w:rFonts w:ascii="Arial"/>
          <w:color w:val="auto"/>
          <w:spacing w:val="0"/>
          <w:w w:val="100"/>
          <w:position w:val="0"/>
          <w:sz w:val="21"/>
          <w:highlight w:val="none"/>
        </w:rPr>
      </w:pPr>
    </w:p>
    <w:p w14:paraId="068B272F">
      <w:pPr>
        <w:spacing w:before="78" w:line="359" w:lineRule="auto"/>
        <w:ind w:left="37" w:firstLine="481"/>
        <w:jc w:val="both"/>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本人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（姓名）系</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（投标人名称）的法定代表人，现委托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（姓名）为我方代理人。代理人根据授权， 以我方名义签署、澄清确认、递交、撤回、修改</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（项目名称）</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标段投标文件、签订合同和处理有关事宜，其法律后果由我方承担。</w:t>
      </w:r>
    </w:p>
    <w:p w14:paraId="1C047895">
      <w:pPr>
        <w:spacing w:before="1" w:line="218" w:lineRule="auto"/>
        <w:ind w:left="517"/>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委托期限：自本委托书签署之日起至投标有效期期满。</w:t>
      </w:r>
    </w:p>
    <w:p w14:paraId="78A60F56">
      <w:pPr>
        <w:spacing w:before="182" w:line="220" w:lineRule="auto"/>
        <w:ind w:left="517"/>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代理人无转委托权。</w:t>
      </w:r>
    </w:p>
    <w:p w14:paraId="19656412">
      <w:pPr>
        <w:spacing w:line="257" w:lineRule="auto"/>
        <w:rPr>
          <w:rFonts w:ascii="Arial"/>
          <w:color w:val="auto"/>
          <w:spacing w:val="0"/>
          <w:w w:val="100"/>
          <w:position w:val="0"/>
          <w:sz w:val="21"/>
          <w:highlight w:val="none"/>
        </w:rPr>
      </w:pPr>
    </w:p>
    <w:p w14:paraId="24A3F665">
      <w:pPr>
        <w:spacing w:line="257" w:lineRule="auto"/>
        <w:rPr>
          <w:rFonts w:ascii="Arial"/>
          <w:color w:val="auto"/>
          <w:spacing w:val="0"/>
          <w:w w:val="100"/>
          <w:position w:val="0"/>
          <w:sz w:val="21"/>
          <w:highlight w:val="none"/>
        </w:rPr>
      </w:pPr>
    </w:p>
    <w:p w14:paraId="6B66C20B">
      <w:pPr>
        <w:spacing w:before="78" w:line="219" w:lineRule="auto"/>
        <w:ind w:left="536"/>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附：</w:t>
      </w:r>
      <w:r>
        <w:rPr>
          <w:b/>
          <w:bCs/>
          <w:color w:val="auto"/>
          <w:sz w:val="24"/>
          <w:szCs w:val="24"/>
          <w:highlight w:val="none"/>
        </w:rPr>
        <w:t>法定代表人和委托代理人的身份证</w:t>
      </w:r>
      <w:r>
        <w:rPr>
          <w:rFonts w:hint="eastAsia"/>
          <w:b/>
          <w:bCs/>
          <w:color w:val="auto"/>
          <w:sz w:val="24"/>
          <w:szCs w:val="24"/>
          <w:highlight w:val="none"/>
          <w:lang w:val="en-US" w:eastAsia="zh-CN"/>
        </w:rPr>
        <w:t>原件扫描件</w:t>
      </w:r>
      <w:r>
        <w:rPr>
          <w:rFonts w:ascii="宋体" w:hAnsi="宋体" w:eastAsia="宋体" w:cs="宋体"/>
          <w:color w:val="auto"/>
          <w:spacing w:val="0"/>
          <w:w w:val="100"/>
          <w:position w:val="0"/>
          <w:sz w:val="24"/>
          <w:szCs w:val="24"/>
          <w:highlight w:val="none"/>
        </w:rPr>
        <w:t>。</w:t>
      </w:r>
    </w:p>
    <w:p w14:paraId="77B020BC">
      <w:pPr>
        <w:spacing w:before="181" w:line="219" w:lineRule="auto"/>
        <w:ind w:left="520"/>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投标人：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（盖单位章）</w:t>
      </w:r>
    </w:p>
    <w:p w14:paraId="191DC8D5">
      <w:pPr>
        <w:spacing w:before="183" w:line="220" w:lineRule="auto"/>
        <w:ind w:left="519"/>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法定代表人：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（签字）</w:t>
      </w:r>
    </w:p>
    <w:p w14:paraId="5351B433">
      <w:pPr>
        <w:spacing w:before="180" w:line="220" w:lineRule="auto"/>
        <w:ind w:left="524"/>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身份证号码：</w:t>
      </w:r>
      <w:r>
        <w:rPr>
          <w:rFonts w:ascii="宋体" w:hAnsi="宋体" w:eastAsia="宋体" w:cs="宋体"/>
          <w:color w:val="auto"/>
          <w:spacing w:val="0"/>
          <w:w w:val="100"/>
          <w:position w:val="0"/>
          <w:sz w:val="24"/>
          <w:szCs w:val="24"/>
          <w:highlight w:val="none"/>
          <w:u w:val="single" w:color="auto"/>
        </w:rPr>
        <w:t xml:space="preserve">                           </w:t>
      </w:r>
    </w:p>
    <w:p w14:paraId="1209D3A2">
      <w:pPr>
        <w:spacing w:before="182" w:line="220" w:lineRule="auto"/>
        <w:ind w:left="517"/>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委托代理人：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（签字）</w:t>
      </w:r>
    </w:p>
    <w:p w14:paraId="3C207ABF">
      <w:pPr>
        <w:spacing w:before="179" w:line="220" w:lineRule="auto"/>
        <w:ind w:left="524"/>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身份证号码：</w:t>
      </w:r>
      <w:r>
        <w:rPr>
          <w:rFonts w:ascii="宋体" w:hAnsi="宋体" w:eastAsia="宋体" w:cs="宋体"/>
          <w:color w:val="auto"/>
          <w:spacing w:val="0"/>
          <w:w w:val="100"/>
          <w:position w:val="0"/>
          <w:sz w:val="24"/>
          <w:szCs w:val="24"/>
          <w:highlight w:val="none"/>
          <w:u w:val="single" w:color="auto"/>
        </w:rPr>
        <w:t xml:space="preserve">                           </w:t>
      </w:r>
    </w:p>
    <w:p w14:paraId="42A35E98">
      <w:pPr>
        <w:tabs>
          <w:tab w:val="left" w:pos="3388"/>
        </w:tabs>
        <w:spacing w:before="182" w:line="220" w:lineRule="auto"/>
        <w:ind w:left="2549"/>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 xml:space="preserve"> 年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月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日</w:t>
      </w:r>
    </w:p>
    <w:p w14:paraId="58B72AA1">
      <w:pPr>
        <w:spacing w:line="309" w:lineRule="auto"/>
        <w:rPr>
          <w:rFonts w:ascii="Arial"/>
          <w:color w:val="auto"/>
          <w:spacing w:val="0"/>
          <w:w w:val="100"/>
          <w:position w:val="0"/>
          <w:sz w:val="21"/>
          <w:highlight w:val="none"/>
        </w:rPr>
      </w:pPr>
    </w:p>
    <w:p w14:paraId="0C49D66E">
      <w:pPr>
        <w:spacing w:line="309" w:lineRule="auto"/>
        <w:rPr>
          <w:rFonts w:ascii="Arial"/>
          <w:color w:val="auto"/>
          <w:spacing w:val="0"/>
          <w:w w:val="100"/>
          <w:position w:val="0"/>
          <w:sz w:val="21"/>
          <w:highlight w:val="none"/>
        </w:rPr>
      </w:pPr>
    </w:p>
    <w:p w14:paraId="4B50399B">
      <w:pPr>
        <w:spacing w:line="310" w:lineRule="auto"/>
        <w:rPr>
          <w:rFonts w:ascii="Arial"/>
          <w:color w:val="auto"/>
          <w:spacing w:val="0"/>
          <w:w w:val="100"/>
          <w:position w:val="0"/>
          <w:sz w:val="21"/>
          <w:highlight w:val="none"/>
        </w:rPr>
      </w:pPr>
    </w:p>
    <w:p w14:paraId="0B881D91">
      <w:pPr>
        <w:spacing w:before="69" w:line="220" w:lineRule="auto"/>
        <w:jc w:val="both"/>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注：</w:t>
      </w:r>
      <w:r>
        <w:rPr>
          <w:rFonts w:hint="eastAsia" w:ascii="宋体" w:hAnsi="宋体" w:eastAsia="宋体" w:cs="宋体"/>
          <w:color w:val="auto"/>
          <w:spacing w:val="0"/>
          <w:w w:val="100"/>
          <w:position w:val="0"/>
          <w:sz w:val="21"/>
          <w:szCs w:val="21"/>
          <w:highlight w:val="none"/>
          <w:lang w:val="en-US" w:eastAsia="zh-CN"/>
        </w:rPr>
        <w:t>1.</w:t>
      </w:r>
      <w:r>
        <w:rPr>
          <w:rFonts w:ascii="宋体" w:hAnsi="宋体" w:eastAsia="宋体" w:cs="宋体"/>
          <w:color w:val="auto"/>
          <w:spacing w:val="0"/>
          <w:w w:val="100"/>
          <w:position w:val="0"/>
          <w:sz w:val="21"/>
          <w:szCs w:val="21"/>
          <w:highlight w:val="none"/>
        </w:rPr>
        <w:t>法定代表人参加投标活动并签署文件的不需要授权委托书，只需提供法定代表人身份证明；非法定代表人参加投标活动及签署文件的除提供法定代表人身份证明外还须提供授权委托书。</w:t>
      </w:r>
    </w:p>
    <w:p w14:paraId="23F1485E">
      <w:pPr>
        <w:spacing w:line="220" w:lineRule="auto"/>
        <w:rPr>
          <w:rFonts w:ascii="宋体" w:hAnsi="宋体" w:eastAsia="宋体" w:cs="宋体"/>
          <w:color w:val="auto"/>
          <w:spacing w:val="0"/>
          <w:w w:val="100"/>
          <w:position w:val="0"/>
          <w:sz w:val="21"/>
          <w:szCs w:val="21"/>
          <w:highlight w:val="none"/>
        </w:rPr>
        <w:sectPr>
          <w:headerReference r:id="rId60" w:type="default"/>
          <w:footerReference r:id="rId61" w:type="default"/>
          <w:pgSz w:w="11900" w:h="16843"/>
          <w:pgMar w:top="1378" w:right="1417" w:bottom="1208" w:left="1417" w:header="1366" w:footer="1003" w:gutter="0"/>
          <w:pgNumType w:fmt="decimal"/>
          <w:cols w:space="0" w:num="1"/>
          <w:rtlGutter w:val="0"/>
          <w:docGrid w:linePitch="0" w:charSpace="0"/>
        </w:sectPr>
      </w:pPr>
    </w:p>
    <w:p w14:paraId="253FD4C9">
      <w:pPr>
        <w:pStyle w:val="6"/>
        <w:spacing w:before="97" w:line="218" w:lineRule="auto"/>
        <w:ind w:left="2405"/>
        <w:outlineLvl w:val="1"/>
        <w:rPr>
          <w:color w:val="auto"/>
          <w:spacing w:val="0"/>
          <w:w w:val="100"/>
          <w:position w:val="0"/>
          <w:sz w:val="30"/>
          <w:szCs w:val="30"/>
          <w:highlight w:val="none"/>
        </w:rPr>
      </w:pPr>
      <w:bookmarkStart w:id="37" w:name="bookmark33"/>
      <w:bookmarkEnd w:id="37"/>
      <w:r>
        <w:rPr>
          <w:b/>
          <w:bCs/>
          <w:color w:val="auto"/>
          <w:spacing w:val="0"/>
          <w:w w:val="100"/>
          <w:position w:val="0"/>
          <w:sz w:val="30"/>
          <w:szCs w:val="30"/>
          <w:highlight w:val="none"/>
        </w:rPr>
        <w:t>（二）法定代表人身份证明</w:t>
      </w:r>
    </w:p>
    <w:p w14:paraId="59F579FE">
      <w:pPr>
        <w:spacing w:line="282" w:lineRule="auto"/>
        <w:rPr>
          <w:rFonts w:ascii="Arial"/>
          <w:color w:val="auto"/>
          <w:spacing w:val="0"/>
          <w:w w:val="100"/>
          <w:position w:val="0"/>
          <w:sz w:val="21"/>
          <w:highlight w:val="none"/>
        </w:rPr>
      </w:pPr>
    </w:p>
    <w:p w14:paraId="1C296294">
      <w:pPr>
        <w:spacing w:line="282" w:lineRule="auto"/>
        <w:rPr>
          <w:rFonts w:ascii="Arial"/>
          <w:color w:val="auto"/>
          <w:spacing w:val="0"/>
          <w:w w:val="100"/>
          <w:position w:val="0"/>
          <w:sz w:val="21"/>
          <w:highlight w:val="none"/>
        </w:rPr>
      </w:pPr>
    </w:p>
    <w:p w14:paraId="443591ED">
      <w:pPr>
        <w:spacing w:before="78" w:line="220" w:lineRule="auto"/>
        <w:ind w:left="520"/>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投标人名称：</w:t>
      </w:r>
      <w:r>
        <w:rPr>
          <w:rFonts w:ascii="宋体" w:hAnsi="宋体" w:eastAsia="宋体" w:cs="宋体"/>
          <w:color w:val="auto"/>
          <w:spacing w:val="0"/>
          <w:w w:val="100"/>
          <w:position w:val="0"/>
          <w:sz w:val="24"/>
          <w:szCs w:val="24"/>
          <w:highlight w:val="none"/>
          <w:u w:val="single" w:color="auto"/>
        </w:rPr>
        <w:t xml:space="preserve">                           </w:t>
      </w:r>
    </w:p>
    <w:p w14:paraId="10DB8FD5">
      <w:pPr>
        <w:spacing w:before="179" w:line="362" w:lineRule="auto"/>
        <w:ind w:left="522" w:right="415" w:hanging="4"/>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姓名：</w:t>
      </w:r>
      <w:r>
        <w:rPr>
          <w:rFonts w:hint="eastAsia" w:ascii="宋体" w:hAnsi="宋体" w:eastAsia="宋体" w:cs="宋体"/>
          <w:color w:val="auto"/>
          <w:spacing w:val="0"/>
          <w:w w:val="100"/>
          <w:position w:val="0"/>
          <w:sz w:val="24"/>
          <w:szCs w:val="24"/>
          <w:highlight w:val="none"/>
          <w:u w:val="single"/>
          <w:lang w:val="en-US" w:eastAsia="zh-CN"/>
        </w:rPr>
        <w:t xml:space="preserve">      </w:t>
      </w:r>
      <w:r>
        <w:rPr>
          <w:rFonts w:ascii="宋体" w:hAnsi="宋体" w:eastAsia="宋体" w:cs="宋体"/>
          <w:color w:val="auto"/>
          <w:spacing w:val="0"/>
          <w:w w:val="100"/>
          <w:position w:val="0"/>
          <w:sz w:val="24"/>
          <w:szCs w:val="24"/>
          <w:highlight w:val="none"/>
          <w:u w:val="single" w:color="auto"/>
        </w:rPr>
        <w:t>（法定代表人签字）</w:t>
      </w:r>
      <w:r>
        <w:rPr>
          <w:rFonts w:ascii="宋体" w:hAnsi="宋体" w:eastAsia="宋体" w:cs="宋体"/>
          <w:color w:val="auto"/>
          <w:spacing w:val="0"/>
          <w:w w:val="100"/>
          <w:position w:val="0"/>
          <w:sz w:val="24"/>
          <w:szCs w:val="24"/>
          <w:highlight w:val="none"/>
        </w:rPr>
        <w:t>性别：</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年龄：</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职务：</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系</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（投标人名称）的法定代表人。</w:t>
      </w:r>
    </w:p>
    <w:p w14:paraId="74B9DD51">
      <w:pPr>
        <w:spacing w:line="327" w:lineRule="auto"/>
        <w:rPr>
          <w:rFonts w:ascii="Arial"/>
          <w:color w:val="auto"/>
          <w:spacing w:val="0"/>
          <w:w w:val="100"/>
          <w:position w:val="0"/>
          <w:sz w:val="21"/>
          <w:highlight w:val="none"/>
        </w:rPr>
      </w:pPr>
    </w:p>
    <w:p w14:paraId="61653438">
      <w:pPr>
        <w:spacing w:before="78" w:line="220" w:lineRule="auto"/>
        <w:ind w:left="518"/>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特此证明。</w:t>
      </w:r>
    </w:p>
    <w:p w14:paraId="46CA4CD6">
      <w:pPr>
        <w:spacing w:line="256" w:lineRule="auto"/>
        <w:rPr>
          <w:rFonts w:ascii="Arial"/>
          <w:color w:val="auto"/>
          <w:spacing w:val="0"/>
          <w:w w:val="100"/>
          <w:position w:val="0"/>
          <w:sz w:val="21"/>
          <w:highlight w:val="none"/>
        </w:rPr>
      </w:pPr>
    </w:p>
    <w:p w14:paraId="2887320E">
      <w:pPr>
        <w:spacing w:line="257" w:lineRule="auto"/>
        <w:rPr>
          <w:rFonts w:ascii="Arial"/>
          <w:color w:val="auto"/>
          <w:spacing w:val="0"/>
          <w:w w:val="100"/>
          <w:position w:val="0"/>
          <w:sz w:val="21"/>
          <w:highlight w:val="none"/>
        </w:rPr>
      </w:pPr>
    </w:p>
    <w:p w14:paraId="1152D5C5">
      <w:pPr>
        <w:spacing w:before="78" w:line="219" w:lineRule="auto"/>
        <w:ind w:left="536"/>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附：法定代表人身份证复印件。</w:t>
      </w:r>
    </w:p>
    <w:p w14:paraId="1668FD1A">
      <w:pPr>
        <w:spacing w:line="308" w:lineRule="auto"/>
        <w:rPr>
          <w:rFonts w:ascii="Arial"/>
          <w:color w:val="auto"/>
          <w:spacing w:val="0"/>
          <w:w w:val="100"/>
          <w:position w:val="0"/>
          <w:sz w:val="21"/>
          <w:highlight w:val="none"/>
        </w:rPr>
      </w:pPr>
    </w:p>
    <w:p w14:paraId="2F7DEFA6">
      <w:pPr>
        <w:spacing w:line="308" w:lineRule="auto"/>
        <w:rPr>
          <w:rFonts w:ascii="Arial"/>
          <w:color w:val="auto"/>
          <w:spacing w:val="0"/>
          <w:w w:val="100"/>
          <w:position w:val="0"/>
          <w:sz w:val="21"/>
          <w:highlight w:val="none"/>
        </w:rPr>
      </w:pPr>
    </w:p>
    <w:p w14:paraId="4947CA4B">
      <w:pPr>
        <w:spacing w:line="309" w:lineRule="auto"/>
        <w:rPr>
          <w:rFonts w:ascii="Arial"/>
          <w:color w:val="auto"/>
          <w:spacing w:val="0"/>
          <w:w w:val="100"/>
          <w:position w:val="0"/>
          <w:sz w:val="21"/>
          <w:highlight w:val="none"/>
        </w:rPr>
      </w:pPr>
    </w:p>
    <w:p w14:paraId="243B0022">
      <w:pPr>
        <w:spacing w:before="78" w:line="219" w:lineRule="auto"/>
        <w:ind w:left="536"/>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投标人：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（盖单位章）</w:t>
      </w:r>
    </w:p>
    <w:p w14:paraId="49AA9779">
      <w:pPr>
        <w:keepNext w:val="0"/>
        <w:keepLines w:val="0"/>
        <w:pageBreakBefore w:val="0"/>
        <w:widowControl/>
        <w:kinsoku w:val="0"/>
        <w:wordWrap/>
        <w:overflowPunct/>
        <w:topLinePunct w:val="0"/>
        <w:autoSpaceDE w:val="0"/>
        <w:autoSpaceDN w:val="0"/>
        <w:bidi w:val="0"/>
        <w:snapToGrid w:val="0"/>
        <w:spacing w:before="72" w:line="219" w:lineRule="auto"/>
        <w:ind w:left="3350" w:right="0"/>
        <w:textAlignment w:val="baseline"/>
        <w:rPr>
          <w:rFonts w:hint="eastAsia" w:ascii="宋体" w:hAnsi="宋体" w:eastAsia="宋体" w:cs="宋体"/>
          <w:color w:val="auto"/>
          <w:spacing w:val="8"/>
          <w:sz w:val="24"/>
          <w:szCs w:val="24"/>
          <w:highlight w:val="none"/>
          <w:lang w:val="en-US" w:eastAsia="zh-CN"/>
        </w:rPr>
      </w:pPr>
    </w:p>
    <w:p w14:paraId="75924AFC">
      <w:pPr>
        <w:keepNext w:val="0"/>
        <w:keepLines w:val="0"/>
        <w:pageBreakBefore w:val="0"/>
        <w:widowControl/>
        <w:kinsoku w:val="0"/>
        <w:wordWrap/>
        <w:overflowPunct/>
        <w:topLinePunct w:val="0"/>
        <w:autoSpaceDE w:val="0"/>
        <w:autoSpaceDN w:val="0"/>
        <w:bidi w:val="0"/>
        <w:snapToGrid w:val="0"/>
        <w:spacing w:before="72" w:line="219" w:lineRule="auto"/>
        <w:ind w:right="0" w:firstLine="512" w:firstLineChars="200"/>
        <w:textAlignment w:val="baseline"/>
        <w:rPr>
          <w:rFonts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lang w:val="en-US" w:eastAsia="zh-CN"/>
        </w:rPr>
        <w:t>法定代表人</w:t>
      </w:r>
      <w:r>
        <w:rPr>
          <w:rFonts w:ascii="宋体" w:hAnsi="宋体" w:eastAsia="宋体" w:cs="宋体"/>
          <w:color w:val="auto"/>
          <w:spacing w:val="-77"/>
          <w:sz w:val="24"/>
          <w:szCs w:val="24"/>
          <w:highlight w:val="none"/>
        </w:rPr>
        <w:t xml:space="preserve"> </w:t>
      </w:r>
      <w:r>
        <w:rPr>
          <w:rFonts w:hint="eastAsia" w:ascii="宋体" w:hAnsi="宋体" w:eastAsia="宋体" w:cs="宋体"/>
          <w:color w:val="auto"/>
          <w:spacing w:val="-77"/>
          <w:sz w:val="24"/>
          <w:szCs w:val="24"/>
          <w:highlight w:val="none"/>
          <w:lang w:eastAsia="zh-CN"/>
        </w:rPr>
        <w:t>：</w:t>
      </w:r>
      <w:r>
        <w:rPr>
          <w:rFonts w:ascii="宋体" w:hAnsi="宋体" w:eastAsia="宋体" w:cs="宋体"/>
          <w:color w:val="auto"/>
          <w:spacing w:val="8"/>
          <w:sz w:val="24"/>
          <w:szCs w:val="24"/>
          <w:highlight w:val="none"/>
          <w:u w:val="single" w:color="auto"/>
        </w:rPr>
        <w:t xml:space="preserve">           </w:t>
      </w:r>
      <w:r>
        <w:rPr>
          <w:rFonts w:ascii="宋体" w:hAnsi="宋体" w:eastAsia="宋体" w:cs="宋体"/>
          <w:color w:val="auto"/>
          <w:spacing w:val="-14"/>
          <w:sz w:val="24"/>
          <w:szCs w:val="24"/>
          <w:highlight w:val="none"/>
        </w:rPr>
        <w:t>（</w:t>
      </w:r>
      <w:r>
        <w:rPr>
          <w:rFonts w:hint="eastAsia" w:ascii="宋体" w:hAnsi="宋体" w:eastAsia="宋体" w:cs="宋体"/>
          <w:b/>
          <w:bCs/>
          <w:color w:val="auto"/>
          <w:spacing w:val="8"/>
          <w:sz w:val="24"/>
          <w:szCs w:val="24"/>
          <w:highlight w:val="none"/>
          <w:lang w:val="en-US" w:eastAsia="zh-CN"/>
        </w:rPr>
        <w:t>签字</w:t>
      </w:r>
      <w:r>
        <w:rPr>
          <w:rFonts w:ascii="宋体" w:hAnsi="宋体" w:eastAsia="宋体" w:cs="宋体"/>
          <w:color w:val="auto"/>
          <w:spacing w:val="8"/>
          <w:sz w:val="24"/>
          <w:szCs w:val="24"/>
          <w:highlight w:val="none"/>
        </w:rPr>
        <w:t>）</w:t>
      </w:r>
    </w:p>
    <w:p w14:paraId="7DD5944B">
      <w:pPr>
        <w:spacing w:before="78" w:line="219" w:lineRule="auto"/>
        <w:ind w:left="536"/>
        <w:rPr>
          <w:rFonts w:ascii="宋体" w:hAnsi="宋体" w:eastAsia="宋体" w:cs="宋体"/>
          <w:color w:val="auto"/>
          <w:spacing w:val="0"/>
          <w:w w:val="100"/>
          <w:position w:val="0"/>
          <w:sz w:val="24"/>
          <w:szCs w:val="24"/>
          <w:highlight w:val="none"/>
        </w:rPr>
      </w:pPr>
    </w:p>
    <w:p w14:paraId="547E6B27">
      <w:pPr>
        <w:spacing w:before="78" w:line="219" w:lineRule="auto"/>
        <w:ind w:left="536"/>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ascii="宋体" w:hAnsi="宋体" w:eastAsia="宋体" w:cs="宋体"/>
          <w:color w:val="auto"/>
          <w:spacing w:val="0"/>
          <w:w w:val="100"/>
          <w:position w:val="0"/>
          <w:sz w:val="24"/>
          <w:szCs w:val="24"/>
          <w:highlight w:val="none"/>
        </w:rPr>
        <w:t>年</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月</w:t>
      </w:r>
      <w:r>
        <w:rPr>
          <w:rFonts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 xml:space="preserve">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日</w:t>
      </w:r>
    </w:p>
    <w:p w14:paraId="4D9BE2E6">
      <w:pPr>
        <w:spacing w:line="362" w:lineRule="auto"/>
        <w:rPr>
          <w:rFonts w:ascii="宋体" w:hAnsi="宋体" w:eastAsia="宋体" w:cs="宋体"/>
          <w:color w:val="auto"/>
          <w:spacing w:val="0"/>
          <w:w w:val="100"/>
          <w:position w:val="0"/>
          <w:sz w:val="24"/>
          <w:szCs w:val="24"/>
          <w:highlight w:val="none"/>
        </w:rPr>
      </w:pPr>
    </w:p>
    <w:p w14:paraId="2CBBC756">
      <w:pPr>
        <w:spacing w:line="360" w:lineRule="auto"/>
        <w:jc w:val="left"/>
        <w:rPr>
          <w:b/>
          <w:bCs/>
          <w:color w:val="auto"/>
          <w:szCs w:val="21"/>
          <w:highlight w:val="none"/>
        </w:rPr>
      </w:pPr>
      <w:r>
        <w:rPr>
          <w:rFonts w:hint="eastAsia"/>
          <w:b/>
          <w:bCs/>
          <w:color w:val="auto"/>
          <w:szCs w:val="21"/>
          <w:highlight w:val="none"/>
          <w:lang w:val="en-US" w:eastAsia="zh-CN"/>
        </w:rPr>
        <w:t xml:space="preserve">注：1、法定代表人的签字必须是亲笔签名，不得使用印章、签名章或其他电子制版签名代替。 </w:t>
      </w:r>
    </w:p>
    <w:p w14:paraId="5F18F5EA">
      <w:pPr>
        <w:spacing w:line="362" w:lineRule="auto"/>
        <w:rPr>
          <w:rFonts w:ascii="宋体" w:hAnsi="宋体" w:eastAsia="宋体" w:cs="宋体"/>
          <w:color w:val="auto"/>
          <w:spacing w:val="0"/>
          <w:w w:val="100"/>
          <w:position w:val="0"/>
          <w:sz w:val="24"/>
          <w:szCs w:val="24"/>
          <w:highlight w:val="none"/>
        </w:rPr>
        <w:sectPr>
          <w:headerReference r:id="rId62" w:type="default"/>
          <w:footerReference r:id="rId63" w:type="default"/>
          <w:pgSz w:w="11900" w:h="16843"/>
          <w:pgMar w:top="1378" w:right="1417" w:bottom="1208" w:left="1417" w:header="1366" w:footer="1003" w:gutter="0"/>
          <w:pgNumType w:fmt="decimal"/>
          <w:cols w:space="0" w:num="1"/>
          <w:rtlGutter w:val="0"/>
          <w:docGrid w:linePitch="0" w:charSpace="0"/>
        </w:sectPr>
      </w:pPr>
    </w:p>
    <w:p w14:paraId="6C8B0F20">
      <w:pPr>
        <w:pStyle w:val="6"/>
        <w:spacing w:before="100" w:line="225" w:lineRule="auto"/>
        <w:ind w:left="3089"/>
        <w:outlineLvl w:val="2"/>
        <w:rPr>
          <w:color w:val="auto"/>
          <w:spacing w:val="0"/>
          <w:w w:val="100"/>
          <w:position w:val="0"/>
          <w:highlight w:val="none"/>
        </w:rPr>
      </w:pPr>
      <w:bookmarkStart w:id="38" w:name="bookmark35"/>
      <w:bookmarkEnd w:id="38"/>
      <w:bookmarkStart w:id="39" w:name="bookmark34"/>
      <w:bookmarkEnd w:id="39"/>
      <w:r>
        <w:rPr>
          <w:rFonts w:hint="eastAsia"/>
          <w:b/>
          <w:bCs/>
          <w:color w:val="auto"/>
          <w:spacing w:val="0"/>
          <w:w w:val="100"/>
          <w:position w:val="0"/>
          <w:highlight w:val="none"/>
          <w:lang w:val="en-US" w:eastAsia="zh-CN"/>
        </w:rPr>
        <w:t>三</w:t>
      </w:r>
      <w:r>
        <w:rPr>
          <w:b/>
          <w:bCs/>
          <w:color w:val="auto"/>
          <w:spacing w:val="0"/>
          <w:w w:val="100"/>
          <w:position w:val="0"/>
          <w:highlight w:val="none"/>
        </w:rPr>
        <w:t>、投标保证金</w:t>
      </w:r>
    </w:p>
    <w:p w14:paraId="784DE514">
      <w:pPr>
        <w:spacing w:line="346" w:lineRule="auto"/>
        <w:rPr>
          <w:rFonts w:ascii="Arial"/>
          <w:color w:val="auto"/>
          <w:spacing w:val="0"/>
          <w:w w:val="100"/>
          <w:position w:val="0"/>
          <w:sz w:val="21"/>
          <w:highlight w:val="none"/>
        </w:rPr>
      </w:pPr>
    </w:p>
    <w:p w14:paraId="7C7217B3">
      <w:pPr>
        <w:spacing w:line="346" w:lineRule="auto"/>
        <w:rPr>
          <w:rFonts w:ascii="Arial"/>
          <w:color w:val="auto"/>
          <w:spacing w:val="0"/>
          <w:w w:val="100"/>
          <w:position w:val="0"/>
          <w:sz w:val="21"/>
          <w:highlight w:val="none"/>
        </w:rPr>
      </w:pPr>
    </w:p>
    <w:p w14:paraId="25321463">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ascii="Times New Roman" w:hAnsi="Times New Roman" w:eastAsia="宋体" w:cs="Times New Roman"/>
          <w:color w:val="auto"/>
          <w:sz w:val="22"/>
          <w:szCs w:val="22"/>
          <w:highlight w:val="none"/>
        </w:rPr>
        <w:t>如采用前附表中</w:t>
      </w:r>
      <w:r>
        <w:rPr>
          <w:rFonts w:hint="eastAsia" w:ascii="Times New Roman" w:hAnsi="Times New Roman" w:eastAsia="宋体" w:cs="Times New Roman"/>
          <w:color w:val="auto"/>
          <w:sz w:val="22"/>
          <w:szCs w:val="22"/>
          <w:highlight w:val="none"/>
          <w:lang w:val="en-US" w:eastAsia="zh-CN"/>
        </w:rPr>
        <w:t>银行转账</w:t>
      </w:r>
      <w:r>
        <w:rPr>
          <w:rFonts w:hint="eastAsia" w:cs="Times New Roman"/>
          <w:color w:val="auto"/>
          <w:sz w:val="22"/>
          <w:szCs w:val="22"/>
          <w:highlight w:val="none"/>
          <w:lang w:val="en-US" w:eastAsia="zh-CN"/>
        </w:rPr>
        <w:t>、</w:t>
      </w:r>
      <w:r>
        <w:rPr>
          <w:rFonts w:hint="eastAsia" w:ascii="Times New Roman" w:hAnsi="Times New Roman" w:eastAsia="宋体" w:cs="Times New Roman"/>
          <w:color w:val="auto"/>
          <w:sz w:val="22"/>
          <w:szCs w:val="22"/>
          <w:highlight w:val="none"/>
          <w:lang w:val="en-US" w:eastAsia="zh-CN"/>
        </w:rPr>
        <w:t>银行电汇</w:t>
      </w:r>
      <w:r>
        <w:rPr>
          <w:rFonts w:ascii="Times New Roman" w:hAnsi="Times New Roman" w:eastAsia="宋体" w:cs="Times New Roman"/>
          <w:color w:val="auto"/>
          <w:sz w:val="22"/>
          <w:szCs w:val="22"/>
          <w:highlight w:val="none"/>
        </w:rPr>
        <w:t>形式的投标担保，投标人应在此提供银行回单的扫描件、基本账户开户许可证扫描件（或基本存款账户编号）。</w:t>
      </w:r>
    </w:p>
    <w:p w14:paraId="7572E920">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如采用前附表中银行保函，投标人应在此提供基本账户开户许可证扫描件，同时将银行保函扫描件提供在投标文件中，格式见投标保函示范文本。 </w:t>
      </w:r>
    </w:p>
    <w:p w14:paraId="4A32C057">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如采用前附表中担保机构担保或保证保险，担保机构担保或保证保险扫描件提供在投标文件中，格式见投标保函示范文本。 </w:t>
      </w:r>
    </w:p>
    <w:p w14:paraId="40FA97BD">
      <w:pPr>
        <w:adjustRightInd w:val="0"/>
        <w:snapToGrid w:val="0"/>
        <w:spacing w:line="400" w:lineRule="exact"/>
        <w:ind w:firstLine="440" w:firstLineChars="200"/>
        <w:jc w:val="left"/>
        <w:textAlignment w:val="baseline"/>
        <w:rPr>
          <w:rFonts w:hint="eastAsia"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如采用前附表中电子保函形式，系统自动抓取电子保函信息，投标文件无需提供</w:t>
      </w:r>
      <w:r>
        <w:rPr>
          <w:rFonts w:hint="eastAsia" w:cs="Times New Roman"/>
          <w:color w:val="auto"/>
          <w:sz w:val="22"/>
          <w:szCs w:val="22"/>
          <w:highlight w:val="none"/>
          <w:lang w:val="en-US" w:eastAsia="zh-CN"/>
        </w:rPr>
        <w:t>。</w:t>
      </w:r>
    </w:p>
    <w:p w14:paraId="00736FE1">
      <w:pPr>
        <w:adjustRightInd w:val="0"/>
        <w:snapToGrid w:val="0"/>
        <w:spacing w:line="400" w:lineRule="exact"/>
        <w:ind w:firstLine="440" w:firstLineChars="200"/>
        <w:jc w:val="left"/>
        <w:textAlignment w:val="baseline"/>
        <w:rPr>
          <w:rFonts w:hint="eastAsia" w:ascii="Times New Roman" w:hAnsi="Times New Roman" w:eastAsia="宋体" w:cs="Times New Roman"/>
          <w:color w:val="auto"/>
          <w:sz w:val="22"/>
          <w:szCs w:val="22"/>
          <w:highlight w:val="none"/>
          <w:lang w:val="en-US" w:eastAsia="zh-CN"/>
        </w:rPr>
      </w:pPr>
    </w:p>
    <w:p w14:paraId="369DD274">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投标保函示范文本</w:t>
      </w:r>
    </w:p>
    <w:p w14:paraId="237DAE22">
      <w:pPr>
        <w:adjustRightInd w:val="0"/>
        <w:snapToGrid w:val="0"/>
        <w:spacing w:line="400" w:lineRule="exact"/>
        <w:jc w:val="left"/>
        <w:textAlignment w:val="baseline"/>
        <w:rPr>
          <w:rFonts w:ascii="Times New Roman" w:hAnsi="Times New Roman" w:eastAsia="宋体" w:cs="Times New Roman"/>
          <w:color w:val="auto"/>
          <w:sz w:val="22"/>
          <w:szCs w:val="22"/>
          <w:highlight w:val="none"/>
        </w:rPr>
      </w:pPr>
    </w:p>
    <w:p w14:paraId="5C9FE691">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u w:val="single"/>
        </w:rPr>
      </w:pPr>
      <w:r>
        <w:rPr>
          <w:rFonts w:hint="eastAsia" w:ascii="Times New Roman" w:hAnsi="Times New Roman" w:eastAsia="宋体" w:cs="Times New Roman"/>
          <w:color w:val="auto"/>
          <w:sz w:val="22"/>
          <w:szCs w:val="22"/>
          <w:highlight w:val="none"/>
          <w:lang w:val="en-US" w:eastAsia="zh-CN"/>
        </w:rPr>
        <w:t>编号：</w:t>
      </w:r>
      <w:r>
        <w:rPr>
          <w:rFonts w:hint="eastAsia" w:ascii="Times New Roman" w:hAnsi="Times New Roman" w:eastAsia="宋体" w:cs="Times New Roman"/>
          <w:color w:val="auto"/>
          <w:sz w:val="22"/>
          <w:szCs w:val="22"/>
          <w:highlight w:val="none"/>
          <w:u w:val="single"/>
          <w:lang w:val="en-US" w:eastAsia="zh-CN"/>
        </w:rPr>
        <w:t xml:space="preserve">                     </w:t>
      </w:r>
    </w:p>
    <w:p w14:paraId="68436418">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致：</w:t>
      </w:r>
      <w:r>
        <w:rPr>
          <w:rFonts w:hint="eastAsia" w:cs="Times New Roman"/>
          <w:color w:val="auto"/>
          <w:sz w:val="22"/>
          <w:szCs w:val="22"/>
          <w:highlight w:val="none"/>
          <w:u w:val="single"/>
          <w:lang w:val="en-US" w:eastAsia="zh-CN"/>
        </w:rPr>
        <w:t xml:space="preserve">     </w:t>
      </w:r>
      <w:r>
        <w:rPr>
          <w:rFonts w:hint="eastAsia" w:ascii="Times New Roman" w:hAnsi="Times New Roman" w:eastAsia="宋体" w:cs="Times New Roman"/>
          <w:color w:val="auto"/>
          <w:sz w:val="22"/>
          <w:szCs w:val="22"/>
          <w:highlight w:val="none"/>
          <w:u w:val="single"/>
          <w:lang w:val="en-US" w:eastAsia="zh-CN"/>
        </w:rPr>
        <w:t>受益人（招标人）</w:t>
      </w:r>
      <w:r>
        <w:rPr>
          <w:rFonts w:hint="eastAsia" w:cs="Times New Roman"/>
          <w:color w:val="auto"/>
          <w:sz w:val="22"/>
          <w:szCs w:val="22"/>
          <w:highlight w:val="none"/>
          <w:u w:val="single"/>
          <w:lang w:val="en-US" w:eastAsia="zh-CN"/>
        </w:rPr>
        <w:t xml:space="preserve">    </w:t>
      </w:r>
      <w:r>
        <w:rPr>
          <w:rFonts w:hint="eastAsia" w:ascii="Times New Roman" w:hAnsi="Times New Roman" w:eastAsia="宋体" w:cs="Times New Roman"/>
          <w:color w:val="auto"/>
          <w:sz w:val="22"/>
          <w:szCs w:val="22"/>
          <w:highlight w:val="none"/>
          <w:lang w:val="en-US" w:eastAsia="zh-CN"/>
        </w:rPr>
        <w:t xml:space="preserve">名称 </w:t>
      </w:r>
    </w:p>
    <w:p w14:paraId="788AA041">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开立人获得通知，</w:t>
      </w:r>
      <w:r>
        <w:rPr>
          <w:rFonts w:hint="eastAsia" w:cs="Times New Roman"/>
          <w:color w:val="auto"/>
          <w:sz w:val="22"/>
          <w:szCs w:val="22"/>
          <w:highlight w:val="none"/>
          <w:u w:val="single"/>
          <w:lang w:val="en-US" w:eastAsia="zh-CN"/>
        </w:rPr>
        <w:t xml:space="preserve">             </w:t>
      </w:r>
      <w:r>
        <w:rPr>
          <w:rFonts w:hint="eastAsia" w:ascii="Times New Roman" w:hAnsi="Times New Roman" w:eastAsia="宋体" w:cs="Times New Roman"/>
          <w:color w:val="auto"/>
          <w:sz w:val="22"/>
          <w:szCs w:val="22"/>
          <w:highlight w:val="none"/>
          <w:u w:val="single"/>
          <w:lang w:val="en-US" w:eastAsia="zh-CN"/>
        </w:rPr>
        <w:t>（投标人）</w:t>
      </w:r>
      <w:r>
        <w:rPr>
          <w:rFonts w:hint="eastAsia" w:ascii="Times New Roman" w:hAnsi="Times New Roman" w:eastAsia="宋体" w:cs="Times New Roman"/>
          <w:color w:val="auto"/>
          <w:sz w:val="22"/>
          <w:szCs w:val="22"/>
          <w:highlight w:val="none"/>
          <w:lang w:val="en-US" w:eastAsia="zh-CN"/>
        </w:rPr>
        <w:t>于</w:t>
      </w:r>
      <w:r>
        <w:rPr>
          <w:rFonts w:hint="eastAsia" w:cs="Times New Roman"/>
          <w:color w:val="auto"/>
          <w:sz w:val="22"/>
          <w:szCs w:val="22"/>
          <w:highlight w:val="none"/>
          <w:u w:val="single"/>
          <w:lang w:val="en-US" w:eastAsia="zh-CN"/>
        </w:rPr>
        <w:t xml:space="preserve">     </w:t>
      </w:r>
      <w:r>
        <w:rPr>
          <w:rFonts w:hint="eastAsia" w:ascii="Times New Roman" w:hAnsi="Times New Roman" w:eastAsia="宋体" w:cs="Times New Roman"/>
          <w:color w:val="auto"/>
          <w:sz w:val="22"/>
          <w:szCs w:val="22"/>
          <w:highlight w:val="none"/>
          <w:lang w:val="en-US" w:eastAsia="zh-CN"/>
        </w:rPr>
        <w:t>年</w:t>
      </w:r>
      <w:r>
        <w:rPr>
          <w:rFonts w:hint="eastAsia" w:cs="Times New Roman"/>
          <w:color w:val="auto"/>
          <w:sz w:val="22"/>
          <w:szCs w:val="22"/>
          <w:highlight w:val="none"/>
          <w:u w:val="single"/>
          <w:lang w:val="en-US" w:eastAsia="zh-CN"/>
        </w:rPr>
        <w:t xml:space="preserve">     </w:t>
      </w:r>
      <w:r>
        <w:rPr>
          <w:rFonts w:hint="eastAsia" w:ascii="Times New Roman" w:hAnsi="Times New Roman" w:eastAsia="宋体" w:cs="Times New Roman"/>
          <w:color w:val="auto"/>
          <w:sz w:val="22"/>
          <w:szCs w:val="22"/>
          <w:highlight w:val="none"/>
          <w:lang w:val="en-US" w:eastAsia="zh-CN"/>
        </w:rPr>
        <w:t>月</w:t>
      </w:r>
      <w:r>
        <w:rPr>
          <w:rFonts w:hint="eastAsia" w:cs="Times New Roman"/>
          <w:color w:val="auto"/>
          <w:sz w:val="22"/>
          <w:szCs w:val="22"/>
          <w:highlight w:val="none"/>
          <w:u w:val="single"/>
          <w:lang w:val="en-US" w:eastAsia="zh-CN"/>
        </w:rPr>
        <w:t xml:space="preserve">     </w:t>
      </w:r>
      <w:r>
        <w:rPr>
          <w:rFonts w:hint="eastAsia" w:ascii="Times New Roman" w:hAnsi="Times New Roman" w:eastAsia="宋体" w:cs="Times New Roman"/>
          <w:color w:val="auto"/>
          <w:sz w:val="22"/>
          <w:szCs w:val="22"/>
          <w:highlight w:val="none"/>
          <w:lang w:val="en-US" w:eastAsia="zh-CN"/>
        </w:rPr>
        <w:t>日参加编号为</w:t>
      </w:r>
      <w:r>
        <w:rPr>
          <w:rFonts w:hint="eastAsia" w:cs="Times New Roman"/>
          <w:color w:val="auto"/>
          <w:sz w:val="22"/>
          <w:szCs w:val="22"/>
          <w:highlight w:val="none"/>
          <w:u w:val="single"/>
          <w:lang w:val="en-US" w:eastAsia="zh-CN"/>
        </w:rPr>
        <w:t xml:space="preserve">       </w:t>
      </w:r>
      <w:r>
        <w:rPr>
          <w:rFonts w:hint="eastAsia" w:cs="Times New Roman"/>
          <w:color w:val="auto"/>
          <w:sz w:val="22"/>
          <w:szCs w:val="22"/>
          <w:highlight w:val="none"/>
          <w:lang w:val="en-US" w:eastAsia="zh-CN"/>
        </w:rPr>
        <w:t>的（项目名称、标段号）</w:t>
      </w:r>
      <w:r>
        <w:rPr>
          <w:rFonts w:hint="eastAsia" w:cs="Times New Roman"/>
          <w:color w:val="auto"/>
          <w:sz w:val="22"/>
          <w:szCs w:val="22"/>
          <w:highlight w:val="none"/>
          <w:u w:val="single"/>
          <w:lang w:val="en-US" w:eastAsia="zh-CN"/>
        </w:rPr>
        <w:t xml:space="preserve">                            </w:t>
      </w:r>
      <w:r>
        <w:rPr>
          <w:rFonts w:hint="eastAsia" w:ascii="Times New Roman" w:hAnsi="Times New Roman" w:eastAsia="宋体" w:cs="Times New Roman"/>
          <w:color w:val="auto"/>
          <w:sz w:val="22"/>
          <w:szCs w:val="22"/>
          <w:highlight w:val="none"/>
          <w:lang w:val="en-US" w:eastAsia="zh-CN"/>
        </w:rPr>
        <w:t xml:space="preserve">投标（即“基础交易”）。 </w:t>
      </w:r>
    </w:p>
    <w:p w14:paraId="7A3DD902">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一、开立人理解根据招标条件，投标人必须提交一份投标保函（以下简称“本保函”），以担保投标人诚信履行其在上述基础交易中承担的投标人义务。鉴此，应申请人要求，开立人在此同意向受益人出具此投标保函，本保函担保金额为人民币（大写）</w:t>
      </w:r>
      <w:r>
        <w:rPr>
          <w:rFonts w:hint="eastAsia" w:cs="Times New Roman"/>
          <w:color w:val="auto"/>
          <w:sz w:val="22"/>
          <w:szCs w:val="22"/>
          <w:highlight w:val="none"/>
          <w:u w:val="single"/>
          <w:lang w:val="en-US" w:eastAsia="zh-CN"/>
        </w:rPr>
        <w:t xml:space="preserve">     </w:t>
      </w:r>
      <w:r>
        <w:rPr>
          <w:rFonts w:hint="eastAsia" w:ascii="Times New Roman" w:hAnsi="Times New Roman" w:eastAsia="宋体" w:cs="Times New Roman"/>
          <w:color w:val="auto"/>
          <w:sz w:val="22"/>
          <w:szCs w:val="22"/>
          <w:highlight w:val="none"/>
          <w:lang w:val="en-US" w:eastAsia="zh-CN"/>
        </w:rPr>
        <w:t>元（¥</w:t>
      </w:r>
      <w:r>
        <w:rPr>
          <w:rFonts w:hint="eastAsia" w:cs="Times New Roman"/>
          <w:color w:val="auto"/>
          <w:sz w:val="22"/>
          <w:szCs w:val="22"/>
          <w:highlight w:val="none"/>
          <w:u w:val="single"/>
          <w:lang w:val="en-US" w:eastAsia="zh-CN"/>
        </w:rPr>
        <w:t xml:space="preserve">              </w:t>
      </w:r>
      <w:r>
        <w:rPr>
          <w:rFonts w:hint="eastAsia" w:ascii="Times New Roman" w:hAnsi="Times New Roman" w:eastAsia="宋体" w:cs="Times New Roman"/>
          <w:color w:val="auto"/>
          <w:sz w:val="22"/>
          <w:szCs w:val="22"/>
          <w:highlight w:val="none"/>
          <w:lang w:val="en-US" w:eastAsia="zh-CN"/>
        </w:rPr>
        <w:t xml:space="preserve">）。 </w:t>
      </w:r>
    </w:p>
    <w:p w14:paraId="27671CE7">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二、开立人在投标人发生以下情形时承担保证担保责任： </w:t>
      </w:r>
    </w:p>
    <w:p w14:paraId="7B25C584">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（1）投标人在投标有效期内撤销投标文件； </w:t>
      </w:r>
    </w:p>
    <w:p w14:paraId="2A9F0125">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（2）投标人在中标后无正当理由不与招标人订立合同； </w:t>
      </w:r>
    </w:p>
    <w:p w14:paraId="0E33D15E">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（3）投标人在签订合同时向招标人提出附加条件； </w:t>
      </w:r>
    </w:p>
    <w:p w14:paraId="6BE58B9B">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（4）投标人不按照招标文件要求提交履约保证金； </w:t>
      </w:r>
    </w:p>
    <w:p w14:paraId="30C4BB5A">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（5）发生招标文件明确规定可以不予退还投标保证金的其他情形。 </w:t>
      </w:r>
    </w:p>
    <w:p w14:paraId="036A3A93">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三、本保函为不可撤销、不可转让的见索即付独立保函。本保函有效期自开立之日起至投标 </w:t>
      </w:r>
    </w:p>
    <w:p w14:paraId="1519AA28">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有效期届满之日止。 </w:t>
      </w:r>
    </w:p>
    <w:p w14:paraId="3C34821E">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四、开立人承诺，在收到受益人发来的书面付款通知后的七日内无条件支付，前述书面付款 </w:t>
      </w:r>
    </w:p>
    <w:p w14:paraId="1A71AB2C">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通知即为付款要求之单据，且应满足以下要求： </w:t>
      </w:r>
    </w:p>
    <w:p w14:paraId="4F368B50">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（1）付款通知到达的日期在本保函的有效期内； </w:t>
      </w:r>
    </w:p>
    <w:p w14:paraId="606FCCEA">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（2）载明要求支付的金额； </w:t>
      </w:r>
    </w:p>
    <w:p w14:paraId="727A4E4E">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r>
        <w:rPr>
          <w:rFonts w:hint="eastAsia" w:ascii="Times New Roman" w:hAnsi="Times New Roman" w:eastAsia="宋体" w:cs="Times New Roman"/>
          <w:color w:val="auto"/>
          <w:sz w:val="22"/>
          <w:szCs w:val="22"/>
          <w:highlight w:val="none"/>
          <w:lang w:val="en-US" w:eastAsia="zh-CN"/>
        </w:rPr>
        <w:t xml:space="preserve">（3）载明申请人违反招投标文件规定的义务内容和具体条款； </w:t>
      </w:r>
    </w:p>
    <w:p w14:paraId="14AEFC38">
      <w:pPr>
        <w:adjustRightInd w:val="0"/>
        <w:snapToGrid w:val="0"/>
        <w:spacing w:line="400" w:lineRule="exact"/>
        <w:ind w:firstLine="440" w:firstLineChars="200"/>
        <w:jc w:val="left"/>
        <w:textAlignment w:val="baseline"/>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（4）声明不存在招标文件规定或我国法律规定免除申请人或我方支付责任的情形；</w:t>
      </w:r>
    </w:p>
    <w:p w14:paraId="0E8F9F67">
      <w:pPr>
        <w:adjustRightInd w:val="0"/>
        <w:snapToGrid w:val="0"/>
        <w:spacing w:line="400" w:lineRule="exact"/>
        <w:ind w:firstLine="440" w:firstLineChars="200"/>
        <w:jc w:val="left"/>
        <w:textAlignment w:val="baseline"/>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 xml:space="preserve">（5）书面付款通知应在本保函有效期内到达的地址是： </w:t>
      </w:r>
      <w:r>
        <w:rPr>
          <w:rFonts w:hint="eastAsia" w:cs="Times New Roman"/>
          <w:color w:val="auto"/>
          <w:sz w:val="22"/>
          <w:szCs w:val="22"/>
          <w:highlight w:val="none"/>
          <w:u w:val="single"/>
          <w:lang w:val="en-US" w:eastAsia="zh-CN"/>
        </w:rPr>
        <w:t xml:space="preserve">                        </w:t>
      </w:r>
      <w:r>
        <w:rPr>
          <w:rFonts w:hint="eastAsia" w:ascii="Times New Roman" w:hAnsi="Times New Roman" w:eastAsia="宋体" w:cs="Times New Roman"/>
          <w:color w:val="auto"/>
          <w:sz w:val="22"/>
          <w:szCs w:val="22"/>
          <w:highlight w:val="none"/>
          <w:lang w:val="en-US" w:eastAsia="zh-CN"/>
        </w:rPr>
        <w:t xml:space="preserve">。 </w:t>
      </w:r>
    </w:p>
    <w:p w14:paraId="55FD2DFA">
      <w:pPr>
        <w:adjustRightInd w:val="0"/>
        <w:snapToGrid w:val="0"/>
        <w:spacing w:line="400" w:lineRule="exact"/>
        <w:ind w:firstLine="440" w:firstLineChars="200"/>
        <w:jc w:val="left"/>
        <w:textAlignment w:val="baseline"/>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 xml:space="preserve">受益人发出的书面付款通知应由其法定代表人（负责人）或授权代理人签字并加盖公章。 </w:t>
      </w:r>
    </w:p>
    <w:p w14:paraId="1FC19EDA">
      <w:pPr>
        <w:adjustRightInd w:val="0"/>
        <w:snapToGrid w:val="0"/>
        <w:spacing w:line="400" w:lineRule="exact"/>
        <w:ind w:firstLine="440" w:firstLineChars="200"/>
        <w:jc w:val="left"/>
        <w:textAlignment w:val="baseline"/>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 xml:space="preserve">五、本保函项下的权利不得转让，不得设定担保。受益人未经开立人书面同意转让本保函或其项下任何权利，对开立人不发生法律效力。 </w:t>
      </w:r>
    </w:p>
    <w:p w14:paraId="55617B84">
      <w:pPr>
        <w:adjustRightInd w:val="0"/>
        <w:snapToGrid w:val="0"/>
        <w:spacing w:line="400" w:lineRule="exact"/>
        <w:ind w:firstLine="440" w:firstLineChars="200"/>
        <w:jc w:val="left"/>
        <w:textAlignment w:val="baseline"/>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 xml:space="preserve">六、本保函项下的基础交易不成立、不生效、无效、被撤销、被解除，不影响本保函的独立有效。 </w:t>
      </w:r>
    </w:p>
    <w:p w14:paraId="221DF9F4">
      <w:pPr>
        <w:adjustRightInd w:val="0"/>
        <w:snapToGrid w:val="0"/>
        <w:spacing w:line="400" w:lineRule="exact"/>
        <w:ind w:firstLine="440" w:firstLineChars="200"/>
        <w:jc w:val="left"/>
        <w:textAlignment w:val="baseline"/>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 xml:space="preserve">七、本保函项下的义务和责任均在保函有效期到期后自动消灭。 </w:t>
      </w:r>
    </w:p>
    <w:p w14:paraId="56E3D374">
      <w:pPr>
        <w:adjustRightInd w:val="0"/>
        <w:snapToGrid w:val="0"/>
        <w:spacing w:line="400" w:lineRule="exact"/>
        <w:ind w:firstLine="440" w:firstLineChars="200"/>
        <w:jc w:val="left"/>
        <w:textAlignment w:val="baseline"/>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 xml:space="preserve">八、本保函适用的法律为中华人民共和国法律，因本保函产生的纠纷案件，由受益人所在地人民法院管辖。 </w:t>
      </w:r>
    </w:p>
    <w:p w14:paraId="4D89DAE5">
      <w:pPr>
        <w:adjustRightInd w:val="0"/>
        <w:snapToGrid w:val="0"/>
        <w:spacing w:line="400" w:lineRule="exact"/>
        <w:ind w:firstLine="440" w:firstLineChars="200"/>
        <w:jc w:val="left"/>
        <w:textAlignment w:val="baseline"/>
        <w:rPr>
          <w:rFonts w:hint="eastAsia" w:ascii="Times New Roman" w:hAnsi="Times New Roman" w:eastAsia="宋体" w:cs="Times New Roman"/>
          <w:color w:val="auto"/>
          <w:sz w:val="22"/>
          <w:szCs w:val="22"/>
          <w:highlight w:val="none"/>
          <w:lang w:val="en-US" w:eastAsia="zh-CN"/>
        </w:rPr>
      </w:pPr>
      <w:r>
        <w:rPr>
          <w:rFonts w:hint="eastAsia" w:ascii="Times New Roman" w:hAnsi="Times New Roman" w:eastAsia="宋体" w:cs="Times New Roman"/>
          <w:color w:val="auto"/>
          <w:sz w:val="22"/>
          <w:szCs w:val="22"/>
          <w:highlight w:val="none"/>
          <w:lang w:val="en-US" w:eastAsia="zh-CN"/>
        </w:rPr>
        <w:t>九、本保函自我方法定代表人或授权代表签字并加盖公章之日起生效。</w:t>
      </w:r>
    </w:p>
    <w:p w14:paraId="776E7644">
      <w:pPr>
        <w:adjustRightInd w:val="0"/>
        <w:snapToGrid w:val="0"/>
        <w:spacing w:line="400" w:lineRule="exact"/>
        <w:ind w:firstLine="440" w:firstLineChars="200"/>
        <w:jc w:val="left"/>
        <w:textAlignment w:val="baseline"/>
        <w:rPr>
          <w:rFonts w:ascii="Times New Roman" w:hAnsi="Times New Roman" w:eastAsia="宋体" w:cs="Times New Roman"/>
          <w:color w:val="auto"/>
          <w:sz w:val="22"/>
          <w:szCs w:val="22"/>
          <w:highlight w:val="none"/>
        </w:rPr>
      </w:pPr>
    </w:p>
    <w:p w14:paraId="485AC9E7">
      <w:pPr>
        <w:adjustRightInd w:val="0"/>
        <w:snapToGrid w:val="0"/>
        <w:spacing w:line="400" w:lineRule="exact"/>
        <w:ind w:left="437" w:leftChars="208" w:firstLine="2340" w:firstLineChars="1064"/>
        <w:jc w:val="right"/>
        <w:textAlignment w:val="baseline"/>
        <w:rPr>
          <w:rFonts w:ascii="Times New Roman" w:hAnsi="Times New Roman" w:eastAsia="宋体" w:cs="Times New Roman"/>
          <w:color w:val="auto"/>
          <w:sz w:val="22"/>
          <w:szCs w:val="22"/>
          <w:highlight w:val="none"/>
        </w:rPr>
      </w:pPr>
      <w:r>
        <w:rPr>
          <w:rFonts w:hint="eastAsia" w:cs="Times New Roman"/>
          <w:color w:val="auto"/>
          <w:sz w:val="22"/>
          <w:szCs w:val="22"/>
          <w:highlight w:val="none"/>
          <w:lang w:val="en-US" w:eastAsia="zh-CN"/>
        </w:rPr>
        <w:t>开立人</w:t>
      </w:r>
      <w:r>
        <w:rPr>
          <w:rFonts w:ascii="Times New Roman" w:hAnsi="Times New Roman" w:eastAsia="宋体" w:cs="Times New Roman"/>
          <w:color w:val="auto"/>
          <w:sz w:val="22"/>
          <w:szCs w:val="22"/>
          <w:highlight w:val="none"/>
        </w:rPr>
        <w:t>：</w:t>
      </w:r>
      <w:r>
        <w:rPr>
          <w:rFonts w:ascii="Times New Roman" w:hAnsi="Times New Roman" w:eastAsia="宋体" w:cs="Times New Roman"/>
          <w:color w:val="auto"/>
          <w:sz w:val="22"/>
          <w:szCs w:val="22"/>
          <w:highlight w:val="none"/>
          <w:u w:val="single"/>
        </w:rPr>
        <w:t xml:space="preserve">                                  （盖单位章） </w:t>
      </w:r>
      <w:r>
        <w:rPr>
          <w:rFonts w:ascii="Times New Roman" w:hAnsi="Times New Roman" w:eastAsia="宋体" w:cs="Times New Roman"/>
          <w:color w:val="auto"/>
          <w:sz w:val="22"/>
          <w:szCs w:val="22"/>
          <w:highlight w:val="none"/>
        </w:rPr>
        <w:t xml:space="preserve">   </w:t>
      </w:r>
    </w:p>
    <w:p w14:paraId="2CFF3F6F">
      <w:pPr>
        <w:adjustRightInd w:val="0"/>
        <w:snapToGrid w:val="0"/>
        <w:spacing w:line="400" w:lineRule="exact"/>
        <w:ind w:left="293" w:hanging="292" w:hangingChars="133"/>
        <w:jc w:val="right"/>
        <w:textAlignment w:val="baseline"/>
        <w:rPr>
          <w:rFonts w:ascii="Times New Roman" w:hAnsi="Times New Roman" w:eastAsia="宋体" w:cs="Times New Roman"/>
          <w:color w:val="auto"/>
          <w:sz w:val="22"/>
          <w:szCs w:val="22"/>
          <w:highlight w:val="none"/>
          <w:u w:val="single"/>
        </w:rPr>
      </w:pPr>
      <w:r>
        <w:rPr>
          <w:rFonts w:ascii="Times New Roman" w:hAnsi="Times New Roman" w:eastAsia="宋体" w:cs="Times New Roman"/>
          <w:color w:val="auto"/>
          <w:sz w:val="22"/>
          <w:szCs w:val="22"/>
          <w:highlight w:val="none"/>
          <w:u w:val="none"/>
        </w:rPr>
        <w:t>法定代表人（ 或</w:t>
      </w:r>
      <w:r>
        <w:rPr>
          <w:rFonts w:hint="eastAsia" w:cs="Times New Roman"/>
          <w:color w:val="auto"/>
          <w:sz w:val="22"/>
          <w:szCs w:val="22"/>
          <w:highlight w:val="none"/>
          <w:u w:val="none"/>
          <w:lang w:val="en-US" w:eastAsia="zh-CN"/>
        </w:rPr>
        <w:t>授权代表</w:t>
      </w:r>
      <w:r>
        <w:rPr>
          <w:rFonts w:ascii="Times New Roman" w:hAnsi="Times New Roman" w:eastAsia="宋体" w:cs="Times New Roman"/>
          <w:color w:val="auto"/>
          <w:sz w:val="22"/>
          <w:szCs w:val="22"/>
          <w:highlight w:val="none"/>
          <w:u w:val="none"/>
        </w:rPr>
        <w:t>）：</w:t>
      </w:r>
      <w:r>
        <w:rPr>
          <w:rFonts w:ascii="Times New Roman" w:hAnsi="Times New Roman" w:eastAsia="宋体" w:cs="Times New Roman"/>
          <w:color w:val="auto"/>
          <w:sz w:val="22"/>
          <w:szCs w:val="22"/>
          <w:highlight w:val="none"/>
          <w:u w:val="single"/>
        </w:rPr>
        <w:t xml:space="preserve">   （签字或盖章）</w:t>
      </w:r>
    </w:p>
    <w:p w14:paraId="30912023">
      <w:pPr>
        <w:adjustRightInd w:val="0"/>
        <w:snapToGrid w:val="0"/>
        <w:spacing w:line="400" w:lineRule="exact"/>
        <w:ind w:left="437" w:leftChars="208" w:firstLine="4756" w:firstLineChars="2162"/>
        <w:jc w:val="left"/>
        <w:textAlignment w:val="baseline"/>
        <w:rPr>
          <w:rFonts w:hint="default" w:ascii="Times New Roman" w:hAnsi="Times New Roman" w:eastAsia="宋体" w:cs="Times New Roman"/>
          <w:color w:val="auto"/>
          <w:sz w:val="22"/>
          <w:szCs w:val="22"/>
          <w:highlight w:val="none"/>
          <w:u w:val="single"/>
          <w:lang w:val="en-US" w:eastAsia="zh-CN"/>
        </w:rPr>
      </w:pPr>
      <w:r>
        <w:rPr>
          <w:rFonts w:ascii="Times New Roman" w:hAnsi="Times New Roman" w:eastAsia="宋体" w:cs="Times New Roman"/>
          <w:color w:val="auto"/>
          <w:sz w:val="22"/>
          <w:szCs w:val="22"/>
          <w:highlight w:val="none"/>
          <w:u w:val="none"/>
        </w:rPr>
        <w:t>地址：</w:t>
      </w:r>
      <w:r>
        <w:rPr>
          <w:rFonts w:hint="eastAsia" w:ascii="Times New Roman" w:hAnsi="Times New Roman" w:eastAsia="宋体" w:cs="Times New Roman"/>
          <w:color w:val="auto"/>
          <w:sz w:val="22"/>
          <w:szCs w:val="22"/>
          <w:highlight w:val="none"/>
          <w:u w:val="single"/>
          <w:lang w:val="en-US" w:eastAsia="zh-CN"/>
        </w:rPr>
        <w:t xml:space="preserve">                                                          </w:t>
      </w:r>
    </w:p>
    <w:p w14:paraId="2B455B65">
      <w:pPr>
        <w:adjustRightInd w:val="0"/>
        <w:snapToGrid w:val="0"/>
        <w:spacing w:line="400" w:lineRule="exact"/>
        <w:ind w:left="437" w:leftChars="208" w:firstLine="4756" w:firstLineChars="2162"/>
        <w:jc w:val="left"/>
        <w:textAlignment w:val="baseline"/>
        <w:rPr>
          <w:rFonts w:ascii="Times New Roman" w:hAnsi="Times New Roman" w:eastAsia="宋体" w:cs="Times New Roman"/>
          <w:color w:val="auto"/>
          <w:sz w:val="22"/>
          <w:szCs w:val="22"/>
          <w:highlight w:val="none"/>
          <w:u w:val="single"/>
        </w:rPr>
      </w:pPr>
      <w:r>
        <w:rPr>
          <w:rFonts w:ascii="Times New Roman" w:hAnsi="Times New Roman" w:eastAsia="宋体" w:cs="Times New Roman"/>
          <w:color w:val="auto"/>
          <w:sz w:val="22"/>
          <w:szCs w:val="22"/>
          <w:highlight w:val="none"/>
          <w:u w:val="none"/>
        </w:rPr>
        <w:t xml:space="preserve">邮政编码： </w:t>
      </w:r>
      <w:r>
        <w:rPr>
          <w:rFonts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u w:val="single"/>
          <w:lang w:val="en-US" w:eastAsia="zh-CN"/>
        </w:rPr>
        <w:t xml:space="preserve">                  </w:t>
      </w:r>
      <w:r>
        <w:rPr>
          <w:rFonts w:ascii="Times New Roman" w:hAnsi="Times New Roman" w:eastAsia="宋体" w:cs="Times New Roman"/>
          <w:color w:val="auto"/>
          <w:sz w:val="22"/>
          <w:szCs w:val="22"/>
          <w:highlight w:val="none"/>
          <w:u w:val="single"/>
        </w:rPr>
        <w:t xml:space="preserve">                    </w:t>
      </w:r>
    </w:p>
    <w:p w14:paraId="4D9AE6B5">
      <w:pPr>
        <w:adjustRightInd w:val="0"/>
        <w:snapToGrid w:val="0"/>
        <w:spacing w:line="400" w:lineRule="exact"/>
        <w:ind w:left="437" w:leftChars="208" w:firstLine="4756" w:firstLineChars="2162"/>
        <w:jc w:val="left"/>
        <w:textAlignment w:val="baseline"/>
        <w:rPr>
          <w:rFonts w:hint="eastAsia" w:ascii="Times New Roman" w:hAnsi="Times New Roman" w:eastAsia="宋体" w:cs="Times New Roman"/>
          <w:color w:val="auto"/>
          <w:sz w:val="22"/>
          <w:szCs w:val="22"/>
          <w:highlight w:val="none"/>
          <w:u w:val="single"/>
          <w:lang w:val="en-US" w:eastAsia="zh-CN"/>
        </w:rPr>
      </w:pPr>
      <w:r>
        <w:rPr>
          <w:rFonts w:ascii="Times New Roman" w:hAnsi="Times New Roman" w:eastAsia="宋体" w:cs="Times New Roman"/>
          <w:color w:val="auto"/>
          <w:sz w:val="22"/>
          <w:szCs w:val="22"/>
          <w:highlight w:val="none"/>
          <w:u w:val="none"/>
        </w:rPr>
        <w:t>电 话：</w:t>
      </w:r>
      <w:r>
        <w:rPr>
          <w:rFonts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u w:val="single"/>
          <w:lang w:val="en-US" w:eastAsia="zh-CN"/>
        </w:rPr>
        <w:t xml:space="preserve">                     </w:t>
      </w:r>
      <w:r>
        <w:rPr>
          <w:rFonts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u w:val="single"/>
          <w:lang w:val="en-US" w:eastAsia="zh-CN"/>
        </w:rPr>
        <w:t xml:space="preserve"> </w:t>
      </w:r>
    </w:p>
    <w:p w14:paraId="77161D69">
      <w:pPr>
        <w:adjustRightInd w:val="0"/>
        <w:snapToGrid w:val="0"/>
        <w:spacing w:line="400" w:lineRule="exact"/>
        <w:ind w:left="437" w:leftChars="208" w:firstLine="4756" w:firstLineChars="2162"/>
        <w:jc w:val="left"/>
        <w:textAlignment w:val="baseline"/>
        <w:rPr>
          <w:rFonts w:ascii="Times New Roman" w:hAnsi="Times New Roman" w:eastAsia="宋体" w:cs="Times New Roman"/>
          <w:color w:val="auto"/>
          <w:sz w:val="22"/>
          <w:szCs w:val="22"/>
          <w:highlight w:val="none"/>
        </w:rPr>
      </w:pPr>
      <w:r>
        <w:rPr>
          <w:rFonts w:ascii="Times New Roman" w:hAnsi="Times New Roman" w:eastAsia="宋体" w:cs="Times New Roman"/>
          <w:color w:val="auto"/>
          <w:sz w:val="22"/>
          <w:szCs w:val="22"/>
          <w:highlight w:val="none"/>
          <w:u w:val="none"/>
        </w:rPr>
        <w:t>传真：</w:t>
      </w:r>
      <w:r>
        <w:rPr>
          <w:rFonts w:ascii="Times New Roman" w:hAnsi="Times New Roman" w:eastAsia="宋体" w:cs="Times New Roman"/>
          <w:color w:val="auto"/>
          <w:sz w:val="22"/>
          <w:szCs w:val="22"/>
          <w:highlight w:val="none"/>
          <w:u w:val="single"/>
        </w:rPr>
        <w:t xml:space="preserve"> </w:t>
      </w:r>
      <w:r>
        <w:rPr>
          <w:rFonts w:hint="eastAsia" w:ascii="Times New Roman" w:hAnsi="Times New Roman" w:eastAsia="宋体" w:cs="Times New Roman"/>
          <w:color w:val="auto"/>
          <w:sz w:val="22"/>
          <w:szCs w:val="22"/>
          <w:highlight w:val="none"/>
          <w:u w:val="single"/>
          <w:lang w:val="en-US" w:eastAsia="zh-CN"/>
        </w:rPr>
        <w:t xml:space="preserve">                                                       </w:t>
      </w:r>
      <w:r>
        <w:rPr>
          <w:rFonts w:ascii="Times New Roman" w:hAnsi="Times New Roman" w:eastAsia="宋体" w:cs="Times New Roman"/>
          <w:color w:val="auto"/>
          <w:sz w:val="22"/>
          <w:szCs w:val="22"/>
          <w:highlight w:val="none"/>
          <w:u w:val="single"/>
        </w:rPr>
        <w:t xml:space="preserve">  </w:t>
      </w:r>
      <w:r>
        <w:rPr>
          <w:rFonts w:ascii="Times New Roman" w:hAnsi="Times New Roman" w:eastAsia="宋体" w:cs="Times New Roman"/>
          <w:color w:val="auto"/>
          <w:sz w:val="22"/>
          <w:szCs w:val="22"/>
          <w:highlight w:val="none"/>
        </w:rPr>
        <w:t xml:space="preserve">                                </w:t>
      </w:r>
    </w:p>
    <w:p w14:paraId="667C741E">
      <w:pPr>
        <w:spacing w:line="400" w:lineRule="exact"/>
        <w:ind w:firstLine="0" w:firstLineChars="0"/>
        <w:jc w:val="center"/>
        <w:rPr>
          <w:b/>
          <w:bCs/>
          <w:color w:val="auto"/>
          <w:sz w:val="24"/>
          <w:highlight w:val="none"/>
        </w:rPr>
      </w:pPr>
      <w:r>
        <w:rPr>
          <w:rFonts w:hint="eastAsia" w:ascii="宋体" w:hAnsi="宋体" w:cs="宋体"/>
          <w:color w:val="auto"/>
          <w:sz w:val="21"/>
          <w:szCs w:val="21"/>
          <w:highlight w:val="none"/>
          <w:u w:val="none" w:color="auto"/>
          <w:lang w:val="en-US" w:eastAsia="zh-CN"/>
        </w:rPr>
        <w:t xml:space="preserve">                                         开立时间：</w:t>
      </w:r>
      <w:r>
        <w:rPr>
          <w:rFonts w:ascii="宋体" w:hAnsi="宋体" w:eastAsia="宋体" w:cs="宋体"/>
          <w:color w:val="auto"/>
          <w:sz w:val="21"/>
          <w:szCs w:val="21"/>
          <w:highlight w:val="none"/>
          <w:u w:val="single" w:color="auto"/>
        </w:rPr>
        <w:tab/>
      </w:r>
      <w:r>
        <w:rPr>
          <w:rFonts w:hint="eastAsia" w:ascii="宋体" w:hAnsi="宋体" w:eastAsia="宋体" w:cs="宋体"/>
          <w:color w:val="auto"/>
          <w:sz w:val="21"/>
          <w:szCs w:val="21"/>
          <w:highlight w:val="none"/>
          <w:u w:val="single" w:color="auto"/>
          <w:lang w:val="en-US" w:eastAsia="zh-CN"/>
        </w:rPr>
        <w:t xml:space="preserve">   </w:t>
      </w:r>
      <w:r>
        <w:rPr>
          <w:rFonts w:ascii="宋体" w:hAnsi="宋体" w:eastAsia="宋体" w:cs="宋体"/>
          <w:color w:val="auto"/>
          <w:spacing w:val="-11"/>
          <w:sz w:val="22"/>
          <w:szCs w:val="22"/>
          <w:highlight w:val="none"/>
        </w:rPr>
        <w:t>年</w:t>
      </w:r>
      <w:r>
        <w:rPr>
          <w:rFonts w:ascii="宋体" w:hAnsi="宋体" w:eastAsia="宋体" w:cs="宋体"/>
          <w:color w:val="auto"/>
          <w:spacing w:val="15"/>
          <w:sz w:val="22"/>
          <w:szCs w:val="22"/>
          <w:highlight w:val="none"/>
          <w:u w:val="single" w:color="auto"/>
        </w:rPr>
        <w:t xml:space="preserve">   </w:t>
      </w:r>
      <w:r>
        <w:rPr>
          <w:rFonts w:ascii="宋体" w:hAnsi="宋体" w:eastAsia="宋体" w:cs="宋体"/>
          <w:color w:val="auto"/>
          <w:spacing w:val="-11"/>
          <w:sz w:val="22"/>
          <w:szCs w:val="22"/>
          <w:highlight w:val="none"/>
        </w:rPr>
        <w:t>月</w:t>
      </w:r>
      <w:r>
        <w:rPr>
          <w:rFonts w:ascii="宋体" w:hAnsi="宋体" w:eastAsia="宋体" w:cs="宋体"/>
          <w:color w:val="auto"/>
          <w:spacing w:val="10"/>
          <w:sz w:val="22"/>
          <w:szCs w:val="22"/>
          <w:highlight w:val="none"/>
          <w:u w:val="single" w:color="auto"/>
        </w:rPr>
        <w:t xml:space="preserve">    </w:t>
      </w:r>
      <w:r>
        <w:rPr>
          <w:rFonts w:ascii="宋体" w:hAnsi="宋体" w:eastAsia="宋体" w:cs="宋体"/>
          <w:color w:val="auto"/>
          <w:spacing w:val="-11"/>
          <w:sz w:val="22"/>
          <w:szCs w:val="22"/>
          <w:highlight w:val="none"/>
        </w:rPr>
        <w:t>日</w:t>
      </w:r>
    </w:p>
    <w:p w14:paraId="622D66FB">
      <w:pPr>
        <w:adjustRightInd w:val="0"/>
        <w:snapToGrid w:val="0"/>
        <w:spacing w:line="400" w:lineRule="exact"/>
        <w:ind w:firstLine="442" w:firstLineChars="200"/>
        <w:jc w:val="left"/>
        <w:textAlignment w:val="baseline"/>
        <w:rPr>
          <w:rFonts w:ascii="Times New Roman" w:hAnsi="Times New Roman" w:eastAsia="宋体" w:cs="Times New Roman"/>
          <w:b/>
          <w:bCs/>
          <w:color w:val="auto"/>
          <w:sz w:val="22"/>
          <w:szCs w:val="22"/>
          <w:highlight w:val="none"/>
        </w:rPr>
      </w:pPr>
      <w:r>
        <w:rPr>
          <w:rFonts w:hint="eastAsia" w:ascii="Times New Roman" w:hAnsi="Times New Roman" w:eastAsia="宋体" w:cs="Times New Roman"/>
          <w:b/>
          <w:bCs/>
          <w:color w:val="auto"/>
          <w:sz w:val="22"/>
          <w:szCs w:val="22"/>
          <w:highlight w:val="none"/>
          <w:lang w:val="en-US" w:eastAsia="zh-CN"/>
        </w:rPr>
        <w:t>注：</w:t>
      </w:r>
      <w:r>
        <w:rPr>
          <w:rFonts w:ascii="Times New Roman" w:hAnsi="Times New Roman" w:eastAsia="宋体" w:cs="Times New Roman"/>
          <w:b/>
          <w:bCs/>
          <w:color w:val="auto"/>
          <w:sz w:val="22"/>
          <w:szCs w:val="22"/>
          <w:highlight w:val="none"/>
        </w:rPr>
        <w:t>1、</w:t>
      </w:r>
      <w:r>
        <w:rPr>
          <w:rFonts w:hint="eastAsia" w:ascii="Times New Roman" w:hAnsi="Times New Roman" w:eastAsia="宋体" w:cs="Times New Roman"/>
          <w:b/>
          <w:bCs/>
          <w:color w:val="auto"/>
          <w:sz w:val="22"/>
          <w:szCs w:val="22"/>
          <w:highlight w:val="none"/>
          <w:lang w:val="en-US" w:eastAsia="zh-CN"/>
        </w:rPr>
        <w:t xml:space="preserve">允许投标人实际开具的银行保函或担保机构或保证保险机构出具的担保的格式与本文件提供的格式有所不同，但不得更改本文件提供的银行保函或担保格式中的实质性内容。 </w:t>
      </w:r>
    </w:p>
    <w:p w14:paraId="601F5554">
      <w:pPr>
        <w:adjustRightInd w:val="0"/>
        <w:snapToGrid w:val="0"/>
        <w:spacing w:line="400" w:lineRule="exact"/>
        <w:ind w:firstLine="442" w:firstLineChars="200"/>
        <w:jc w:val="left"/>
        <w:textAlignment w:val="baseline"/>
        <w:rPr>
          <w:rFonts w:ascii="Times New Roman" w:hAnsi="Times New Roman" w:eastAsia="宋体" w:cs="Times New Roman"/>
          <w:b/>
          <w:bCs/>
          <w:color w:val="auto"/>
          <w:sz w:val="22"/>
          <w:szCs w:val="22"/>
          <w:highlight w:val="none"/>
        </w:rPr>
      </w:pPr>
      <w:r>
        <w:rPr>
          <w:rFonts w:hint="eastAsia" w:ascii="Times New Roman" w:hAnsi="Times New Roman" w:eastAsia="宋体" w:cs="Times New Roman"/>
          <w:b/>
          <w:bCs/>
          <w:color w:val="auto"/>
          <w:sz w:val="22"/>
          <w:szCs w:val="22"/>
          <w:highlight w:val="none"/>
          <w:lang w:val="en-US" w:eastAsia="zh-CN"/>
        </w:rPr>
        <w:t>2、投标人开具的银行保函（或担保机构担保或保证保险）必须具有明确有效的查询途径（二维码；或网址链接及查询方式）</w:t>
      </w:r>
      <w:r>
        <w:rPr>
          <w:rFonts w:ascii="Times New Roman" w:hAnsi="Times New Roman" w:eastAsia="宋体" w:cs="Times New Roman"/>
          <w:b/>
          <w:bCs/>
          <w:color w:val="auto"/>
          <w:sz w:val="22"/>
          <w:szCs w:val="22"/>
          <w:highlight w:val="none"/>
        </w:rPr>
        <w:t>。</w:t>
      </w:r>
    </w:p>
    <w:p w14:paraId="4F6EB287">
      <w:pPr>
        <w:tabs>
          <w:tab w:val="left" w:pos="6295"/>
        </w:tabs>
        <w:spacing w:before="79" w:line="220" w:lineRule="auto"/>
        <w:ind w:left="5456"/>
        <w:rPr>
          <w:rFonts w:ascii="宋体" w:hAnsi="宋体" w:eastAsia="宋体" w:cs="宋体"/>
          <w:color w:val="auto"/>
          <w:spacing w:val="0"/>
          <w:w w:val="100"/>
          <w:position w:val="0"/>
          <w:sz w:val="24"/>
          <w:szCs w:val="24"/>
          <w:highlight w:val="none"/>
        </w:rPr>
      </w:pPr>
    </w:p>
    <w:p w14:paraId="3794BD30">
      <w:pPr>
        <w:spacing w:line="220" w:lineRule="auto"/>
        <w:rPr>
          <w:rFonts w:ascii="宋体" w:hAnsi="宋体" w:eastAsia="宋体" w:cs="宋体"/>
          <w:color w:val="auto"/>
          <w:spacing w:val="0"/>
          <w:w w:val="100"/>
          <w:position w:val="0"/>
          <w:sz w:val="24"/>
          <w:szCs w:val="24"/>
          <w:highlight w:val="none"/>
        </w:rPr>
        <w:sectPr>
          <w:headerReference r:id="rId64" w:type="default"/>
          <w:footerReference r:id="rId65" w:type="default"/>
          <w:pgSz w:w="11900" w:h="16843"/>
          <w:pgMar w:top="1378" w:right="1417" w:bottom="1208" w:left="1417" w:header="1366" w:footer="1003" w:gutter="0"/>
          <w:pgNumType w:fmt="decimal"/>
          <w:cols w:space="0" w:num="1"/>
          <w:rtlGutter w:val="0"/>
          <w:docGrid w:linePitch="0" w:charSpace="0"/>
        </w:sectPr>
      </w:pPr>
    </w:p>
    <w:p w14:paraId="743FCF37">
      <w:pPr>
        <w:pStyle w:val="6"/>
        <w:spacing w:before="101" w:line="224" w:lineRule="auto"/>
        <w:ind w:left="2916"/>
        <w:outlineLvl w:val="2"/>
        <w:rPr>
          <w:color w:val="auto"/>
          <w:spacing w:val="0"/>
          <w:w w:val="100"/>
          <w:position w:val="0"/>
          <w:highlight w:val="none"/>
        </w:rPr>
      </w:pPr>
      <w:bookmarkStart w:id="40" w:name="bookmark36"/>
      <w:bookmarkEnd w:id="40"/>
      <w:r>
        <w:rPr>
          <w:rFonts w:hint="eastAsia"/>
          <w:b/>
          <w:bCs/>
          <w:color w:val="auto"/>
          <w:spacing w:val="0"/>
          <w:w w:val="100"/>
          <w:position w:val="0"/>
          <w:highlight w:val="none"/>
          <w:lang w:val="en-US" w:eastAsia="zh-CN"/>
        </w:rPr>
        <w:t>四</w:t>
      </w:r>
      <w:r>
        <w:rPr>
          <w:b/>
          <w:bCs/>
          <w:color w:val="auto"/>
          <w:spacing w:val="0"/>
          <w:w w:val="100"/>
          <w:position w:val="0"/>
          <w:highlight w:val="none"/>
        </w:rPr>
        <w:t>、联合体协议书</w:t>
      </w:r>
    </w:p>
    <w:p w14:paraId="1D020405">
      <w:pPr>
        <w:spacing w:line="348" w:lineRule="auto"/>
        <w:rPr>
          <w:rFonts w:ascii="Arial"/>
          <w:color w:val="auto"/>
          <w:spacing w:val="0"/>
          <w:w w:val="100"/>
          <w:position w:val="0"/>
          <w:sz w:val="21"/>
          <w:highlight w:val="none"/>
        </w:rPr>
      </w:pPr>
    </w:p>
    <w:p w14:paraId="54C6C33A">
      <w:pPr>
        <w:spacing w:line="348" w:lineRule="auto"/>
        <w:jc w:val="center"/>
        <w:rPr>
          <w:rFonts w:ascii="Arial"/>
          <w:color w:val="auto"/>
          <w:spacing w:val="0"/>
          <w:w w:val="100"/>
          <w:position w:val="0"/>
          <w:sz w:val="21"/>
          <w:highlight w:val="none"/>
        </w:rPr>
      </w:pPr>
      <w:r>
        <w:rPr>
          <w:rFonts w:hint="eastAsia" w:ascii="Arial"/>
          <w:color w:val="auto"/>
          <w:spacing w:val="0"/>
          <w:w w:val="100"/>
          <w:position w:val="0"/>
          <w:sz w:val="21"/>
          <w:highlight w:val="none"/>
          <w:lang w:val="en-US" w:eastAsia="zh-CN"/>
        </w:rPr>
        <w:t>（不接受联合体投标或未组成联合体投标，无需此件）</w:t>
      </w:r>
    </w:p>
    <w:p w14:paraId="311A9400">
      <w:pPr>
        <w:keepNext w:val="0"/>
        <w:keepLines w:val="0"/>
        <w:pageBreakBefore w:val="0"/>
        <w:widowControl/>
        <w:tabs>
          <w:tab w:val="left" w:pos="2548"/>
        </w:tabs>
        <w:kinsoku w:val="0"/>
        <w:wordWrap/>
        <w:overflowPunct/>
        <w:topLinePunct w:val="0"/>
        <w:autoSpaceDE w:val="0"/>
        <w:autoSpaceDN w:val="0"/>
        <w:bidi w:val="0"/>
        <w:adjustRightInd w:val="0"/>
        <w:snapToGrid w:val="0"/>
        <w:spacing w:line="360" w:lineRule="exact"/>
        <w:ind w:left="38" w:right="33" w:firstLine="470"/>
        <w:jc w:val="both"/>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（所有成员单位名称）自愿组成</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（联合体名称）联合体，共同参加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（项目名称）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标段勘察设计投标。现就联合体投标事宜订立如下协议。</w:t>
      </w:r>
    </w:p>
    <w:p w14:paraId="3D3EFD73">
      <w:pPr>
        <w:keepNext w:val="0"/>
        <w:keepLines w:val="0"/>
        <w:pageBreakBefore w:val="0"/>
        <w:widowControl/>
        <w:kinsoku w:val="0"/>
        <w:wordWrap/>
        <w:overflowPunct/>
        <w:topLinePunct w:val="0"/>
        <w:autoSpaceDE w:val="0"/>
        <w:autoSpaceDN w:val="0"/>
        <w:bidi w:val="0"/>
        <w:adjustRightInd w:val="0"/>
        <w:snapToGrid w:val="0"/>
        <w:spacing w:line="360" w:lineRule="exact"/>
        <w:ind w:left="40" w:right="10" w:firstLine="496"/>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1.</w:t>
      </w:r>
      <w:r>
        <w:rPr>
          <w:rFonts w:ascii="Times New Roman" w:hAnsi="Times New Roman" w:eastAsia="Times New Roman" w:cs="Times New Roman"/>
          <w:color w:val="auto"/>
          <w:spacing w:val="0"/>
          <w:w w:val="100"/>
          <w:position w:val="0"/>
          <w:sz w:val="24"/>
          <w:szCs w:val="24"/>
          <w:highlight w:val="none"/>
          <w:u w:val="single" w:color="auto"/>
        </w:rPr>
        <w:t xml:space="preserve">                            </w:t>
      </w:r>
      <w:r>
        <w:rPr>
          <w:rFonts w:ascii="Times New Roman" w:hAnsi="Times New Roman" w:eastAsia="Times New Roman" w:cs="Times New Roman"/>
          <w:color w:val="auto"/>
          <w:spacing w:val="0"/>
          <w:w w:val="100"/>
          <w:position w:val="0"/>
          <w:sz w:val="24"/>
          <w:szCs w:val="24"/>
          <w:highlight w:val="none"/>
        </w:rPr>
        <w:t xml:space="preserve">  </w:t>
      </w:r>
      <w:r>
        <w:rPr>
          <w:rFonts w:ascii="宋体" w:hAnsi="宋体" w:eastAsia="宋体" w:cs="宋体"/>
          <w:color w:val="auto"/>
          <w:spacing w:val="0"/>
          <w:w w:val="100"/>
          <w:position w:val="0"/>
          <w:sz w:val="24"/>
          <w:szCs w:val="24"/>
          <w:highlight w:val="none"/>
        </w:rPr>
        <w:t xml:space="preserve">（某成员单位名称）为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（联合体名称）牵头人。</w:t>
      </w:r>
    </w:p>
    <w:p w14:paraId="6921112F">
      <w:pPr>
        <w:keepNext w:val="0"/>
        <w:keepLines w:val="0"/>
        <w:pageBreakBefore w:val="0"/>
        <w:widowControl/>
        <w:kinsoku w:val="0"/>
        <w:wordWrap/>
        <w:overflowPunct/>
        <w:topLinePunct w:val="0"/>
        <w:autoSpaceDE w:val="0"/>
        <w:autoSpaceDN w:val="0"/>
        <w:bidi w:val="0"/>
        <w:adjustRightInd w:val="0"/>
        <w:snapToGrid w:val="0"/>
        <w:spacing w:line="360" w:lineRule="exact"/>
        <w:ind w:left="40" w:right="30" w:firstLine="473"/>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2.</w:t>
      </w:r>
      <w:r>
        <w:rPr>
          <w:rFonts w:ascii="宋体" w:hAnsi="宋体" w:eastAsia="宋体" w:cs="宋体"/>
          <w:color w:val="auto"/>
          <w:spacing w:val="0"/>
          <w:w w:val="100"/>
          <w:position w:val="0"/>
          <w:sz w:val="24"/>
          <w:szCs w:val="24"/>
          <w:highlight w:val="none"/>
        </w:rPr>
        <w:t>联合体各成员授权牵头人代表联合体参加投标活动，签署文件，提交和接收相关的资料、信息及指示， 进行合同谈判活动，负责合同实施阶段的组织和协调工作，以及处理与本招标项目有关的一切事宜。</w:t>
      </w:r>
    </w:p>
    <w:p w14:paraId="012C1299">
      <w:pPr>
        <w:keepNext w:val="0"/>
        <w:keepLines w:val="0"/>
        <w:pageBreakBefore w:val="0"/>
        <w:widowControl/>
        <w:kinsoku w:val="0"/>
        <w:wordWrap/>
        <w:overflowPunct/>
        <w:topLinePunct w:val="0"/>
        <w:autoSpaceDE w:val="0"/>
        <w:autoSpaceDN w:val="0"/>
        <w:bidi w:val="0"/>
        <w:adjustRightInd w:val="0"/>
        <w:snapToGrid w:val="0"/>
        <w:spacing w:line="360" w:lineRule="exact"/>
        <w:ind w:left="42" w:right="30" w:firstLine="476"/>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3.</w:t>
      </w:r>
      <w:r>
        <w:rPr>
          <w:rFonts w:ascii="宋体" w:hAnsi="宋体" w:eastAsia="宋体" w:cs="宋体"/>
          <w:color w:val="auto"/>
          <w:spacing w:val="0"/>
          <w:w w:val="100"/>
          <w:position w:val="0"/>
          <w:sz w:val="24"/>
          <w:szCs w:val="24"/>
          <w:highlight w:val="none"/>
        </w:rPr>
        <w:t>联合体牵头人在本项目中签署的一切文件和处理的一切事宜，联合体各成员均予以承认。联合体各成员将严格按照招标文件、投标文件和合同的要求全面履行义务，并向招标人承担连带责任。</w:t>
      </w:r>
    </w:p>
    <w:p w14:paraId="77BB0FE3">
      <w:pPr>
        <w:keepNext w:val="0"/>
        <w:keepLines w:val="0"/>
        <w:pageBreakBefore w:val="0"/>
        <w:widowControl/>
        <w:kinsoku w:val="0"/>
        <w:wordWrap/>
        <w:overflowPunct/>
        <w:topLinePunct w:val="0"/>
        <w:autoSpaceDE w:val="0"/>
        <w:autoSpaceDN w:val="0"/>
        <w:bidi w:val="0"/>
        <w:adjustRightInd w:val="0"/>
        <w:snapToGrid w:val="0"/>
        <w:spacing w:line="360" w:lineRule="exact"/>
        <w:ind w:left="37" w:right="26" w:firstLine="475"/>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4.</w:t>
      </w:r>
      <w:r>
        <w:rPr>
          <w:rFonts w:ascii="宋体" w:hAnsi="宋体" w:eastAsia="宋体" w:cs="宋体"/>
          <w:color w:val="auto"/>
          <w:spacing w:val="0"/>
          <w:w w:val="100"/>
          <w:position w:val="0"/>
          <w:sz w:val="24"/>
          <w:szCs w:val="24"/>
          <w:highlight w:val="none"/>
        </w:rPr>
        <w:t>联合体各成员单位内部的职责分工如下：</w:t>
      </w:r>
      <w:r>
        <w:rPr>
          <w:rFonts w:hint="eastAsia" w:ascii="宋体" w:hAnsi="宋体" w:eastAsia="宋体" w:cs="宋体"/>
          <w:color w:val="auto"/>
          <w:spacing w:val="0"/>
          <w:w w:val="100"/>
          <w:position w:val="0"/>
          <w:sz w:val="24"/>
          <w:szCs w:val="24"/>
          <w:highlight w:val="none"/>
          <w:u w:val="single"/>
          <w:lang w:val="en-US" w:eastAsia="zh-CN"/>
        </w:rPr>
        <w:t xml:space="preserve">    </w:t>
      </w:r>
      <w:r>
        <w:rPr>
          <w:rFonts w:ascii="宋体" w:hAnsi="宋体" w:eastAsia="宋体" w:cs="宋体"/>
          <w:color w:val="auto"/>
          <w:spacing w:val="0"/>
          <w:w w:val="100"/>
          <w:position w:val="0"/>
          <w:sz w:val="24"/>
          <w:szCs w:val="24"/>
          <w:highlight w:val="none"/>
          <w:u w:val="single" w:color="auto"/>
        </w:rPr>
        <w:t>（牵头人名称）</w:t>
      </w:r>
      <w:r>
        <w:rPr>
          <w:rFonts w:ascii="宋体" w:hAnsi="宋体" w:eastAsia="宋体" w:cs="宋体"/>
          <w:color w:val="auto"/>
          <w:spacing w:val="0"/>
          <w:w w:val="100"/>
          <w:position w:val="0"/>
          <w:sz w:val="24"/>
          <w:szCs w:val="24"/>
          <w:highlight w:val="none"/>
        </w:rPr>
        <w:t>承担</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w:t>
      </w:r>
      <w:r>
        <w:rPr>
          <w:rFonts w:hint="eastAsia" w:ascii="宋体" w:hAnsi="宋体" w:eastAsia="宋体" w:cs="宋体"/>
          <w:color w:val="auto"/>
          <w:spacing w:val="0"/>
          <w:w w:val="100"/>
          <w:position w:val="0"/>
          <w:sz w:val="24"/>
          <w:szCs w:val="24"/>
          <w:highlight w:val="none"/>
          <w:lang w:val="en-US" w:eastAsia="zh-CN"/>
        </w:rPr>
        <w:t>工作</w:t>
      </w:r>
      <w:r>
        <w:rPr>
          <w:rFonts w:ascii="宋体" w:hAnsi="宋体" w:eastAsia="宋体" w:cs="宋体"/>
          <w:color w:val="auto"/>
          <w:spacing w:val="0"/>
          <w:w w:val="100"/>
          <w:position w:val="0"/>
          <w:sz w:val="24"/>
          <w:szCs w:val="24"/>
          <w:highlight w:val="none"/>
        </w:rPr>
        <w:t>，占总工程量的</w:t>
      </w:r>
      <w:r>
        <w:rPr>
          <w:rFonts w:ascii="宋体" w:hAnsi="宋体" w:eastAsia="宋体" w:cs="宋体"/>
          <w:color w:val="auto"/>
          <w:spacing w:val="0"/>
          <w:w w:val="100"/>
          <w:position w:val="0"/>
          <w:sz w:val="24"/>
          <w:szCs w:val="24"/>
          <w:highlight w:val="none"/>
          <w:u w:val="single" w:color="auto"/>
        </w:rPr>
        <w:t xml:space="preserve">       </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p>
    <w:p w14:paraId="6EAD552F">
      <w:pPr>
        <w:keepNext w:val="0"/>
        <w:keepLines w:val="0"/>
        <w:pageBreakBefore w:val="0"/>
        <w:widowControl/>
        <w:kinsoku w:val="0"/>
        <w:wordWrap/>
        <w:overflowPunct/>
        <w:topLinePunct w:val="0"/>
        <w:autoSpaceDE w:val="0"/>
        <w:autoSpaceDN w:val="0"/>
        <w:bidi w:val="0"/>
        <w:adjustRightInd w:val="0"/>
        <w:snapToGrid w:val="0"/>
        <w:spacing w:line="360" w:lineRule="exact"/>
        <w:ind w:right="26" w:firstLine="480" w:firstLineChars="200"/>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（成员一名称）</w:t>
      </w:r>
      <w:r>
        <w:rPr>
          <w:rFonts w:ascii="宋体" w:hAnsi="宋体" w:eastAsia="宋体" w:cs="宋体"/>
          <w:color w:val="auto"/>
          <w:spacing w:val="0"/>
          <w:w w:val="100"/>
          <w:position w:val="0"/>
          <w:sz w:val="24"/>
          <w:szCs w:val="24"/>
          <w:highlight w:val="none"/>
        </w:rPr>
        <w:t>承担</w:t>
      </w:r>
      <w:r>
        <w:rPr>
          <w:rFonts w:ascii="宋体" w:hAnsi="宋体" w:eastAsia="宋体" w:cs="宋体"/>
          <w:color w:val="auto"/>
          <w:spacing w:val="0"/>
          <w:w w:val="100"/>
          <w:position w:val="0"/>
          <w:sz w:val="24"/>
          <w:szCs w:val="24"/>
          <w:highlight w:val="none"/>
          <w:u w:val="single" w:color="auto"/>
        </w:rPr>
        <w:t xml:space="preserve">       </w:t>
      </w:r>
      <w:r>
        <w:rPr>
          <w:rFonts w:hint="eastAsia" w:ascii="宋体" w:hAnsi="宋体" w:eastAsia="宋体" w:cs="宋体"/>
          <w:color w:val="auto"/>
          <w:spacing w:val="0"/>
          <w:w w:val="100"/>
          <w:position w:val="0"/>
          <w:sz w:val="24"/>
          <w:szCs w:val="24"/>
          <w:highlight w:val="none"/>
          <w:u w:val="single" w:color="auto"/>
          <w:lang w:val="en-US" w:eastAsia="zh-CN"/>
        </w:rPr>
        <w:t>工作</w:t>
      </w:r>
      <w:r>
        <w:rPr>
          <w:rFonts w:ascii="宋体" w:hAnsi="宋体" w:eastAsia="宋体" w:cs="宋体"/>
          <w:color w:val="auto"/>
          <w:spacing w:val="0"/>
          <w:w w:val="100"/>
          <w:position w:val="0"/>
          <w:sz w:val="24"/>
          <w:szCs w:val="24"/>
          <w:highlight w:val="none"/>
        </w:rPr>
        <w:t>，占总工程量的</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w:t>
      </w:r>
      <w:r>
        <w:rPr>
          <w:rFonts w:ascii="Times New Roman" w:hAnsi="Times New Roman" w:eastAsia="Times New Roman" w:cs="Times New Roman"/>
          <w:color w:val="auto"/>
          <w:spacing w:val="0"/>
          <w:w w:val="100"/>
          <w:position w:val="0"/>
          <w:sz w:val="24"/>
          <w:szCs w:val="24"/>
          <w:highlight w:val="none"/>
        </w:rPr>
        <w:t>%</w:t>
      </w:r>
      <w:r>
        <w:rPr>
          <w:rFonts w:ascii="宋体" w:hAnsi="宋体" w:eastAsia="宋体" w:cs="宋体"/>
          <w:color w:val="auto"/>
          <w:spacing w:val="0"/>
          <w:w w:val="100"/>
          <w:position w:val="0"/>
          <w:sz w:val="24"/>
          <w:szCs w:val="24"/>
          <w:highlight w:val="none"/>
        </w:rPr>
        <w:t>；</w:t>
      </w:r>
    </w:p>
    <w:p w14:paraId="1E4255A3">
      <w:pPr>
        <w:keepNext w:val="0"/>
        <w:keepLines w:val="0"/>
        <w:pageBreakBefore w:val="0"/>
        <w:widowControl/>
        <w:kinsoku w:val="0"/>
        <w:wordWrap/>
        <w:overflowPunct/>
        <w:topLinePunct w:val="0"/>
        <w:autoSpaceDE w:val="0"/>
        <w:autoSpaceDN w:val="0"/>
        <w:bidi w:val="0"/>
        <w:adjustRightInd w:val="0"/>
        <w:snapToGrid w:val="0"/>
        <w:spacing w:line="360" w:lineRule="exact"/>
        <w:ind w:left="37" w:right="26" w:firstLine="475"/>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dotted" w:color="auto"/>
        </w:rPr>
        <w:t xml:space="preserve">  </w:t>
      </w:r>
      <w:r>
        <w:rPr>
          <w:rFonts w:ascii="宋体" w:hAnsi="宋体" w:eastAsia="宋体" w:cs="宋体"/>
          <w:color w:val="auto"/>
          <w:spacing w:val="0"/>
          <w:w w:val="100"/>
          <w:position w:val="0"/>
          <w:sz w:val="24"/>
          <w:szCs w:val="24"/>
          <w:highlight w:val="none"/>
        </w:rPr>
        <w:t>。</w:t>
      </w:r>
    </w:p>
    <w:p w14:paraId="68D71BB5">
      <w:pPr>
        <w:keepNext w:val="0"/>
        <w:keepLines w:val="0"/>
        <w:pageBreakBefore w:val="0"/>
        <w:widowControl/>
        <w:kinsoku w:val="0"/>
        <w:wordWrap/>
        <w:overflowPunct/>
        <w:topLinePunct w:val="0"/>
        <w:autoSpaceDE w:val="0"/>
        <w:autoSpaceDN w:val="0"/>
        <w:bidi w:val="0"/>
        <w:adjustRightInd w:val="0"/>
        <w:snapToGrid w:val="0"/>
        <w:spacing w:line="360" w:lineRule="exact"/>
        <w:ind w:left="39" w:right="35" w:firstLine="481"/>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5.</w:t>
      </w:r>
      <w:r>
        <w:rPr>
          <w:rFonts w:ascii="宋体" w:hAnsi="宋体" w:eastAsia="宋体" w:cs="宋体"/>
          <w:color w:val="auto"/>
          <w:spacing w:val="0"/>
          <w:w w:val="100"/>
          <w:position w:val="0"/>
          <w:sz w:val="24"/>
          <w:szCs w:val="24"/>
          <w:highlight w:val="none"/>
        </w:rPr>
        <w:t>投标工作和联合体在中标后工程实施过程中的有关费用按各自承担的工作量分摊。</w:t>
      </w:r>
    </w:p>
    <w:p w14:paraId="53AB6708">
      <w:pPr>
        <w:keepNext w:val="0"/>
        <w:keepLines w:val="0"/>
        <w:pageBreakBefore w:val="0"/>
        <w:widowControl/>
        <w:kinsoku w:val="0"/>
        <w:wordWrap/>
        <w:overflowPunct/>
        <w:topLinePunct w:val="0"/>
        <w:autoSpaceDE w:val="0"/>
        <w:autoSpaceDN w:val="0"/>
        <w:bidi w:val="0"/>
        <w:adjustRightInd w:val="0"/>
        <w:snapToGrid w:val="0"/>
        <w:spacing w:line="360" w:lineRule="exact"/>
        <w:ind w:left="42" w:right="30" w:firstLine="477"/>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6.</w:t>
      </w:r>
      <w:r>
        <w:rPr>
          <w:rFonts w:ascii="宋体" w:hAnsi="宋体" w:eastAsia="宋体" w:cs="宋体"/>
          <w:color w:val="auto"/>
          <w:spacing w:val="0"/>
          <w:w w:val="100"/>
          <w:position w:val="0"/>
          <w:sz w:val="24"/>
          <w:szCs w:val="24"/>
          <w:highlight w:val="none"/>
        </w:rPr>
        <w:t>本协议书自所有成员单位法定代表人签字或盖单位章之日起生效，合同履行完毕后自动失效。</w:t>
      </w:r>
    </w:p>
    <w:p w14:paraId="6D4A91B6">
      <w:pPr>
        <w:keepNext w:val="0"/>
        <w:keepLines w:val="0"/>
        <w:pageBreakBefore w:val="0"/>
        <w:widowControl/>
        <w:kinsoku w:val="0"/>
        <w:wordWrap/>
        <w:overflowPunct/>
        <w:topLinePunct w:val="0"/>
        <w:autoSpaceDE w:val="0"/>
        <w:autoSpaceDN w:val="0"/>
        <w:bidi w:val="0"/>
        <w:adjustRightInd w:val="0"/>
        <w:snapToGrid w:val="0"/>
        <w:spacing w:line="360" w:lineRule="exact"/>
        <w:ind w:left="517"/>
        <w:textAlignment w:val="baseline"/>
        <w:rPr>
          <w:rFonts w:ascii="宋体" w:hAnsi="宋体" w:eastAsia="宋体" w:cs="宋体"/>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7.</w:t>
      </w:r>
      <w:r>
        <w:rPr>
          <w:rFonts w:ascii="宋体" w:hAnsi="宋体" w:eastAsia="宋体" w:cs="宋体"/>
          <w:color w:val="auto"/>
          <w:spacing w:val="0"/>
          <w:w w:val="100"/>
          <w:position w:val="0"/>
          <w:sz w:val="24"/>
          <w:szCs w:val="24"/>
          <w:highlight w:val="none"/>
        </w:rPr>
        <w:t xml:space="preserve">本协议书一式 </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 xml:space="preserve"> 份，联合体成员和招标人各执一份。</w:t>
      </w:r>
    </w:p>
    <w:p w14:paraId="402542D4">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Arial"/>
          <w:color w:val="auto"/>
          <w:spacing w:val="0"/>
          <w:w w:val="100"/>
          <w:position w:val="0"/>
          <w:sz w:val="21"/>
          <w:highlight w:val="none"/>
        </w:rPr>
      </w:pPr>
    </w:p>
    <w:p w14:paraId="08335D59">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Arial"/>
          <w:color w:val="auto"/>
          <w:spacing w:val="0"/>
          <w:w w:val="100"/>
          <w:position w:val="0"/>
          <w:sz w:val="21"/>
          <w:highlight w:val="none"/>
        </w:rPr>
      </w:pPr>
    </w:p>
    <w:p w14:paraId="1479842A">
      <w:pPr>
        <w:keepNext w:val="0"/>
        <w:keepLines w:val="0"/>
        <w:pageBreakBefore w:val="0"/>
        <w:widowControl/>
        <w:kinsoku w:val="0"/>
        <w:wordWrap/>
        <w:overflowPunct/>
        <w:topLinePunct w:val="0"/>
        <w:autoSpaceDE w:val="0"/>
        <w:autoSpaceDN w:val="0"/>
        <w:bidi w:val="0"/>
        <w:adjustRightInd w:val="0"/>
        <w:snapToGrid w:val="0"/>
        <w:spacing w:line="360" w:lineRule="exact"/>
        <w:ind w:left="519"/>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联合体牵头人名称：</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（盖单位章）</w:t>
      </w:r>
    </w:p>
    <w:p w14:paraId="025F05F9">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Arial"/>
          <w:color w:val="auto"/>
          <w:spacing w:val="0"/>
          <w:w w:val="100"/>
          <w:position w:val="0"/>
          <w:sz w:val="21"/>
          <w:highlight w:val="none"/>
        </w:rPr>
      </w:pPr>
    </w:p>
    <w:p w14:paraId="0987C48F">
      <w:pPr>
        <w:keepNext w:val="0"/>
        <w:keepLines w:val="0"/>
        <w:pageBreakBefore w:val="0"/>
        <w:widowControl/>
        <w:kinsoku w:val="0"/>
        <w:wordWrap/>
        <w:overflowPunct/>
        <w:topLinePunct w:val="0"/>
        <w:autoSpaceDE w:val="0"/>
        <w:autoSpaceDN w:val="0"/>
        <w:bidi w:val="0"/>
        <w:adjustRightInd w:val="0"/>
        <w:snapToGrid w:val="0"/>
        <w:spacing w:line="360" w:lineRule="exact"/>
        <w:ind w:left="519"/>
        <w:textAlignment w:val="baseline"/>
        <w:rPr>
          <w:rFonts w:ascii="Arial"/>
          <w:color w:val="auto"/>
          <w:spacing w:val="0"/>
          <w:w w:val="100"/>
          <w:position w:val="0"/>
          <w:sz w:val="21"/>
          <w:highlight w:val="none"/>
        </w:rPr>
      </w:pPr>
      <w:r>
        <w:rPr>
          <w:rFonts w:ascii="宋体" w:hAnsi="宋体" w:eastAsia="宋体" w:cs="宋体"/>
          <w:color w:val="auto"/>
          <w:spacing w:val="0"/>
          <w:w w:val="100"/>
          <w:position w:val="0"/>
          <w:sz w:val="24"/>
          <w:szCs w:val="24"/>
          <w:highlight w:val="none"/>
        </w:rPr>
        <w:t>法定代表人：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（签字）</w:t>
      </w:r>
    </w:p>
    <w:p w14:paraId="1120D63E">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Arial"/>
          <w:color w:val="auto"/>
          <w:spacing w:val="0"/>
          <w:w w:val="100"/>
          <w:position w:val="0"/>
          <w:sz w:val="21"/>
          <w:highlight w:val="none"/>
        </w:rPr>
      </w:pPr>
    </w:p>
    <w:p w14:paraId="09120195">
      <w:pPr>
        <w:keepNext w:val="0"/>
        <w:keepLines w:val="0"/>
        <w:pageBreakBefore w:val="0"/>
        <w:widowControl/>
        <w:kinsoku w:val="0"/>
        <w:wordWrap/>
        <w:overflowPunct/>
        <w:topLinePunct w:val="0"/>
        <w:autoSpaceDE w:val="0"/>
        <w:autoSpaceDN w:val="0"/>
        <w:bidi w:val="0"/>
        <w:adjustRightInd w:val="0"/>
        <w:snapToGrid w:val="0"/>
        <w:spacing w:line="360" w:lineRule="exact"/>
        <w:ind w:left="519"/>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联合体成员名称：</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（盖单位章）</w:t>
      </w:r>
    </w:p>
    <w:p w14:paraId="49A675B3">
      <w:pPr>
        <w:keepNext w:val="0"/>
        <w:keepLines w:val="0"/>
        <w:pageBreakBefore w:val="0"/>
        <w:widowControl/>
        <w:kinsoku w:val="0"/>
        <w:wordWrap/>
        <w:overflowPunct/>
        <w:topLinePunct w:val="0"/>
        <w:autoSpaceDE w:val="0"/>
        <w:autoSpaceDN w:val="0"/>
        <w:bidi w:val="0"/>
        <w:adjustRightInd w:val="0"/>
        <w:snapToGrid w:val="0"/>
        <w:spacing w:line="360" w:lineRule="exact"/>
        <w:ind w:left="519"/>
        <w:textAlignment w:val="baseline"/>
        <w:rPr>
          <w:rFonts w:ascii="宋体" w:hAnsi="宋体" w:eastAsia="宋体" w:cs="宋体"/>
          <w:color w:val="auto"/>
          <w:spacing w:val="0"/>
          <w:w w:val="100"/>
          <w:position w:val="0"/>
          <w:sz w:val="24"/>
          <w:szCs w:val="24"/>
          <w:highlight w:val="none"/>
        </w:rPr>
      </w:pPr>
    </w:p>
    <w:p w14:paraId="6B80CD40">
      <w:pPr>
        <w:keepNext w:val="0"/>
        <w:keepLines w:val="0"/>
        <w:pageBreakBefore w:val="0"/>
        <w:widowControl/>
        <w:kinsoku w:val="0"/>
        <w:wordWrap/>
        <w:overflowPunct/>
        <w:topLinePunct w:val="0"/>
        <w:autoSpaceDE w:val="0"/>
        <w:autoSpaceDN w:val="0"/>
        <w:bidi w:val="0"/>
        <w:adjustRightInd w:val="0"/>
        <w:snapToGrid w:val="0"/>
        <w:spacing w:line="360" w:lineRule="exact"/>
        <w:ind w:left="519"/>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法定代表人：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（签字）</w:t>
      </w:r>
    </w:p>
    <w:p w14:paraId="4764B77F">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Arial"/>
          <w:color w:val="auto"/>
          <w:spacing w:val="0"/>
          <w:w w:val="100"/>
          <w:position w:val="0"/>
          <w:sz w:val="21"/>
          <w:highlight w:val="none"/>
        </w:rPr>
      </w:pPr>
    </w:p>
    <w:p w14:paraId="4C9407D5">
      <w:pPr>
        <w:keepNext w:val="0"/>
        <w:keepLines w:val="0"/>
        <w:pageBreakBefore w:val="0"/>
        <w:widowControl/>
        <w:kinsoku w:val="0"/>
        <w:wordWrap/>
        <w:overflowPunct/>
        <w:topLinePunct w:val="0"/>
        <w:autoSpaceDE w:val="0"/>
        <w:autoSpaceDN w:val="0"/>
        <w:bidi w:val="0"/>
        <w:adjustRightInd w:val="0"/>
        <w:snapToGrid w:val="0"/>
        <w:spacing w:line="360" w:lineRule="exact"/>
        <w:ind w:left="519"/>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联合体成员名称：</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（盖单位章）</w:t>
      </w:r>
    </w:p>
    <w:p w14:paraId="132F80BF">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Arial"/>
          <w:color w:val="auto"/>
          <w:spacing w:val="0"/>
          <w:w w:val="100"/>
          <w:position w:val="0"/>
          <w:sz w:val="21"/>
          <w:highlight w:val="none"/>
        </w:rPr>
      </w:pPr>
    </w:p>
    <w:p w14:paraId="2AC92186">
      <w:pPr>
        <w:keepNext w:val="0"/>
        <w:keepLines w:val="0"/>
        <w:pageBreakBefore w:val="0"/>
        <w:widowControl/>
        <w:kinsoku w:val="0"/>
        <w:wordWrap/>
        <w:overflowPunct/>
        <w:topLinePunct w:val="0"/>
        <w:autoSpaceDE w:val="0"/>
        <w:autoSpaceDN w:val="0"/>
        <w:bidi w:val="0"/>
        <w:adjustRightInd w:val="0"/>
        <w:snapToGrid w:val="0"/>
        <w:spacing w:line="360" w:lineRule="exact"/>
        <w:ind w:left="519"/>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法定代表人：</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（签字）</w:t>
      </w:r>
    </w:p>
    <w:p w14:paraId="4629A176">
      <w:pPr>
        <w:keepNext w:val="0"/>
        <w:keepLines w:val="0"/>
        <w:pageBreakBefore w:val="0"/>
        <w:widowControl/>
        <w:kinsoku w:val="0"/>
        <w:wordWrap/>
        <w:overflowPunct/>
        <w:topLinePunct w:val="0"/>
        <w:autoSpaceDE w:val="0"/>
        <w:autoSpaceDN w:val="0"/>
        <w:bidi w:val="0"/>
        <w:adjustRightInd w:val="0"/>
        <w:snapToGrid w:val="0"/>
        <w:spacing w:line="360" w:lineRule="exact"/>
        <w:textAlignment w:val="baseline"/>
        <w:rPr>
          <w:rFonts w:ascii="Arial"/>
          <w:color w:val="auto"/>
          <w:spacing w:val="0"/>
          <w:w w:val="100"/>
          <w:position w:val="0"/>
          <w:sz w:val="21"/>
          <w:highlight w:val="none"/>
        </w:rPr>
      </w:pPr>
    </w:p>
    <w:p w14:paraId="076FBAB3">
      <w:pPr>
        <w:keepNext w:val="0"/>
        <w:keepLines w:val="0"/>
        <w:pageBreakBefore w:val="0"/>
        <w:widowControl/>
        <w:kinsoku w:val="0"/>
        <w:wordWrap/>
        <w:overflowPunct/>
        <w:topLinePunct w:val="0"/>
        <w:autoSpaceDE w:val="0"/>
        <w:autoSpaceDN w:val="0"/>
        <w:bidi w:val="0"/>
        <w:adjustRightInd w:val="0"/>
        <w:snapToGrid w:val="0"/>
        <w:spacing w:line="360" w:lineRule="exact"/>
        <w:ind w:left="535"/>
        <w:textAlignment w:val="baseline"/>
        <w:rPr>
          <w:rFonts w:ascii="Times New Roman" w:hAnsi="Times New Roman" w:eastAsia="Times New Roman" w:cs="Times New Roman"/>
          <w:color w:val="auto"/>
          <w:spacing w:val="0"/>
          <w:w w:val="100"/>
          <w:position w:val="0"/>
          <w:sz w:val="24"/>
          <w:szCs w:val="24"/>
          <w:highlight w:val="none"/>
        </w:rPr>
      </w:pPr>
      <w:r>
        <w:rPr>
          <w:rFonts w:ascii="Times New Roman" w:hAnsi="Times New Roman" w:eastAsia="Times New Roman" w:cs="Times New Roman"/>
          <w:color w:val="auto"/>
          <w:spacing w:val="0"/>
          <w:w w:val="100"/>
          <w:position w:val="0"/>
          <w:sz w:val="24"/>
          <w:szCs w:val="24"/>
          <w:highlight w:val="none"/>
        </w:rPr>
        <w:t>……</w:t>
      </w:r>
    </w:p>
    <w:p w14:paraId="50586B7D">
      <w:pPr>
        <w:keepNext w:val="0"/>
        <w:keepLines w:val="0"/>
        <w:pageBreakBefore w:val="0"/>
        <w:widowControl/>
        <w:tabs>
          <w:tab w:val="left" w:pos="6535"/>
        </w:tabs>
        <w:kinsoku w:val="0"/>
        <w:wordWrap/>
        <w:overflowPunct/>
        <w:topLinePunct w:val="0"/>
        <w:autoSpaceDE w:val="0"/>
        <w:autoSpaceDN w:val="0"/>
        <w:bidi w:val="0"/>
        <w:adjustRightInd w:val="0"/>
        <w:snapToGrid w:val="0"/>
        <w:spacing w:line="360" w:lineRule="exact"/>
        <w:ind w:left="5816"/>
        <w:textAlignment w:val="baseline"/>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u w:val="single" w:color="auto"/>
        </w:rPr>
        <w:tab/>
      </w:r>
      <w:r>
        <w:rPr>
          <w:rFonts w:ascii="宋体" w:hAnsi="宋体" w:eastAsia="宋体" w:cs="宋体"/>
          <w:color w:val="auto"/>
          <w:spacing w:val="0"/>
          <w:w w:val="100"/>
          <w:position w:val="0"/>
          <w:sz w:val="24"/>
          <w:szCs w:val="24"/>
          <w:highlight w:val="none"/>
        </w:rPr>
        <w:t>年</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月</w:t>
      </w:r>
      <w:r>
        <w:rPr>
          <w:rFonts w:ascii="宋体" w:hAnsi="宋体" w:eastAsia="宋体" w:cs="宋体"/>
          <w:color w:val="auto"/>
          <w:spacing w:val="0"/>
          <w:w w:val="100"/>
          <w:position w:val="0"/>
          <w:sz w:val="24"/>
          <w:szCs w:val="24"/>
          <w:highlight w:val="none"/>
          <w:u w:val="single" w:color="auto"/>
        </w:rPr>
        <w:t xml:space="preserve">    </w:t>
      </w:r>
      <w:r>
        <w:rPr>
          <w:rFonts w:ascii="宋体" w:hAnsi="宋体" w:eastAsia="宋体" w:cs="宋体"/>
          <w:color w:val="auto"/>
          <w:spacing w:val="0"/>
          <w:w w:val="100"/>
          <w:position w:val="0"/>
          <w:sz w:val="24"/>
          <w:szCs w:val="24"/>
          <w:highlight w:val="none"/>
        </w:rPr>
        <w:t>日</w:t>
      </w:r>
    </w:p>
    <w:p w14:paraId="4DE8D1B9">
      <w:pPr>
        <w:spacing w:line="220" w:lineRule="auto"/>
        <w:rPr>
          <w:rFonts w:ascii="宋体" w:hAnsi="宋体" w:eastAsia="宋体" w:cs="宋体"/>
          <w:color w:val="auto"/>
          <w:spacing w:val="0"/>
          <w:w w:val="100"/>
          <w:position w:val="0"/>
          <w:sz w:val="24"/>
          <w:szCs w:val="24"/>
          <w:highlight w:val="none"/>
        </w:rPr>
        <w:sectPr>
          <w:footerReference r:id="rId66" w:type="default"/>
          <w:pgSz w:w="11900" w:h="16843"/>
          <w:pgMar w:top="1378" w:right="1417" w:bottom="1208" w:left="1417" w:header="1003" w:footer="1003" w:gutter="0"/>
          <w:pgNumType w:fmt="decimal"/>
          <w:cols w:space="0" w:num="1"/>
          <w:rtlGutter w:val="0"/>
          <w:docGrid w:linePitch="0" w:charSpace="0"/>
        </w:sectPr>
      </w:pPr>
    </w:p>
    <w:p w14:paraId="0D7A0D16">
      <w:pPr>
        <w:pStyle w:val="6"/>
        <w:spacing w:before="101" w:line="224" w:lineRule="auto"/>
        <w:ind w:left="2623"/>
        <w:outlineLvl w:val="2"/>
        <w:rPr>
          <w:color w:val="auto"/>
          <w:spacing w:val="0"/>
          <w:w w:val="100"/>
          <w:position w:val="0"/>
          <w:highlight w:val="none"/>
        </w:rPr>
      </w:pPr>
      <w:r>
        <w:rPr>
          <w:rFonts w:hint="eastAsia"/>
          <w:b/>
          <w:bCs/>
          <w:color w:val="auto"/>
          <w:spacing w:val="0"/>
          <w:w w:val="100"/>
          <w:position w:val="0"/>
          <w:highlight w:val="none"/>
          <w:lang w:val="en-US" w:eastAsia="zh-CN"/>
        </w:rPr>
        <w:t>五</w:t>
      </w:r>
      <w:r>
        <w:rPr>
          <w:b/>
          <w:bCs/>
          <w:color w:val="auto"/>
          <w:spacing w:val="0"/>
          <w:w w:val="100"/>
          <w:position w:val="0"/>
          <w:highlight w:val="none"/>
        </w:rPr>
        <w:t>、拟分包项目情况表</w:t>
      </w:r>
    </w:p>
    <w:p w14:paraId="0BD46285">
      <w:pPr>
        <w:spacing w:before="76"/>
        <w:rPr>
          <w:color w:val="auto"/>
          <w:spacing w:val="0"/>
          <w:w w:val="100"/>
          <w:position w:val="0"/>
          <w:highlight w:val="none"/>
        </w:rPr>
      </w:pPr>
    </w:p>
    <w:tbl>
      <w:tblPr>
        <w:tblStyle w:val="18"/>
        <w:tblW w:w="90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4"/>
        <w:gridCol w:w="1843"/>
        <w:gridCol w:w="1559"/>
        <w:gridCol w:w="2063"/>
        <w:gridCol w:w="1932"/>
      </w:tblGrid>
      <w:tr w14:paraId="0DDCA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1674" w:type="dxa"/>
            <w:vAlign w:val="center"/>
          </w:tcPr>
          <w:p w14:paraId="15925B70">
            <w:pPr>
              <w:pStyle w:val="19"/>
              <w:keepNext w:val="0"/>
              <w:keepLines w:val="0"/>
              <w:widowControl/>
              <w:suppressLineNumbers w:val="0"/>
              <w:spacing w:before="92" w:beforeAutospacing="0" w:after="0" w:afterAutospacing="0" w:line="242" w:lineRule="auto"/>
              <w:ind w:left="0" w:right="116"/>
              <w:jc w:val="center"/>
              <w:rPr>
                <w:rFonts w:hint="default"/>
                <w:color w:val="auto"/>
                <w:spacing w:val="0"/>
                <w:w w:val="100"/>
                <w:position w:val="0"/>
                <w:sz w:val="24"/>
                <w:szCs w:val="24"/>
                <w:highlight w:val="none"/>
              </w:rPr>
            </w:pPr>
            <w:r>
              <w:rPr>
                <w:rFonts w:hint="default"/>
                <w:color w:val="auto"/>
                <w:spacing w:val="0"/>
                <w:w w:val="100"/>
                <w:position w:val="0"/>
                <w:sz w:val="24"/>
                <w:szCs w:val="24"/>
                <w:highlight w:val="none"/>
              </w:rPr>
              <w:t>拟分包的工程 项目</w:t>
            </w:r>
          </w:p>
        </w:tc>
        <w:tc>
          <w:tcPr>
            <w:tcW w:w="1843" w:type="dxa"/>
            <w:vAlign w:val="center"/>
          </w:tcPr>
          <w:p w14:paraId="2FFE1A28">
            <w:pPr>
              <w:pStyle w:val="19"/>
              <w:keepNext w:val="0"/>
              <w:keepLines w:val="0"/>
              <w:widowControl/>
              <w:suppressLineNumbers w:val="0"/>
              <w:spacing w:before="246" w:beforeAutospacing="0" w:after="0" w:afterAutospacing="0" w:line="220" w:lineRule="auto"/>
              <w:ind w:left="0" w:right="0"/>
              <w:jc w:val="center"/>
              <w:rPr>
                <w:rFonts w:hint="default"/>
                <w:color w:val="auto"/>
                <w:spacing w:val="0"/>
                <w:w w:val="100"/>
                <w:position w:val="0"/>
                <w:sz w:val="24"/>
                <w:szCs w:val="24"/>
                <w:highlight w:val="none"/>
              </w:rPr>
            </w:pPr>
            <w:r>
              <w:rPr>
                <w:rFonts w:hint="default"/>
                <w:color w:val="auto"/>
                <w:spacing w:val="0"/>
                <w:w w:val="100"/>
                <w:position w:val="0"/>
                <w:sz w:val="24"/>
                <w:szCs w:val="24"/>
                <w:highlight w:val="none"/>
              </w:rPr>
              <w:t>主要工程内容</w:t>
            </w:r>
          </w:p>
        </w:tc>
        <w:tc>
          <w:tcPr>
            <w:tcW w:w="1559" w:type="dxa"/>
            <w:vAlign w:val="center"/>
          </w:tcPr>
          <w:p w14:paraId="40D04407">
            <w:pPr>
              <w:pStyle w:val="19"/>
              <w:keepNext w:val="0"/>
              <w:keepLines w:val="0"/>
              <w:widowControl/>
              <w:suppressLineNumbers w:val="0"/>
              <w:spacing w:before="246" w:beforeAutospacing="0" w:after="0" w:afterAutospacing="0" w:line="220" w:lineRule="auto"/>
              <w:ind w:left="0" w:right="0"/>
              <w:jc w:val="center"/>
              <w:rPr>
                <w:rFonts w:hint="default"/>
                <w:color w:val="auto"/>
                <w:spacing w:val="0"/>
                <w:w w:val="100"/>
                <w:position w:val="0"/>
                <w:sz w:val="24"/>
                <w:szCs w:val="24"/>
                <w:highlight w:val="none"/>
              </w:rPr>
            </w:pPr>
            <w:r>
              <w:rPr>
                <w:rFonts w:hint="default"/>
                <w:color w:val="auto"/>
                <w:spacing w:val="0"/>
                <w:w w:val="100"/>
                <w:position w:val="0"/>
                <w:sz w:val="24"/>
                <w:szCs w:val="24"/>
                <w:highlight w:val="none"/>
              </w:rPr>
              <w:t>勘察设计任务</w:t>
            </w:r>
          </w:p>
        </w:tc>
        <w:tc>
          <w:tcPr>
            <w:tcW w:w="2063" w:type="dxa"/>
            <w:vAlign w:val="center"/>
          </w:tcPr>
          <w:p w14:paraId="5B4F565D">
            <w:pPr>
              <w:pStyle w:val="19"/>
              <w:keepNext w:val="0"/>
              <w:keepLines w:val="0"/>
              <w:widowControl/>
              <w:suppressLineNumbers w:val="0"/>
              <w:spacing w:before="92" w:beforeAutospacing="0" w:after="0" w:afterAutospacing="0" w:line="243" w:lineRule="auto"/>
              <w:ind w:left="0" w:right="67"/>
              <w:jc w:val="center"/>
              <w:rPr>
                <w:rFonts w:hint="default"/>
                <w:color w:val="auto"/>
                <w:spacing w:val="0"/>
                <w:w w:val="100"/>
                <w:position w:val="0"/>
                <w:sz w:val="24"/>
                <w:szCs w:val="24"/>
                <w:highlight w:val="none"/>
              </w:rPr>
            </w:pPr>
            <w:r>
              <w:rPr>
                <w:rFonts w:hint="default"/>
                <w:color w:val="auto"/>
                <w:spacing w:val="0"/>
                <w:w w:val="100"/>
                <w:position w:val="0"/>
                <w:sz w:val="24"/>
                <w:szCs w:val="24"/>
                <w:highlight w:val="none"/>
              </w:rPr>
              <w:t>分包工作量占总工 作量的比例（</w:t>
            </w:r>
            <w:r>
              <w:rPr>
                <w:rFonts w:hint="default" w:ascii="Times New Roman" w:hAnsi="Times New Roman" w:eastAsia="Times New Roman" w:cs="Times New Roman"/>
                <w:color w:val="auto"/>
                <w:spacing w:val="0"/>
                <w:w w:val="100"/>
                <w:position w:val="0"/>
                <w:sz w:val="24"/>
                <w:szCs w:val="24"/>
                <w:highlight w:val="none"/>
              </w:rPr>
              <w:t>%</w:t>
            </w:r>
            <w:r>
              <w:rPr>
                <w:rFonts w:hint="default"/>
                <w:color w:val="auto"/>
                <w:spacing w:val="0"/>
                <w:w w:val="100"/>
                <w:position w:val="0"/>
                <w:sz w:val="24"/>
                <w:szCs w:val="24"/>
                <w:highlight w:val="none"/>
              </w:rPr>
              <w:t>）</w:t>
            </w:r>
          </w:p>
        </w:tc>
        <w:tc>
          <w:tcPr>
            <w:tcW w:w="1932" w:type="dxa"/>
            <w:vAlign w:val="center"/>
          </w:tcPr>
          <w:p w14:paraId="7CEE1B20">
            <w:pPr>
              <w:pStyle w:val="19"/>
              <w:keepNext w:val="0"/>
              <w:keepLines w:val="0"/>
              <w:widowControl/>
              <w:suppressLineNumbers w:val="0"/>
              <w:spacing w:before="247" w:beforeAutospacing="0" w:after="0" w:afterAutospacing="0" w:line="221" w:lineRule="auto"/>
              <w:ind w:left="0" w:right="0"/>
              <w:jc w:val="center"/>
              <w:rPr>
                <w:rFonts w:hint="default"/>
                <w:color w:val="auto"/>
                <w:spacing w:val="0"/>
                <w:w w:val="100"/>
                <w:position w:val="0"/>
                <w:sz w:val="24"/>
                <w:szCs w:val="24"/>
                <w:highlight w:val="none"/>
              </w:rPr>
            </w:pPr>
            <w:r>
              <w:rPr>
                <w:rFonts w:hint="default"/>
                <w:color w:val="auto"/>
                <w:spacing w:val="0"/>
                <w:w w:val="100"/>
                <w:position w:val="0"/>
                <w:sz w:val="24"/>
                <w:szCs w:val="24"/>
                <w:highlight w:val="none"/>
              </w:rPr>
              <w:t>备注</w:t>
            </w:r>
          </w:p>
        </w:tc>
      </w:tr>
      <w:tr w14:paraId="2AAB7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674" w:type="dxa"/>
            <w:vAlign w:val="top"/>
          </w:tcPr>
          <w:p w14:paraId="2E774C6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05000AB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3AA74F3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626A096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restart"/>
            <w:tcBorders>
              <w:bottom w:val="nil"/>
            </w:tcBorders>
            <w:vAlign w:val="center"/>
          </w:tcPr>
          <w:p w14:paraId="1DFF1D43">
            <w:pPr>
              <w:pStyle w:val="19"/>
              <w:keepNext w:val="0"/>
              <w:keepLines w:val="0"/>
              <w:widowControl/>
              <w:suppressLineNumbers w:val="0"/>
              <w:spacing w:before="78" w:beforeAutospacing="0" w:after="0" w:afterAutospacing="0"/>
              <w:ind w:left="0" w:right="49"/>
              <w:jc w:val="center"/>
              <w:rPr>
                <w:rFonts w:hint="default"/>
                <w:color w:val="auto"/>
                <w:spacing w:val="0"/>
                <w:w w:val="100"/>
                <w:position w:val="0"/>
                <w:sz w:val="24"/>
                <w:szCs w:val="24"/>
                <w:highlight w:val="none"/>
              </w:rPr>
            </w:pPr>
            <w:r>
              <w:rPr>
                <w:rFonts w:hint="default"/>
                <w:color w:val="auto"/>
                <w:spacing w:val="0"/>
                <w:w w:val="100"/>
                <w:position w:val="0"/>
                <w:sz w:val="24"/>
                <w:szCs w:val="24"/>
                <w:highlight w:val="none"/>
              </w:rPr>
              <w:t>注：若无分包计划，则投标人应在本表填写“无”</w:t>
            </w:r>
          </w:p>
        </w:tc>
      </w:tr>
      <w:tr w14:paraId="58C286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674" w:type="dxa"/>
            <w:vAlign w:val="top"/>
          </w:tcPr>
          <w:p w14:paraId="3BE53B9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41AACC8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6E099E3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6F433BC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29D3E5E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DE44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74" w:type="dxa"/>
            <w:vAlign w:val="top"/>
          </w:tcPr>
          <w:p w14:paraId="3A5C400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32BED9E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363666D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2478381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24491A8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31BFE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74" w:type="dxa"/>
            <w:vAlign w:val="top"/>
          </w:tcPr>
          <w:p w14:paraId="24C77FC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6F1DFE2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45E4D77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15182F6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0EB0702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674F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74" w:type="dxa"/>
            <w:vAlign w:val="top"/>
          </w:tcPr>
          <w:p w14:paraId="2D754F2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19A1F97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0517668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40E6F2D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54A9629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E3387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74" w:type="dxa"/>
            <w:vAlign w:val="top"/>
          </w:tcPr>
          <w:p w14:paraId="2AF8A3C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676CD8F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0022A9B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1EBC72D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69DFC9F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89E0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674" w:type="dxa"/>
            <w:vAlign w:val="top"/>
          </w:tcPr>
          <w:p w14:paraId="69E0805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54C1452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638B5D8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0A55898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25553BD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5F0F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74" w:type="dxa"/>
            <w:vAlign w:val="top"/>
          </w:tcPr>
          <w:p w14:paraId="372478F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6960428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0E926A6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1F3F591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1212D4F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11A0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74" w:type="dxa"/>
            <w:vAlign w:val="top"/>
          </w:tcPr>
          <w:p w14:paraId="13625AA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5CC89AA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0428707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1D0C528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773DCA1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6245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674" w:type="dxa"/>
            <w:vAlign w:val="top"/>
          </w:tcPr>
          <w:p w14:paraId="14E180B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790A4B3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43301E7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0FE9A76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7650FF5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4A2F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74" w:type="dxa"/>
            <w:vAlign w:val="top"/>
          </w:tcPr>
          <w:p w14:paraId="4461E68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3DBA7D9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007BB5B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4CB78E6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6A00B85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C559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674" w:type="dxa"/>
            <w:vAlign w:val="top"/>
          </w:tcPr>
          <w:p w14:paraId="51B71FE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49DCB91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6B9B2E4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7FEA1E5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1BC989A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1DE32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674" w:type="dxa"/>
            <w:vAlign w:val="top"/>
          </w:tcPr>
          <w:p w14:paraId="6B71F19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7709FB8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5A27A55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528049E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0460A77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C012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74" w:type="dxa"/>
            <w:vAlign w:val="top"/>
          </w:tcPr>
          <w:p w14:paraId="6BBBB39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3E46122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3C13DC4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5625029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4FD982F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FA35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674" w:type="dxa"/>
            <w:vAlign w:val="top"/>
          </w:tcPr>
          <w:p w14:paraId="46973C0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102D164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1A1949F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054676C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5FEF757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9182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74" w:type="dxa"/>
            <w:vAlign w:val="top"/>
          </w:tcPr>
          <w:p w14:paraId="00497C8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2359018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1110B7C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36747C1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27B06C7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E0A3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674" w:type="dxa"/>
            <w:vAlign w:val="top"/>
          </w:tcPr>
          <w:p w14:paraId="2C0527C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43" w:type="dxa"/>
            <w:vAlign w:val="top"/>
          </w:tcPr>
          <w:p w14:paraId="0D8CCC9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59" w:type="dxa"/>
            <w:vAlign w:val="top"/>
          </w:tcPr>
          <w:p w14:paraId="02EB60E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63" w:type="dxa"/>
            <w:vAlign w:val="top"/>
          </w:tcPr>
          <w:p w14:paraId="074DB6D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bottom w:val="nil"/>
            </w:tcBorders>
            <w:vAlign w:val="top"/>
          </w:tcPr>
          <w:p w14:paraId="16C9638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07F7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5076" w:type="dxa"/>
            <w:gridSpan w:val="3"/>
            <w:vAlign w:val="top"/>
          </w:tcPr>
          <w:p w14:paraId="1615B2AC">
            <w:pPr>
              <w:pStyle w:val="19"/>
              <w:keepNext w:val="0"/>
              <w:keepLines w:val="0"/>
              <w:widowControl/>
              <w:suppressLineNumbers w:val="0"/>
              <w:spacing w:before="180" w:beforeAutospacing="0" w:after="0" w:afterAutospacing="0" w:line="233" w:lineRule="auto"/>
              <w:ind w:left="1005"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拟分包工作量合计比例（</w:t>
            </w:r>
            <w:r>
              <w:rPr>
                <w:rFonts w:hint="default" w:ascii="Times New Roman" w:hAnsi="Times New Roman" w:eastAsia="Times New Roman" w:cs="Times New Roman"/>
                <w:color w:val="auto"/>
                <w:spacing w:val="0"/>
                <w:w w:val="100"/>
                <w:position w:val="0"/>
                <w:sz w:val="24"/>
                <w:szCs w:val="24"/>
                <w:highlight w:val="none"/>
              </w:rPr>
              <w:t>%</w:t>
            </w:r>
            <w:r>
              <w:rPr>
                <w:rFonts w:hint="default"/>
                <w:color w:val="auto"/>
                <w:spacing w:val="0"/>
                <w:w w:val="100"/>
                <w:position w:val="0"/>
                <w:sz w:val="24"/>
                <w:szCs w:val="24"/>
                <w:highlight w:val="none"/>
              </w:rPr>
              <w:t>）</w:t>
            </w:r>
          </w:p>
        </w:tc>
        <w:tc>
          <w:tcPr>
            <w:tcW w:w="2063" w:type="dxa"/>
            <w:vAlign w:val="top"/>
          </w:tcPr>
          <w:p w14:paraId="49C95D6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32" w:type="dxa"/>
            <w:vMerge w:val="continue"/>
            <w:tcBorders>
              <w:top w:val="nil"/>
            </w:tcBorders>
            <w:vAlign w:val="top"/>
          </w:tcPr>
          <w:p w14:paraId="017AB5E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0E740931">
      <w:pPr>
        <w:rPr>
          <w:rFonts w:ascii="Arial"/>
          <w:color w:val="auto"/>
          <w:spacing w:val="0"/>
          <w:w w:val="100"/>
          <w:position w:val="0"/>
          <w:sz w:val="21"/>
          <w:highlight w:val="none"/>
        </w:rPr>
      </w:pPr>
    </w:p>
    <w:p w14:paraId="3F9D3C4D">
      <w:pPr>
        <w:rPr>
          <w:rFonts w:ascii="Arial" w:hAnsi="Arial" w:eastAsia="Arial" w:cs="Arial"/>
          <w:color w:val="auto"/>
          <w:spacing w:val="0"/>
          <w:w w:val="100"/>
          <w:position w:val="0"/>
          <w:sz w:val="21"/>
          <w:szCs w:val="21"/>
          <w:highlight w:val="none"/>
        </w:rPr>
        <w:sectPr>
          <w:headerReference r:id="rId67" w:type="default"/>
          <w:footerReference r:id="rId68" w:type="default"/>
          <w:pgSz w:w="11900" w:h="16843"/>
          <w:pgMar w:top="1378" w:right="1417" w:bottom="1208" w:left="1417" w:header="1366" w:footer="1003" w:gutter="0"/>
          <w:pgNumType w:fmt="decimal"/>
          <w:cols w:space="0" w:num="1"/>
          <w:rtlGutter w:val="0"/>
          <w:docGrid w:linePitch="0" w:charSpace="0"/>
        </w:sectPr>
      </w:pPr>
    </w:p>
    <w:p w14:paraId="3F83FD93">
      <w:pPr>
        <w:pStyle w:val="6"/>
        <w:spacing w:before="101" w:line="224" w:lineRule="auto"/>
        <w:ind w:left="857"/>
        <w:outlineLvl w:val="2"/>
        <w:rPr>
          <w:color w:val="auto"/>
          <w:spacing w:val="0"/>
          <w:w w:val="100"/>
          <w:position w:val="0"/>
          <w:highlight w:val="none"/>
        </w:rPr>
      </w:pPr>
      <w:bookmarkStart w:id="41" w:name="bookmark37"/>
      <w:bookmarkEnd w:id="41"/>
      <w:r>
        <w:rPr>
          <w:rFonts w:hint="eastAsia"/>
          <w:b/>
          <w:bCs/>
          <w:color w:val="auto"/>
          <w:spacing w:val="0"/>
          <w:w w:val="100"/>
          <w:position w:val="0"/>
          <w:highlight w:val="none"/>
          <w:lang w:val="en-US" w:eastAsia="zh-CN"/>
        </w:rPr>
        <w:t>六</w:t>
      </w:r>
      <w:r>
        <w:rPr>
          <w:b/>
          <w:bCs/>
          <w:color w:val="auto"/>
          <w:spacing w:val="0"/>
          <w:w w:val="100"/>
          <w:position w:val="0"/>
          <w:highlight w:val="none"/>
        </w:rPr>
        <w:t>、资格审查资料（适用于未进行资格预审的）</w:t>
      </w:r>
    </w:p>
    <w:p w14:paraId="1AC2EDD9">
      <w:pPr>
        <w:spacing w:line="342" w:lineRule="auto"/>
        <w:rPr>
          <w:rFonts w:ascii="Arial"/>
          <w:color w:val="auto"/>
          <w:spacing w:val="0"/>
          <w:w w:val="100"/>
          <w:position w:val="0"/>
          <w:sz w:val="21"/>
          <w:highlight w:val="none"/>
        </w:rPr>
      </w:pPr>
    </w:p>
    <w:p w14:paraId="63201251">
      <w:pPr>
        <w:spacing w:line="342" w:lineRule="auto"/>
        <w:rPr>
          <w:rFonts w:ascii="Arial"/>
          <w:color w:val="auto"/>
          <w:spacing w:val="0"/>
          <w:w w:val="100"/>
          <w:position w:val="0"/>
          <w:sz w:val="21"/>
          <w:highlight w:val="none"/>
        </w:rPr>
      </w:pPr>
    </w:p>
    <w:p w14:paraId="567EAA9B">
      <w:pPr>
        <w:pStyle w:val="6"/>
        <w:spacing w:before="98" w:line="220" w:lineRule="auto"/>
        <w:ind w:left="2583"/>
        <w:outlineLvl w:val="3"/>
        <w:rPr>
          <w:color w:val="auto"/>
          <w:spacing w:val="0"/>
          <w:w w:val="100"/>
          <w:position w:val="0"/>
          <w:sz w:val="30"/>
          <w:szCs w:val="30"/>
          <w:highlight w:val="none"/>
        </w:rPr>
      </w:pPr>
      <w:r>
        <w:rPr>
          <w:b/>
          <w:bCs/>
          <w:color w:val="auto"/>
          <w:spacing w:val="0"/>
          <w:w w:val="100"/>
          <w:position w:val="0"/>
          <w:sz w:val="30"/>
          <w:szCs w:val="30"/>
          <w:highlight w:val="none"/>
        </w:rPr>
        <w:t>（一）投标人基本情况表</w:t>
      </w:r>
    </w:p>
    <w:p w14:paraId="4B228520">
      <w:pPr>
        <w:spacing w:line="181" w:lineRule="exact"/>
        <w:rPr>
          <w:color w:val="auto"/>
          <w:spacing w:val="0"/>
          <w:w w:val="100"/>
          <w:position w:val="0"/>
          <w:highlight w:val="none"/>
        </w:rPr>
      </w:pPr>
    </w:p>
    <w:tbl>
      <w:tblPr>
        <w:tblStyle w:val="18"/>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39"/>
        <w:gridCol w:w="849"/>
        <w:gridCol w:w="1089"/>
        <w:gridCol w:w="1039"/>
        <w:gridCol w:w="425"/>
        <w:gridCol w:w="566"/>
        <w:gridCol w:w="849"/>
        <w:gridCol w:w="2188"/>
      </w:tblGrid>
      <w:tr w14:paraId="525A7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2039" w:type="dxa"/>
            <w:vAlign w:val="top"/>
          </w:tcPr>
          <w:p w14:paraId="55E6B08A">
            <w:pPr>
              <w:pStyle w:val="19"/>
              <w:keepNext w:val="0"/>
              <w:keepLines w:val="0"/>
              <w:widowControl/>
              <w:suppressLineNumbers w:val="0"/>
              <w:spacing w:before="87" w:beforeAutospacing="0" w:after="0" w:afterAutospacing="0" w:line="221" w:lineRule="auto"/>
              <w:ind w:left="502" w:right="0"/>
              <w:rPr>
                <w:rFonts w:hint="default"/>
                <w:color w:val="auto"/>
                <w:spacing w:val="0"/>
                <w:w w:val="100"/>
                <w:position w:val="0"/>
                <w:highlight w:val="none"/>
              </w:rPr>
            </w:pPr>
            <w:r>
              <w:rPr>
                <w:rFonts w:hint="default"/>
                <w:color w:val="auto"/>
                <w:spacing w:val="0"/>
                <w:w w:val="100"/>
                <w:position w:val="0"/>
                <w:highlight w:val="none"/>
              </w:rPr>
              <w:t>投标人名称</w:t>
            </w:r>
          </w:p>
        </w:tc>
        <w:tc>
          <w:tcPr>
            <w:tcW w:w="7005" w:type="dxa"/>
            <w:gridSpan w:val="7"/>
            <w:vAlign w:val="top"/>
          </w:tcPr>
          <w:p w14:paraId="47F391A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B7F4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2039" w:type="dxa"/>
            <w:vAlign w:val="top"/>
          </w:tcPr>
          <w:p w14:paraId="200619CF">
            <w:pPr>
              <w:pStyle w:val="19"/>
              <w:keepNext w:val="0"/>
              <w:keepLines w:val="0"/>
              <w:widowControl/>
              <w:suppressLineNumbers w:val="0"/>
              <w:spacing w:before="83" w:beforeAutospacing="0" w:after="0" w:afterAutospacing="0" w:line="222" w:lineRule="auto"/>
              <w:ind w:left="605" w:right="0"/>
              <w:rPr>
                <w:rFonts w:hint="default"/>
                <w:color w:val="auto"/>
                <w:spacing w:val="0"/>
                <w:w w:val="100"/>
                <w:position w:val="0"/>
                <w:highlight w:val="none"/>
              </w:rPr>
            </w:pPr>
            <w:r>
              <w:rPr>
                <w:rFonts w:hint="default"/>
                <w:color w:val="auto"/>
                <w:spacing w:val="0"/>
                <w:w w:val="100"/>
                <w:position w:val="0"/>
                <w:highlight w:val="none"/>
              </w:rPr>
              <w:t>注册地址</w:t>
            </w:r>
          </w:p>
        </w:tc>
        <w:tc>
          <w:tcPr>
            <w:tcW w:w="2977" w:type="dxa"/>
            <w:gridSpan w:val="3"/>
            <w:vAlign w:val="top"/>
          </w:tcPr>
          <w:p w14:paraId="38E939D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1" w:type="dxa"/>
            <w:gridSpan w:val="2"/>
            <w:vAlign w:val="top"/>
          </w:tcPr>
          <w:p w14:paraId="43E0E971">
            <w:pPr>
              <w:pStyle w:val="19"/>
              <w:keepNext w:val="0"/>
              <w:keepLines w:val="0"/>
              <w:widowControl/>
              <w:suppressLineNumbers w:val="0"/>
              <w:spacing w:before="83" w:beforeAutospacing="0" w:after="0" w:afterAutospacing="0" w:line="221" w:lineRule="auto"/>
              <w:ind w:left="96" w:right="0"/>
              <w:rPr>
                <w:rFonts w:hint="default"/>
                <w:color w:val="auto"/>
                <w:spacing w:val="0"/>
                <w:w w:val="100"/>
                <w:position w:val="0"/>
                <w:highlight w:val="none"/>
              </w:rPr>
            </w:pPr>
            <w:r>
              <w:rPr>
                <w:rFonts w:hint="default"/>
                <w:color w:val="auto"/>
                <w:spacing w:val="0"/>
                <w:w w:val="100"/>
                <w:position w:val="0"/>
                <w:highlight w:val="none"/>
              </w:rPr>
              <w:t>邮政编码</w:t>
            </w:r>
          </w:p>
        </w:tc>
        <w:tc>
          <w:tcPr>
            <w:tcW w:w="3037" w:type="dxa"/>
            <w:gridSpan w:val="2"/>
            <w:vAlign w:val="top"/>
          </w:tcPr>
          <w:p w14:paraId="4AF7483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EE84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039" w:type="dxa"/>
            <w:vMerge w:val="restart"/>
            <w:tcBorders>
              <w:bottom w:val="nil"/>
            </w:tcBorders>
            <w:vAlign w:val="top"/>
          </w:tcPr>
          <w:p w14:paraId="1EC96793">
            <w:pPr>
              <w:pStyle w:val="19"/>
              <w:keepNext w:val="0"/>
              <w:keepLines w:val="0"/>
              <w:widowControl/>
              <w:suppressLineNumbers w:val="0"/>
              <w:spacing w:before="273" w:beforeAutospacing="0" w:after="0" w:afterAutospacing="0" w:line="222" w:lineRule="auto"/>
              <w:ind w:left="606" w:right="0"/>
              <w:rPr>
                <w:rFonts w:hint="default"/>
                <w:color w:val="auto"/>
                <w:spacing w:val="0"/>
                <w:w w:val="100"/>
                <w:position w:val="0"/>
                <w:highlight w:val="none"/>
              </w:rPr>
            </w:pPr>
            <w:r>
              <w:rPr>
                <w:rFonts w:hint="default"/>
                <w:color w:val="auto"/>
                <w:spacing w:val="0"/>
                <w:w w:val="100"/>
                <w:position w:val="0"/>
                <w:highlight w:val="none"/>
              </w:rPr>
              <w:t>联系方式</w:t>
            </w:r>
          </w:p>
        </w:tc>
        <w:tc>
          <w:tcPr>
            <w:tcW w:w="849" w:type="dxa"/>
            <w:vAlign w:val="top"/>
          </w:tcPr>
          <w:p w14:paraId="25A2D76E">
            <w:pPr>
              <w:pStyle w:val="19"/>
              <w:keepNext w:val="0"/>
              <w:keepLines w:val="0"/>
              <w:widowControl/>
              <w:suppressLineNumbers w:val="0"/>
              <w:spacing w:before="81" w:beforeAutospacing="0" w:after="0" w:afterAutospacing="0" w:line="223" w:lineRule="auto"/>
              <w:ind w:left="113" w:right="0"/>
              <w:rPr>
                <w:rFonts w:hint="default"/>
                <w:color w:val="auto"/>
                <w:spacing w:val="0"/>
                <w:w w:val="100"/>
                <w:position w:val="0"/>
                <w:highlight w:val="none"/>
              </w:rPr>
            </w:pPr>
            <w:r>
              <w:rPr>
                <w:rFonts w:hint="default"/>
                <w:color w:val="auto"/>
                <w:spacing w:val="0"/>
                <w:w w:val="100"/>
                <w:position w:val="0"/>
                <w:highlight w:val="none"/>
              </w:rPr>
              <w:t>联系人</w:t>
            </w:r>
          </w:p>
        </w:tc>
        <w:tc>
          <w:tcPr>
            <w:tcW w:w="2128" w:type="dxa"/>
            <w:gridSpan w:val="2"/>
            <w:vAlign w:val="top"/>
          </w:tcPr>
          <w:p w14:paraId="1EAC043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1" w:type="dxa"/>
            <w:gridSpan w:val="2"/>
            <w:vAlign w:val="top"/>
          </w:tcPr>
          <w:p w14:paraId="108EE4A8">
            <w:pPr>
              <w:pStyle w:val="19"/>
              <w:keepNext w:val="0"/>
              <w:keepLines w:val="0"/>
              <w:widowControl/>
              <w:suppressLineNumbers w:val="0"/>
              <w:spacing w:before="81" w:beforeAutospacing="0" w:after="0" w:afterAutospacing="0" w:line="223" w:lineRule="auto"/>
              <w:ind w:left="316" w:right="0"/>
              <w:rPr>
                <w:rFonts w:hint="default"/>
                <w:color w:val="auto"/>
                <w:spacing w:val="0"/>
                <w:w w:val="100"/>
                <w:position w:val="0"/>
                <w:highlight w:val="none"/>
              </w:rPr>
            </w:pPr>
            <w:r>
              <w:rPr>
                <w:rFonts w:hint="default"/>
                <w:color w:val="auto"/>
                <w:spacing w:val="0"/>
                <w:w w:val="100"/>
                <w:position w:val="0"/>
                <w:highlight w:val="none"/>
              </w:rPr>
              <w:t>电话</w:t>
            </w:r>
          </w:p>
        </w:tc>
        <w:tc>
          <w:tcPr>
            <w:tcW w:w="3037" w:type="dxa"/>
            <w:gridSpan w:val="2"/>
            <w:vAlign w:val="top"/>
          </w:tcPr>
          <w:p w14:paraId="7FE23FF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E728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trPr>
        <w:tc>
          <w:tcPr>
            <w:tcW w:w="2039" w:type="dxa"/>
            <w:vMerge w:val="continue"/>
            <w:tcBorders>
              <w:top w:val="nil"/>
            </w:tcBorders>
            <w:vAlign w:val="top"/>
          </w:tcPr>
          <w:p w14:paraId="5371240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49" w:type="dxa"/>
            <w:vAlign w:val="top"/>
          </w:tcPr>
          <w:p w14:paraId="1AB2678D">
            <w:pPr>
              <w:pStyle w:val="19"/>
              <w:keepNext w:val="0"/>
              <w:keepLines w:val="0"/>
              <w:widowControl/>
              <w:suppressLineNumbers w:val="0"/>
              <w:spacing w:before="81" w:beforeAutospacing="0" w:after="0" w:afterAutospacing="0" w:line="220" w:lineRule="auto"/>
              <w:ind w:left="216" w:right="0"/>
              <w:rPr>
                <w:rFonts w:hint="default"/>
                <w:color w:val="auto"/>
                <w:spacing w:val="0"/>
                <w:w w:val="100"/>
                <w:position w:val="0"/>
                <w:highlight w:val="none"/>
              </w:rPr>
            </w:pPr>
            <w:r>
              <w:rPr>
                <w:rFonts w:hint="default"/>
                <w:color w:val="auto"/>
                <w:spacing w:val="0"/>
                <w:w w:val="100"/>
                <w:position w:val="0"/>
                <w:highlight w:val="none"/>
              </w:rPr>
              <w:t>传真</w:t>
            </w:r>
          </w:p>
        </w:tc>
        <w:tc>
          <w:tcPr>
            <w:tcW w:w="2128" w:type="dxa"/>
            <w:gridSpan w:val="2"/>
            <w:vAlign w:val="top"/>
          </w:tcPr>
          <w:p w14:paraId="7B888E4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1" w:type="dxa"/>
            <w:gridSpan w:val="2"/>
            <w:vAlign w:val="top"/>
          </w:tcPr>
          <w:p w14:paraId="15F4ACFF">
            <w:pPr>
              <w:pStyle w:val="19"/>
              <w:keepNext w:val="0"/>
              <w:keepLines w:val="0"/>
              <w:widowControl/>
              <w:suppressLineNumbers w:val="0"/>
              <w:spacing w:before="81" w:beforeAutospacing="0" w:after="0" w:afterAutospacing="0" w:line="221" w:lineRule="auto"/>
              <w:ind w:left="105" w:right="0"/>
              <w:rPr>
                <w:rFonts w:hint="default"/>
                <w:color w:val="auto"/>
                <w:spacing w:val="0"/>
                <w:w w:val="100"/>
                <w:position w:val="0"/>
                <w:highlight w:val="none"/>
              </w:rPr>
            </w:pPr>
            <w:r>
              <w:rPr>
                <w:rFonts w:hint="default"/>
                <w:color w:val="auto"/>
                <w:spacing w:val="0"/>
                <w:w w:val="100"/>
                <w:position w:val="0"/>
                <w:highlight w:val="none"/>
              </w:rPr>
              <w:t>电子邮件</w:t>
            </w:r>
          </w:p>
        </w:tc>
        <w:tc>
          <w:tcPr>
            <w:tcW w:w="3037" w:type="dxa"/>
            <w:gridSpan w:val="2"/>
            <w:vAlign w:val="top"/>
          </w:tcPr>
          <w:p w14:paraId="238085C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B26E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039" w:type="dxa"/>
            <w:vAlign w:val="top"/>
          </w:tcPr>
          <w:p w14:paraId="4F07AE10">
            <w:pPr>
              <w:pStyle w:val="19"/>
              <w:keepNext w:val="0"/>
              <w:keepLines w:val="0"/>
              <w:widowControl/>
              <w:suppressLineNumbers w:val="0"/>
              <w:spacing w:before="82" w:beforeAutospacing="0" w:after="0" w:afterAutospacing="0" w:line="221" w:lineRule="auto"/>
              <w:ind w:left="500" w:right="0"/>
              <w:rPr>
                <w:rFonts w:hint="default"/>
                <w:color w:val="auto"/>
                <w:spacing w:val="0"/>
                <w:w w:val="100"/>
                <w:position w:val="0"/>
                <w:highlight w:val="none"/>
              </w:rPr>
            </w:pPr>
            <w:r>
              <w:rPr>
                <w:rFonts w:hint="default"/>
                <w:color w:val="auto"/>
                <w:spacing w:val="0"/>
                <w:w w:val="100"/>
                <w:position w:val="0"/>
                <w:highlight w:val="none"/>
              </w:rPr>
              <w:t>法定代表人</w:t>
            </w:r>
          </w:p>
        </w:tc>
        <w:tc>
          <w:tcPr>
            <w:tcW w:w="849" w:type="dxa"/>
            <w:vAlign w:val="top"/>
          </w:tcPr>
          <w:p w14:paraId="4948F8A0">
            <w:pPr>
              <w:pStyle w:val="19"/>
              <w:keepNext w:val="0"/>
              <w:keepLines w:val="0"/>
              <w:widowControl/>
              <w:suppressLineNumbers w:val="0"/>
              <w:spacing w:before="82" w:beforeAutospacing="0" w:after="0" w:afterAutospacing="0" w:line="221" w:lineRule="auto"/>
              <w:ind w:left="218" w:right="0"/>
              <w:rPr>
                <w:rFonts w:hint="default"/>
                <w:color w:val="auto"/>
                <w:spacing w:val="0"/>
                <w:w w:val="100"/>
                <w:position w:val="0"/>
                <w:highlight w:val="none"/>
              </w:rPr>
            </w:pPr>
            <w:r>
              <w:rPr>
                <w:rFonts w:hint="default"/>
                <w:color w:val="auto"/>
                <w:spacing w:val="0"/>
                <w:w w:val="100"/>
                <w:position w:val="0"/>
                <w:highlight w:val="none"/>
              </w:rPr>
              <w:t>姓名</w:t>
            </w:r>
          </w:p>
        </w:tc>
        <w:tc>
          <w:tcPr>
            <w:tcW w:w="1089" w:type="dxa"/>
            <w:vAlign w:val="top"/>
          </w:tcPr>
          <w:p w14:paraId="3E8D80F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039" w:type="dxa"/>
            <w:vAlign w:val="top"/>
          </w:tcPr>
          <w:p w14:paraId="7E1ABD54">
            <w:pPr>
              <w:pStyle w:val="19"/>
              <w:keepNext w:val="0"/>
              <w:keepLines w:val="0"/>
              <w:widowControl/>
              <w:suppressLineNumbers w:val="0"/>
              <w:spacing w:before="82" w:beforeAutospacing="0" w:after="0" w:afterAutospacing="0" w:line="221" w:lineRule="auto"/>
              <w:ind w:left="105" w:right="0"/>
              <w:rPr>
                <w:rFonts w:hint="default"/>
                <w:color w:val="auto"/>
                <w:spacing w:val="0"/>
                <w:w w:val="100"/>
                <w:position w:val="0"/>
                <w:highlight w:val="none"/>
              </w:rPr>
            </w:pPr>
            <w:r>
              <w:rPr>
                <w:rFonts w:hint="default"/>
                <w:color w:val="auto"/>
                <w:spacing w:val="0"/>
                <w:w w:val="100"/>
                <w:position w:val="0"/>
                <w:highlight w:val="none"/>
              </w:rPr>
              <w:t>技术职称</w:t>
            </w:r>
          </w:p>
        </w:tc>
        <w:tc>
          <w:tcPr>
            <w:tcW w:w="991" w:type="dxa"/>
            <w:gridSpan w:val="2"/>
            <w:vAlign w:val="top"/>
          </w:tcPr>
          <w:p w14:paraId="32BE376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49" w:type="dxa"/>
            <w:vAlign w:val="top"/>
          </w:tcPr>
          <w:p w14:paraId="6EBE4CA4">
            <w:pPr>
              <w:pStyle w:val="19"/>
              <w:keepNext w:val="0"/>
              <w:keepLines w:val="0"/>
              <w:widowControl/>
              <w:suppressLineNumbers w:val="0"/>
              <w:spacing w:before="82" w:beforeAutospacing="0" w:after="0" w:afterAutospacing="0" w:line="223" w:lineRule="auto"/>
              <w:ind w:left="245" w:right="0"/>
              <w:rPr>
                <w:rFonts w:hint="default"/>
                <w:color w:val="auto"/>
                <w:spacing w:val="0"/>
                <w:w w:val="100"/>
                <w:position w:val="0"/>
                <w:highlight w:val="none"/>
              </w:rPr>
            </w:pPr>
            <w:r>
              <w:rPr>
                <w:rFonts w:hint="default"/>
                <w:color w:val="auto"/>
                <w:spacing w:val="0"/>
                <w:w w:val="100"/>
                <w:position w:val="0"/>
                <w:highlight w:val="none"/>
              </w:rPr>
              <w:t>电话</w:t>
            </w:r>
          </w:p>
        </w:tc>
        <w:tc>
          <w:tcPr>
            <w:tcW w:w="2188" w:type="dxa"/>
            <w:vAlign w:val="top"/>
          </w:tcPr>
          <w:p w14:paraId="04D95C9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E56C6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039" w:type="dxa"/>
            <w:vAlign w:val="top"/>
          </w:tcPr>
          <w:p w14:paraId="554AD4F6">
            <w:pPr>
              <w:pStyle w:val="19"/>
              <w:keepNext w:val="0"/>
              <w:keepLines w:val="0"/>
              <w:widowControl/>
              <w:suppressLineNumbers w:val="0"/>
              <w:spacing w:before="82" w:beforeAutospacing="0" w:after="0" w:afterAutospacing="0" w:line="221" w:lineRule="auto"/>
              <w:ind w:left="500" w:right="0"/>
              <w:rPr>
                <w:rFonts w:hint="default"/>
                <w:color w:val="auto"/>
                <w:spacing w:val="0"/>
                <w:w w:val="100"/>
                <w:position w:val="0"/>
                <w:highlight w:val="none"/>
              </w:rPr>
            </w:pPr>
            <w:r>
              <w:rPr>
                <w:rFonts w:hint="default"/>
                <w:color w:val="auto"/>
                <w:spacing w:val="0"/>
                <w:w w:val="100"/>
                <w:position w:val="0"/>
                <w:highlight w:val="none"/>
              </w:rPr>
              <w:t>技术负责人</w:t>
            </w:r>
          </w:p>
        </w:tc>
        <w:tc>
          <w:tcPr>
            <w:tcW w:w="849" w:type="dxa"/>
            <w:vAlign w:val="top"/>
          </w:tcPr>
          <w:p w14:paraId="1515327D">
            <w:pPr>
              <w:pStyle w:val="19"/>
              <w:keepNext w:val="0"/>
              <w:keepLines w:val="0"/>
              <w:widowControl/>
              <w:suppressLineNumbers w:val="0"/>
              <w:spacing w:before="82" w:beforeAutospacing="0" w:after="0" w:afterAutospacing="0" w:line="221" w:lineRule="auto"/>
              <w:ind w:left="218" w:right="0"/>
              <w:rPr>
                <w:rFonts w:hint="default"/>
                <w:color w:val="auto"/>
                <w:spacing w:val="0"/>
                <w:w w:val="100"/>
                <w:position w:val="0"/>
                <w:highlight w:val="none"/>
              </w:rPr>
            </w:pPr>
            <w:r>
              <w:rPr>
                <w:rFonts w:hint="default"/>
                <w:color w:val="auto"/>
                <w:spacing w:val="0"/>
                <w:w w:val="100"/>
                <w:position w:val="0"/>
                <w:highlight w:val="none"/>
              </w:rPr>
              <w:t>姓名</w:t>
            </w:r>
          </w:p>
        </w:tc>
        <w:tc>
          <w:tcPr>
            <w:tcW w:w="1089" w:type="dxa"/>
            <w:vAlign w:val="top"/>
          </w:tcPr>
          <w:p w14:paraId="59A0EF2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039" w:type="dxa"/>
            <w:vAlign w:val="top"/>
          </w:tcPr>
          <w:p w14:paraId="2A17B026">
            <w:pPr>
              <w:pStyle w:val="19"/>
              <w:keepNext w:val="0"/>
              <w:keepLines w:val="0"/>
              <w:widowControl/>
              <w:suppressLineNumbers w:val="0"/>
              <w:spacing w:before="82" w:beforeAutospacing="0" w:after="0" w:afterAutospacing="0" w:line="221" w:lineRule="auto"/>
              <w:ind w:left="105" w:right="0"/>
              <w:rPr>
                <w:rFonts w:hint="default"/>
                <w:color w:val="auto"/>
                <w:spacing w:val="0"/>
                <w:w w:val="100"/>
                <w:position w:val="0"/>
                <w:highlight w:val="none"/>
              </w:rPr>
            </w:pPr>
            <w:r>
              <w:rPr>
                <w:rFonts w:hint="default"/>
                <w:color w:val="auto"/>
                <w:spacing w:val="0"/>
                <w:w w:val="100"/>
                <w:position w:val="0"/>
                <w:highlight w:val="none"/>
              </w:rPr>
              <w:t>技术职称</w:t>
            </w:r>
          </w:p>
        </w:tc>
        <w:tc>
          <w:tcPr>
            <w:tcW w:w="991" w:type="dxa"/>
            <w:gridSpan w:val="2"/>
            <w:vAlign w:val="top"/>
          </w:tcPr>
          <w:p w14:paraId="03F8D5B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49" w:type="dxa"/>
            <w:vAlign w:val="top"/>
          </w:tcPr>
          <w:p w14:paraId="7B899A79">
            <w:pPr>
              <w:pStyle w:val="19"/>
              <w:keepNext w:val="0"/>
              <w:keepLines w:val="0"/>
              <w:widowControl/>
              <w:suppressLineNumbers w:val="0"/>
              <w:spacing w:before="82" w:beforeAutospacing="0" w:after="0" w:afterAutospacing="0" w:line="223" w:lineRule="auto"/>
              <w:ind w:left="245" w:right="0"/>
              <w:rPr>
                <w:rFonts w:hint="default"/>
                <w:color w:val="auto"/>
                <w:spacing w:val="0"/>
                <w:w w:val="100"/>
                <w:position w:val="0"/>
                <w:highlight w:val="none"/>
              </w:rPr>
            </w:pPr>
            <w:r>
              <w:rPr>
                <w:rFonts w:hint="default"/>
                <w:color w:val="auto"/>
                <w:spacing w:val="0"/>
                <w:w w:val="100"/>
                <w:position w:val="0"/>
                <w:highlight w:val="none"/>
              </w:rPr>
              <w:t>电话</w:t>
            </w:r>
          </w:p>
        </w:tc>
        <w:tc>
          <w:tcPr>
            <w:tcW w:w="2188" w:type="dxa"/>
            <w:vAlign w:val="top"/>
          </w:tcPr>
          <w:p w14:paraId="4A26CC0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C133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039" w:type="dxa"/>
            <w:vAlign w:val="top"/>
          </w:tcPr>
          <w:p w14:paraId="577B4759">
            <w:pPr>
              <w:pStyle w:val="19"/>
              <w:keepNext w:val="0"/>
              <w:keepLines w:val="0"/>
              <w:widowControl/>
              <w:suppressLineNumbers w:val="0"/>
              <w:spacing w:before="85" w:beforeAutospacing="0" w:after="0" w:afterAutospacing="0" w:line="220" w:lineRule="auto"/>
              <w:ind w:left="189" w:right="0"/>
              <w:rPr>
                <w:rFonts w:hint="default"/>
                <w:color w:val="auto"/>
                <w:spacing w:val="0"/>
                <w:w w:val="100"/>
                <w:position w:val="0"/>
                <w:highlight w:val="none"/>
              </w:rPr>
            </w:pPr>
            <w:r>
              <w:rPr>
                <w:rFonts w:hint="default"/>
                <w:color w:val="auto"/>
                <w:spacing w:val="0"/>
                <w:w w:val="100"/>
                <w:position w:val="0"/>
                <w:highlight w:val="none"/>
              </w:rPr>
              <w:t>企业勘察资质证书</w:t>
            </w:r>
          </w:p>
        </w:tc>
        <w:tc>
          <w:tcPr>
            <w:tcW w:w="7005" w:type="dxa"/>
            <w:gridSpan w:val="7"/>
            <w:vAlign w:val="top"/>
          </w:tcPr>
          <w:p w14:paraId="5AD4B8C6">
            <w:pPr>
              <w:pStyle w:val="19"/>
              <w:keepNext w:val="0"/>
              <w:keepLines w:val="0"/>
              <w:widowControl/>
              <w:suppressLineNumbers w:val="0"/>
              <w:spacing w:before="85" w:beforeAutospacing="0" w:after="0" w:afterAutospacing="0" w:line="220" w:lineRule="auto"/>
              <w:ind w:left="935" w:right="0"/>
              <w:rPr>
                <w:rFonts w:hint="default"/>
                <w:color w:val="auto"/>
                <w:spacing w:val="0"/>
                <w:w w:val="100"/>
                <w:position w:val="0"/>
                <w:highlight w:val="none"/>
              </w:rPr>
            </w:pPr>
            <w:r>
              <w:rPr>
                <w:rFonts w:hint="default"/>
                <w:color w:val="auto"/>
                <w:spacing w:val="0"/>
                <w:w w:val="100"/>
                <w:position w:val="0"/>
                <w:highlight w:val="none"/>
              </w:rPr>
              <w:t>类型：                  等级：     证书号：</w:t>
            </w:r>
          </w:p>
        </w:tc>
      </w:tr>
      <w:tr w14:paraId="3A53E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039" w:type="dxa"/>
            <w:vAlign w:val="top"/>
          </w:tcPr>
          <w:p w14:paraId="1030F5F7">
            <w:pPr>
              <w:pStyle w:val="19"/>
              <w:keepNext w:val="0"/>
              <w:keepLines w:val="0"/>
              <w:widowControl/>
              <w:suppressLineNumbers w:val="0"/>
              <w:spacing w:before="85" w:beforeAutospacing="0" w:after="0" w:afterAutospacing="0" w:line="220" w:lineRule="auto"/>
              <w:ind w:left="189" w:right="0"/>
              <w:rPr>
                <w:rFonts w:hint="default"/>
                <w:color w:val="auto"/>
                <w:spacing w:val="0"/>
                <w:w w:val="100"/>
                <w:position w:val="0"/>
                <w:highlight w:val="none"/>
              </w:rPr>
            </w:pPr>
            <w:r>
              <w:rPr>
                <w:rFonts w:hint="default"/>
                <w:color w:val="auto"/>
                <w:spacing w:val="0"/>
                <w:w w:val="100"/>
                <w:position w:val="0"/>
                <w:highlight w:val="none"/>
              </w:rPr>
              <w:t>企业设计资质证书</w:t>
            </w:r>
          </w:p>
        </w:tc>
        <w:tc>
          <w:tcPr>
            <w:tcW w:w="7005" w:type="dxa"/>
            <w:gridSpan w:val="7"/>
            <w:vAlign w:val="top"/>
          </w:tcPr>
          <w:p w14:paraId="03651CD0">
            <w:pPr>
              <w:pStyle w:val="19"/>
              <w:keepNext w:val="0"/>
              <w:keepLines w:val="0"/>
              <w:widowControl/>
              <w:suppressLineNumbers w:val="0"/>
              <w:spacing w:before="85" w:beforeAutospacing="0" w:after="0" w:afterAutospacing="0" w:line="220" w:lineRule="auto"/>
              <w:ind w:left="935" w:right="0"/>
              <w:rPr>
                <w:rFonts w:hint="default"/>
                <w:color w:val="auto"/>
                <w:spacing w:val="0"/>
                <w:w w:val="100"/>
                <w:position w:val="0"/>
                <w:highlight w:val="none"/>
              </w:rPr>
            </w:pPr>
            <w:r>
              <w:rPr>
                <w:rFonts w:hint="default"/>
                <w:color w:val="auto"/>
                <w:spacing w:val="0"/>
                <w:w w:val="100"/>
                <w:position w:val="0"/>
                <w:highlight w:val="none"/>
              </w:rPr>
              <w:t>类型：                  等级：     证书号：</w:t>
            </w:r>
          </w:p>
        </w:tc>
      </w:tr>
      <w:tr w14:paraId="7D848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2039" w:type="dxa"/>
            <w:vAlign w:val="top"/>
          </w:tcPr>
          <w:p w14:paraId="598478EC">
            <w:pPr>
              <w:pStyle w:val="19"/>
              <w:keepNext w:val="0"/>
              <w:keepLines w:val="0"/>
              <w:widowControl/>
              <w:suppressLineNumbers w:val="0"/>
              <w:spacing w:before="84" w:beforeAutospacing="0" w:after="0" w:afterAutospacing="0" w:line="221" w:lineRule="auto"/>
              <w:ind w:left="506" w:right="0"/>
              <w:rPr>
                <w:rFonts w:hint="default"/>
                <w:color w:val="auto"/>
                <w:spacing w:val="0"/>
                <w:w w:val="100"/>
                <w:position w:val="0"/>
                <w:highlight w:val="none"/>
              </w:rPr>
            </w:pPr>
            <w:r>
              <w:rPr>
                <w:rFonts w:hint="default"/>
                <w:color w:val="auto"/>
                <w:spacing w:val="0"/>
                <w:w w:val="100"/>
                <w:position w:val="0"/>
                <w:highlight w:val="none"/>
              </w:rPr>
              <w:t>营业执照号</w:t>
            </w:r>
          </w:p>
        </w:tc>
        <w:tc>
          <w:tcPr>
            <w:tcW w:w="2977" w:type="dxa"/>
            <w:gridSpan w:val="3"/>
            <w:vAlign w:val="top"/>
          </w:tcPr>
          <w:p w14:paraId="51B7111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028" w:type="dxa"/>
            <w:gridSpan w:val="4"/>
            <w:vAlign w:val="top"/>
          </w:tcPr>
          <w:p w14:paraId="0FCFAB36">
            <w:pPr>
              <w:pStyle w:val="19"/>
              <w:keepNext w:val="0"/>
              <w:keepLines w:val="0"/>
              <w:widowControl/>
              <w:suppressLineNumbers w:val="0"/>
              <w:spacing w:before="84" w:beforeAutospacing="0" w:after="0" w:afterAutospacing="0" w:line="221" w:lineRule="auto"/>
              <w:ind w:left="1085" w:right="0"/>
              <w:rPr>
                <w:rFonts w:hint="default"/>
                <w:color w:val="auto"/>
                <w:spacing w:val="0"/>
                <w:w w:val="100"/>
                <w:position w:val="0"/>
                <w:highlight w:val="none"/>
              </w:rPr>
            </w:pPr>
            <w:r>
              <w:rPr>
                <w:rFonts w:hint="default"/>
                <w:color w:val="auto"/>
                <w:spacing w:val="0"/>
                <w:w w:val="100"/>
                <w:position w:val="0"/>
                <w:highlight w:val="none"/>
              </w:rPr>
              <w:t>员工总人数：</w:t>
            </w:r>
          </w:p>
        </w:tc>
      </w:tr>
      <w:tr w14:paraId="3A0E23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039" w:type="dxa"/>
            <w:vAlign w:val="top"/>
          </w:tcPr>
          <w:p w14:paraId="1D3A5019">
            <w:pPr>
              <w:pStyle w:val="19"/>
              <w:keepNext w:val="0"/>
              <w:keepLines w:val="0"/>
              <w:widowControl/>
              <w:suppressLineNumbers w:val="0"/>
              <w:spacing w:before="83" w:beforeAutospacing="0" w:after="0" w:afterAutospacing="0" w:line="220" w:lineRule="auto"/>
              <w:ind w:left="605" w:right="0"/>
              <w:rPr>
                <w:rFonts w:hint="default"/>
                <w:color w:val="auto"/>
                <w:spacing w:val="0"/>
                <w:w w:val="100"/>
                <w:position w:val="0"/>
                <w:highlight w:val="none"/>
              </w:rPr>
            </w:pPr>
            <w:r>
              <w:rPr>
                <w:rFonts w:hint="default"/>
                <w:color w:val="auto"/>
                <w:spacing w:val="0"/>
                <w:w w:val="100"/>
                <w:position w:val="0"/>
                <w:highlight w:val="none"/>
              </w:rPr>
              <w:t>注册资本</w:t>
            </w:r>
          </w:p>
        </w:tc>
        <w:tc>
          <w:tcPr>
            <w:tcW w:w="2977" w:type="dxa"/>
            <w:gridSpan w:val="3"/>
            <w:vAlign w:val="top"/>
          </w:tcPr>
          <w:p w14:paraId="2B3FE7B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25" w:type="dxa"/>
            <w:vMerge w:val="restart"/>
            <w:tcBorders>
              <w:bottom w:val="nil"/>
            </w:tcBorders>
            <w:textDirection w:val="tbRlV"/>
            <w:vAlign w:val="top"/>
          </w:tcPr>
          <w:p w14:paraId="325EDB65">
            <w:pPr>
              <w:pStyle w:val="19"/>
              <w:keepNext w:val="0"/>
              <w:keepLines w:val="0"/>
              <w:widowControl/>
              <w:suppressLineNumbers w:val="0"/>
              <w:spacing w:before="104" w:beforeAutospacing="0" w:after="0" w:afterAutospacing="0" w:line="209" w:lineRule="auto"/>
              <w:ind w:left="525" w:right="0"/>
              <w:rPr>
                <w:rFonts w:hint="default"/>
                <w:color w:val="auto"/>
                <w:spacing w:val="0"/>
                <w:w w:val="100"/>
                <w:position w:val="0"/>
                <w:highlight w:val="none"/>
              </w:rPr>
            </w:pPr>
            <w:r>
              <w:rPr>
                <w:rFonts w:hint="default"/>
                <w:color w:val="auto"/>
                <w:spacing w:val="0"/>
                <w:w w:val="100"/>
                <w:position w:val="0"/>
                <w:highlight w:val="none"/>
              </w:rPr>
              <w:t>其中</w:t>
            </w:r>
          </w:p>
        </w:tc>
        <w:tc>
          <w:tcPr>
            <w:tcW w:w="1415" w:type="dxa"/>
            <w:gridSpan w:val="2"/>
            <w:vAlign w:val="top"/>
          </w:tcPr>
          <w:p w14:paraId="7E5125B7">
            <w:pPr>
              <w:pStyle w:val="19"/>
              <w:keepNext w:val="0"/>
              <w:keepLines w:val="0"/>
              <w:widowControl/>
              <w:suppressLineNumbers w:val="0"/>
              <w:spacing w:before="82" w:beforeAutospacing="0" w:after="0" w:afterAutospacing="0" w:line="221" w:lineRule="auto"/>
              <w:ind w:left="88" w:right="0"/>
              <w:rPr>
                <w:rFonts w:hint="default"/>
                <w:color w:val="auto"/>
                <w:spacing w:val="0"/>
                <w:w w:val="100"/>
                <w:position w:val="0"/>
                <w:highlight w:val="none"/>
              </w:rPr>
            </w:pPr>
            <w:r>
              <w:rPr>
                <w:rFonts w:hint="default"/>
                <w:color w:val="auto"/>
                <w:spacing w:val="0"/>
                <w:w w:val="100"/>
                <w:position w:val="0"/>
                <w:highlight w:val="none"/>
              </w:rPr>
              <w:t>高级职称人员</w:t>
            </w:r>
          </w:p>
        </w:tc>
        <w:tc>
          <w:tcPr>
            <w:tcW w:w="2188" w:type="dxa"/>
            <w:vAlign w:val="top"/>
          </w:tcPr>
          <w:p w14:paraId="710CC0F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71D2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039" w:type="dxa"/>
            <w:vAlign w:val="top"/>
          </w:tcPr>
          <w:p w14:paraId="3E7395B2">
            <w:pPr>
              <w:pStyle w:val="19"/>
              <w:keepNext w:val="0"/>
              <w:keepLines w:val="0"/>
              <w:widowControl/>
              <w:suppressLineNumbers w:val="0"/>
              <w:spacing w:before="83" w:beforeAutospacing="0" w:after="0" w:afterAutospacing="0" w:line="221" w:lineRule="auto"/>
              <w:ind w:left="607" w:right="0"/>
              <w:rPr>
                <w:rFonts w:hint="default"/>
                <w:color w:val="auto"/>
                <w:spacing w:val="0"/>
                <w:w w:val="100"/>
                <w:position w:val="0"/>
                <w:highlight w:val="none"/>
              </w:rPr>
            </w:pPr>
            <w:r>
              <w:rPr>
                <w:rFonts w:hint="default"/>
                <w:color w:val="auto"/>
                <w:spacing w:val="0"/>
                <w:w w:val="100"/>
                <w:position w:val="0"/>
                <w:highlight w:val="none"/>
              </w:rPr>
              <w:t>成立日期</w:t>
            </w:r>
          </w:p>
        </w:tc>
        <w:tc>
          <w:tcPr>
            <w:tcW w:w="2977" w:type="dxa"/>
            <w:gridSpan w:val="3"/>
            <w:vAlign w:val="top"/>
          </w:tcPr>
          <w:p w14:paraId="7980763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25" w:type="dxa"/>
            <w:vMerge w:val="continue"/>
            <w:tcBorders>
              <w:top w:val="nil"/>
              <w:bottom w:val="nil"/>
            </w:tcBorders>
            <w:textDirection w:val="tbRlV"/>
            <w:vAlign w:val="top"/>
          </w:tcPr>
          <w:p w14:paraId="49E038E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15" w:type="dxa"/>
            <w:gridSpan w:val="2"/>
            <w:vAlign w:val="top"/>
          </w:tcPr>
          <w:p w14:paraId="00CFAAB8">
            <w:pPr>
              <w:pStyle w:val="19"/>
              <w:keepNext w:val="0"/>
              <w:keepLines w:val="0"/>
              <w:widowControl/>
              <w:suppressLineNumbers w:val="0"/>
              <w:spacing w:before="83" w:beforeAutospacing="0" w:after="0" w:afterAutospacing="0" w:line="221" w:lineRule="auto"/>
              <w:ind w:left="103" w:right="0"/>
              <w:rPr>
                <w:rFonts w:hint="default"/>
                <w:color w:val="auto"/>
                <w:spacing w:val="0"/>
                <w:w w:val="100"/>
                <w:position w:val="0"/>
                <w:highlight w:val="none"/>
              </w:rPr>
            </w:pPr>
            <w:r>
              <w:rPr>
                <w:rFonts w:hint="default"/>
                <w:color w:val="auto"/>
                <w:spacing w:val="0"/>
                <w:w w:val="100"/>
                <w:position w:val="0"/>
                <w:highlight w:val="none"/>
              </w:rPr>
              <w:t>中级职称人员</w:t>
            </w:r>
          </w:p>
        </w:tc>
        <w:tc>
          <w:tcPr>
            <w:tcW w:w="2188" w:type="dxa"/>
            <w:vAlign w:val="top"/>
          </w:tcPr>
          <w:p w14:paraId="5FC9812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051A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039" w:type="dxa"/>
            <w:vAlign w:val="top"/>
          </w:tcPr>
          <w:p w14:paraId="59D341BE">
            <w:pPr>
              <w:pStyle w:val="19"/>
              <w:keepNext w:val="0"/>
              <w:keepLines w:val="0"/>
              <w:widowControl/>
              <w:suppressLineNumbers w:val="0"/>
              <w:spacing w:before="83" w:beforeAutospacing="0" w:after="0" w:afterAutospacing="0" w:line="220" w:lineRule="auto"/>
              <w:ind w:left="185" w:right="0"/>
              <w:rPr>
                <w:rFonts w:hint="default"/>
                <w:color w:val="auto"/>
                <w:spacing w:val="0"/>
                <w:w w:val="100"/>
                <w:position w:val="0"/>
                <w:highlight w:val="none"/>
              </w:rPr>
            </w:pPr>
            <w:r>
              <w:rPr>
                <w:rFonts w:hint="default"/>
                <w:color w:val="auto"/>
                <w:spacing w:val="0"/>
                <w:w w:val="100"/>
                <w:position w:val="0"/>
                <w:highlight w:val="none"/>
              </w:rPr>
              <w:t>基本账户开户银行</w:t>
            </w:r>
          </w:p>
        </w:tc>
        <w:tc>
          <w:tcPr>
            <w:tcW w:w="2977" w:type="dxa"/>
            <w:gridSpan w:val="3"/>
            <w:vAlign w:val="top"/>
          </w:tcPr>
          <w:p w14:paraId="63D67ED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25" w:type="dxa"/>
            <w:vMerge w:val="continue"/>
            <w:tcBorders>
              <w:top w:val="nil"/>
              <w:bottom w:val="nil"/>
            </w:tcBorders>
            <w:textDirection w:val="tbRlV"/>
            <w:vAlign w:val="top"/>
          </w:tcPr>
          <w:p w14:paraId="28F03F8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15" w:type="dxa"/>
            <w:gridSpan w:val="2"/>
            <w:vAlign w:val="top"/>
          </w:tcPr>
          <w:p w14:paraId="7012F73E">
            <w:pPr>
              <w:pStyle w:val="19"/>
              <w:keepNext w:val="0"/>
              <w:keepLines w:val="0"/>
              <w:widowControl/>
              <w:suppressLineNumbers w:val="0"/>
              <w:spacing w:before="83" w:beforeAutospacing="0" w:after="0" w:afterAutospacing="0" w:line="221" w:lineRule="auto"/>
              <w:ind w:left="84" w:right="0"/>
              <w:rPr>
                <w:rFonts w:hint="default"/>
                <w:color w:val="auto"/>
                <w:spacing w:val="0"/>
                <w:w w:val="100"/>
                <w:position w:val="0"/>
                <w:highlight w:val="none"/>
              </w:rPr>
            </w:pPr>
            <w:r>
              <w:rPr>
                <w:rFonts w:hint="default"/>
                <w:color w:val="auto"/>
                <w:spacing w:val="0"/>
                <w:w w:val="100"/>
                <w:position w:val="0"/>
                <w:highlight w:val="none"/>
              </w:rPr>
              <w:t>技术人员数量</w:t>
            </w:r>
          </w:p>
        </w:tc>
        <w:tc>
          <w:tcPr>
            <w:tcW w:w="2188" w:type="dxa"/>
            <w:vAlign w:val="top"/>
          </w:tcPr>
          <w:p w14:paraId="41B7F10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2114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039" w:type="dxa"/>
            <w:vAlign w:val="top"/>
          </w:tcPr>
          <w:p w14:paraId="6914F2A0">
            <w:pPr>
              <w:pStyle w:val="19"/>
              <w:keepNext w:val="0"/>
              <w:keepLines w:val="0"/>
              <w:widowControl/>
              <w:suppressLineNumbers w:val="0"/>
              <w:spacing w:before="83" w:beforeAutospacing="0" w:after="0" w:afterAutospacing="0" w:line="220" w:lineRule="auto"/>
              <w:ind w:left="185" w:right="0"/>
              <w:rPr>
                <w:rFonts w:hint="default"/>
                <w:color w:val="auto"/>
                <w:spacing w:val="0"/>
                <w:w w:val="100"/>
                <w:position w:val="0"/>
                <w:highlight w:val="none"/>
              </w:rPr>
            </w:pPr>
            <w:r>
              <w:rPr>
                <w:rFonts w:hint="default"/>
                <w:color w:val="auto"/>
                <w:spacing w:val="0"/>
                <w:w w:val="100"/>
                <w:position w:val="0"/>
                <w:highlight w:val="none"/>
              </w:rPr>
              <w:t>基本账户银行账号</w:t>
            </w:r>
          </w:p>
        </w:tc>
        <w:tc>
          <w:tcPr>
            <w:tcW w:w="2977" w:type="dxa"/>
            <w:gridSpan w:val="3"/>
            <w:vAlign w:val="top"/>
          </w:tcPr>
          <w:p w14:paraId="24B82EF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25" w:type="dxa"/>
            <w:vMerge w:val="continue"/>
            <w:tcBorders>
              <w:top w:val="nil"/>
            </w:tcBorders>
            <w:textDirection w:val="tbRlV"/>
            <w:vAlign w:val="top"/>
          </w:tcPr>
          <w:p w14:paraId="7E489EF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15" w:type="dxa"/>
            <w:gridSpan w:val="2"/>
            <w:vAlign w:val="top"/>
          </w:tcPr>
          <w:p w14:paraId="0904F9EC">
            <w:pPr>
              <w:pStyle w:val="19"/>
              <w:keepNext w:val="0"/>
              <w:keepLines w:val="0"/>
              <w:widowControl/>
              <w:suppressLineNumbers w:val="0"/>
              <w:spacing w:before="83" w:beforeAutospacing="0" w:after="0" w:afterAutospacing="0" w:line="221" w:lineRule="auto"/>
              <w:ind w:left="85" w:right="0"/>
              <w:rPr>
                <w:rFonts w:hint="default"/>
                <w:color w:val="auto"/>
                <w:spacing w:val="0"/>
                <w:w w:val="100"/>
                <w:position w:val="0"/>
                <w:highlight w:val="none"/>
              </w:rPr>
            </w:pPr>
            <w:r>
              <w:rPr>
                <w:rFonts w:hint="default"/>
                <w:color w:val="auto"/>
                <w:spacing w:val="0"/>
                <w:w w:val="100"/>
                <w:position w:val="0"/>
                <w:highlight w:val="none"/>
              </w:rPr>
              <w:t>各类注册人员</w:t>
            </w:r>
          </w:p>
        </w:tc>
        <w:tc>
          <w:tcPr>
            <w:tcW w:w="2188" w:type="dxa"/>
            <w:vAlign w:val="top"/>
          </w:tcPr>
          <w:p w14:paraId="6FCB20F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CB4E1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2039" w:type="dxa"/>
            <w:vAlign w:val="top"/>
          </w:tcPr>
          <w:p w14:paraId="600BCC2F">
            <w:pPr>
              <w:pStyle w:val="19"/>
              <w:keepNext w:val="0"/>
              <w:keepLines w:val="0"/>
              <w:widowControl/>
              <w:suppressLineNumbers w:val="0"/>
              <w:spacing w:before="86" w:beforeAutospacing="0" w:after="0" w:afterAutospacing="0" w:line="221" w:lineRule="auto"/>
              <w:ind w:left="607" w:right="0"/>
              <w:rPr>
                <w:rFonts w:hint="default"/>
                <w:color w:val="auto"/>
                <w:spacing w:val="0"/>
                <w:w w:val="100"/>
                <w:position w:val="0"/>
                <w:highlight w:val="none"/>
              </w:rPr>
            </w:pPr>
            <w:r>
              <w:rPr>
                <w:rFonts w:hint="default"/>
                <w:color w:val="auto"/>
                <w:spacing w:val="0"/>
                <w:w w:val="100"/>
                <w:position w:val="0"/>
                <w:highlight w:val="none"/>
              </w:rPr>
              <w:t>经营范围</w:t>
            </w:r>
          </w:p>
        </w:tc>
        <w:tc>
          <w:tcPr>
            <w:tcW w:w="7005" w:type="dxa"/>
            <w:gridSpan w:val="7"/>
            <w:vAlign w:val="top"/>
          </w:tcPr>
          <w:p w14:paraId="56A1C87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5B3F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6" w:hRule="atLeast"/>
        </w:trPr>
        <w:tc>
          <w:tcPr>
            <w:tcW w:w="2039" w:type="dxa"/>
            <w:vAlign w:val="top"/>
          </w:tcPr>
          <w:p w14:paraId="3E35B2FE">
            <w:pPr>
              <w:keepNext w:val="0"/>
              <w:keepLines w:val="0"/>
              <w:widowControl/>
              <w:suppressLineNumbers w:val="0"/>
              <w:spacing w:before="0" w:beforeAutospacing="0" w:after="0" w:afterAutospacing="0" w:line="241" w:lineRule="auto"/>
              <w:ind w:left="0" w:right="0"/>
              <w:rPr>
                <w:rFonts w:hint="default" w:ascii="Arial"/>
                <w:color w:val="auto"/>
                <w:spacing w:val="0"/>
                <w:w w:val="100"/>
                <w:position w:val="0"/>
                <w:sz w:val="21"/>
                <w:highlight w:val="none"/>
              </w:rPr>
            </w:pPr>
          </w:p>
          <w:p w14:paraId="51124C79">
            <w:pPr>
              <w:keepNext w:val="0"/>
              <w:keepLines w:val="0"/>
              <w:widowControl/>
              <w:suppressLineNumbers w:val="0"/>
              <w:spacing w:before="0" w:beforeAutospacing="0" w:after="0" w:afterAutospacing="0" w:line="241" w:lineRule="auto"/>
              <w:ind w:left="0" w:right="0"/>
              <w:rPr>
                <w:rFonts w:hint="default" w:ascii="Arial"/>
                <w:color w:val="auto"/>
                <w:spacing w:val="0"/>
                <w:w w:val="100"/>
                <w:position w:val="0"/>
                <w:sz w:val="21"/>
                <w:highlight w:val="none"/>
              </w:rPr>
            </w:pPr>
          </w:p>
          <w:p w14:paraId="4AD08019">
            <w:pPr>
              <w:keepNext w:val="0"/>
              <w:keepLines w:val="0"/>
              <w:widowControl/>
              <w:suppressLineNumbers w:val="0"/>
              <w:spacing w:before="0" w:beforeAutospacing="0" w:after="0" w:afterAutospacing="0" w:line="241" w:lineRule="auto"/>
              <w:ind w:left="0" w:right="0"/>
              <w:rPr>
                <w:rFonts w:hint="default" w:ascii="Arial"/>
                <w:color w:val="auto"/>
                <w:spacing w:val="0"/>
                <w:w w:val="100"/>
                <w:position w:val="0"/>
                <w:sz w:val="21"/>
                <w:highlight w:val="none"/>
              </w:rPr>
            </w:pPr>
          </w:p>
          <w:p w14:paraId="786ADB9B">
            <w:pPr>
              <w:keepNext w:val="0"/>
              <w:keepLines w:val="0"/>
              <w:widowControl/>
              <w:suppressLineNumbers w:val="0"/>
              <w:spacing w:before="0" w:beforeAutospacing="0" w:after="0" w:afterAutospacing="0" w:line="241" w:lineRule="auto"/>
              <w:ind w:left="0" w:right="0"/>
              <w:rPr>
                <w:rFonts w:hint="default" w:ascii="Arial"/>
                <w:color w:val="auto"/>
                <w:spacing w:val="0"/>
                <w:w w:val="100"/>
                <w:position w:val="0"/>
                <w:sz w:val="21"/>
                <w:highlight w:val="none"/>
              </w:rPr>
            </w:pPr>
          </w:p>
          <w:p w14:paraId="31751973">
            <w:pPr>
              <w:pStyle w:val="19"/>
              <w:keepNext w:val="0"/>
              <w:keepLines w:val="0"/>
              <w:widowControl/>
              <w:suppressLineNumbers w:val="0"/>
              <w:spacing w:before="69" w:beforeAutospacing="0" w:after="0" w:afterAutospacing="0" w:line="221" w:lineRule="auto"/>
              <w:ind w:left="82" w:right="0"/>
              <w:rPr>
                <w:rFonts w:hint="default"/>
                <w:color w:val="auto"/>
                <w:spacing w:val="0"/>
                <w:w w:val="100"/>
                <w:position w:val="0"/>
                <w:highlight w:val="none"/>
              </w:rPr>
            </w:pPr>
            <w:r>
              <w:rPr>
                <w:rFonts w:hint="default"/>
                <w:color w:val="auto"/>
                <w:spacing w:val="0"/>
                <w:w w:val="100"/>
                <w:position w:val="0"/>
                <w:highlight w:val="none"/>
              </w:rPr>
              <w:t>投标人关联企业情况</w:t>
            </w:r>
          </w:p>
        </w:tc>
        <w:tc>
          <w:tcPr>
            <w:tcW w:w="7005" w:type="dxa"/>
            <w:gridSpan w:val="7"/>
            <w:vAlign w:val="top"/>
          </w:tcPr>
          <w:p w14:paraId="2BD548F6">
            <w:pPr>
              <w:pStyle w:val="19"/>
              <w:keepNext w:val="0"/>
              <w:keepLines w:val="0"/>
              <w:widowControl/>
              <w:suppressLineNumbers w:val="0"/>
              <w:spacing w:before="85" w:beforeAutospacing="0" w:after="0" w:afterAutospacing="0" w:line="220" w:lineRule="auto"/>
              <w:ind w:left="57" w:right="0"/>
              <w:rPr>
                <w:rFonts w:hint="default"/>
                <w:color w:val="auto"/>
                <w:spacing w:val="0"/>
                <w:w w:val="100"/>
                <w:position w:val="0"/>
                <w:highlight w:val="none"/>
              </w:rPr>
            </w:pPr>
            <w:r>
              <w:rPr>
                <w:rFonts w:hint="default"/>
                <w:color w:val="auto"/>
                <w:spacing w:val="0"/>
                <w:w w:val="100"/>
                <w:position w:val="0"/>
                <w:highlight w:val="none"/>
              </w:rPr>
              <w:t>投标人应提供关联企业情况，包括：</w:t>
            </w:r>
          </w:p>
          <w:p w14:paraId="070DBB95">
            <w:pPr>
              <w:pStyle w:val="19"/>
              <w:keepNext w:val="0"/>
              <w:keepLines w:val="0"/>
              <w:widowControl/>
              <w:suppressLineNumbers w:val="0"/>
              <w:spacing w:before="21" w:beforeAutospacing="0" w:after="0" w:afterAutospacing="0" w:line="233" w:lineRule="auto"/>
              <w:ind w:left="57" w:right="47" w:firstLine="3"/>
              <w:rPr>
                <w:rFonts w:hint="default"/>
                <w:color w:val="auto"/>
                <w:spacing w:val="0"/>
                <w:w w:val="100"/>
                <w:position w:val="0"/>
                <w:highlight w:val="none"/>
              </w:rPr>
            </w:pPr>
            <w:r>
              <w:rPr>
                <w:rFonts w:hint="default"/>
                <w:color w:val="auto"/>
                <w:spacing w:val="0"/>
                <w:w w:val="100"/>
                <w:position w:val="0"/>
                <w:highlight w:val="none"/>
              </w:rPr>
              <w:t>（</w:t>
            </w:r>
            <w:r>
              <w:rPr>
                <w:rFonts w:hint="default" w:ascii="Times New Roman" w:hAnsi="Times New Roman" w:eastAsia="Times New Roman" w:cs="Times New Roman"/>
                <w:color w:val="auto"/>
                <w:spacing w:val="0"/>
                <w:w w:val="100"/>
                <w:position w:val="0"/>
                <w:highlight w:val="none"/>
              </w:rPr>
              <w:t>1</w:t>
            </w:r>
            <w:r>
              <w:rPr>
                <w:rFonts w:hint="default"/>
                <w:color w:val="auto"/>
                <w:spacing w:val="0"/>
                <w:w w:val="100"/>
                <w:position w:val="0"/>
                <w:highlight w:val="none"/>
              </w:rPr>
              <w:t>）投标人的所有股东名称及相应股权（出资额）比例；如投标人为上市公司，投标人应提供股权占公司股份总数</w:t>
            </w:r>
            <w:r>
              <w:rPr>
                <w:rFonts w:hint="eastAsia" w:ascii="Times New Roman" w:hAnsi="Times New Roman" w:eastAsia="宋体" w:cs="Times New Roman"/>
                <w:color w:val="auto"/>
                <w:spacing w:val="0"/>
                <w:w w:val="100"/>
                <w:position w:val="0"/>
                <w:highlight w:val="none"/>
                <w:lang w:val="en-US" w:eastAsia="zh-CN"/>
              </w:rPr>
              <w:t>33.3</w:t>
            </w:r>
            <w:r>
              <w:rPr>
                <w:rFonts w:hint="default" w:ascii="Times New Roman" w:hAnsi="Times New Roman" w:eastAsia="Times New Roman" w:cs="Times New Roman"/>
                <w:color w:val="auto"/>
                <w:spacing w:val="0"/>
                <w:w w:val="100"/>
                <w:position w:val="0"/>
                <w:highlight w:val="none"/>
              </w:rPr>
              <w:t>%</w:t>
            </w:r>
            <w:r>
              <w:rPr>
                <w:rFonts w:hint="default"/>
                <w:color w:val="auto"/>
                <w:spacing w:val="0"/>
                <w:w w:val="100"/>
                <w:position w:val="0"/>
                <w:highlight w:val="none"/>
              </w:rPr>
              <w:t>以上的所有股东名称及相应股权比例；</w:t>
            </w:r>
          </w:p>
          <w:p w14:paraId="47B5992D">
            <w:pPr>
              <w:pStyle w:val="19"/>
              <w:keepNext w:val="0"/>
              <w:keepLines w:val="0"/>
              <w:widowControl/>
              <w:suppressLineNumbers w:val="0"/>
              <w:spacing w:before="22" w:beforeAutospacing="0" w:after="0" w:afterAutospacing="0" w:line="230" w:lineRule="auto"/>
              <w:ind w:left="55" w:right="53" w:firstLine="6"/>
              <w:rPr>
                <w:rFonts w:hint="default"/>
                <w:color w:val="auto"/>
                <w:spacing w:val="0"/>
                <w:w w:val="100"/>
                <w:position w:val="0"/>
                <w:highlight w:val="none"/>
              </w:rPr>
            </w:pPr>
            <w:r>
              <w:rPr>
                <w:rFonts w:hint="default"/>
                <w:color w:val="auto"/>
                <w:spacing w:val="0"/>
                <w:w w:val="100"/>
                <w:position w:val="0"/>
                <w:highlight w:val="none"/>
              </w:rPr>
              <w:t>（</w:t>
            </w:r>
            <w:r>
              <w:rPr>
                <w:rFonts w:hint="default" w:ascii="Times New Roman" w:hAnsi="Times New Roman" w:eastAsia="Times New Roman" w:cs="Times New Roman"/>
                <w:color w:val="auto"/>
                <w:spacing w:val="0"/>
                <w:w w:val="100"/>
                <w:position w:val="0"/>
                <w:highlight w:val="none"/>
              </w:rPr>
              <w:t>2</w:t>
            </w:r>
            <w:r>
              <w:rPr>
                <w:rFonts w:hint="default"/>
                <w:color w:val="auto"/>
                <w:spacing w:val="0"/>
                <w:w w:val="100"/>
                <w:position w:val="0"/>
                <w:highlight w:val="none"/>
              </w:rPr>
              <w:t>）投标人投资（控股）或管理的下属企业名称、持有股权（出资额）比例；</w:t>
            </w:r>
          </w:p>
          <w:p w14:paraId="5459544D">
            <w:pPr>
              <w:pStyle w:val="19"/>
              <w:keepNext w:val="0"/>
              <w:keepLines w:val="0"/>
              <w:widowControl/>
              <w:suppressLineNumbers w:val="0"/>
              <w:spacing w:before="21" w:beforeAutospacing="0" w:after="0" w:afterAutospacing="0" w:line="231" w:lineRule="auto"/>
              <w:ind w:left="54" w:right="53" w:firstLine="7"/>
              <w:rPr>
                <w:rFonts w:hint="default"/>
                <w:color w:val="auto"/>
                <w:spacing w:val="0"/>
                <w:w w:val="100"/>
                <w:position w:val="0"/>
                <w:highlight w:val="none"/>
              </w:rPr>
            </w:pPr>
            <w:r>
              <w:rPr>
                <w:rFonts w:hint="default"/>
                <w:color w:val="auto"/>
                <w:spacing w:val="0"/>
                <w:w w:val="100"/>
                <w:position w:val="0"/>
                <w:highlight w:val="none"/>
              </w:rPr>
              <w:t>（</w:t>
            </w:r>
            <w:r>
              <w:rPr>
                <w:rFonts w:hint="default" w:ascii="Times New Roman" w:hAnsi="Times New Roman" w:eastAsia="Times New Roman" w:cs="Times New Roman"/>
                <w:color w:val="auto"/>
                <w:spacing w:val="0"/>
                <w:w w:val="100"/>
                <w:position w:val="0"/>
                <w:highlight w:val="none"/>
              </w:rPr>
              <w:t>3</w:t>
            </w:r>
            <w:r>
              <w:rPr>
                <w:rFonts w:hint="default"/>
                <w:color w:val="auto"/>
                <w:spacing w:val="0"/>
                <w:w w:val="100"/>
                <w:position w:val="0"/>
                <w:highlight w:val="none"/>
              </w:rPr>
              <w:t>）与投标人单位负责人（即法定代表人）为同一人的其他单位名称。</w:t>
            </w:r>
          </w:p>
        </w:tc>
      </w:tr>
      <w:tr w14:paraId="302AE4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2039" w:type="dxa"/>
            <w:vAlign w:val="top"/>
          </w:tcPr>
          <w:p w14:paraId="1C77D267">
            <w:pPr>
              <w:pStyle w:val="19"/>
              <w:keepNext w:val="0"/>
              <w:keepLines w:val="0"/>
              <w:widowControl/>
              <w:suppressLineNumbers w:val="0"/>
              <w:spacing w:before="85" w:beforeAutospacing="0" w:after="0" w:afterAutospacing="0" w:line="222" w:lineRule="auto"/>
              <w:ind w:left="816" w:right="0"/>
              <w:rPr>
                <w:rFonts w:hint="default"/>
                <w:color w:val="auto"/>
                <w:spacing w:val="0"/>
                <w:w w:val="100"/>
                <w:position w:val="0"/>
                <w:highlight w:val="none"/>
              </w:rPr>
            </w:pPr>
            <w:r>
              <w:rPr>
                <w:rFonts w:hint="default"/>
                <w:color w:val="auto"/>
                <w:spacing w:val="0"/>
                <w:w w:val="100"/>
                <w:position w:val="0"/>
                <w:highlight w:val="none"/>
              </w:rPr>
              <w:t>备注</w:t>
            </w:r>
          </w:p>
        </w:tc>
        <w:tc>
          <w:tcPr>
            <w:tcW w:w="7005" w:type="dxa"/>
            <w:gridSpan w:val="7"/>
            <w:vAlign w:val="top"/>
          </w:tcPr>
          <w:p w14:paraId="2F5224E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5F09415B">
      <w:pPr>
        <w:spacing w:before="53" w:line="350" w:lineRule="auto"/>
        <w:ind w:left="63" w:right="122" w:firstLine="419"/>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注：</w:t>
      </w: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 xml:space="preserve">投标人应根据招标文件第二章“投标人须知”第 </w:t>
      </w:r>
      <w:r>
        <w:rPr>
          <w:rFonts w:ascii="Times New Roman" w:hAnsi="Times New Roman" w:eastAsia="Times New Roman" w:cs="Times New Roman"/>
          <w:color w:val="auto"/>
          <w:spacing w:val="0"/>
          <w:w w:val="100"/>
          <w:position w:val="0"/>
          <w:sz w:val="21"/>
          <w:szCs w:val="21"/>
          <w:highlight w:val="none"/>
        </w:rPr>
        <w:t xml:space="preserve">3.5.1 </w:t>
      </w:r>
      <w:r>
        <w:rPr>
          <w:rFonts w:ascii="宋体" w:hAnsi="宋体" w:eastAsia="宋体" w:cs="宋体"/>
          <w:color w:val="auto"/>
          <w:spacing w:val="0"/>
          <w:w w:val="100"/>
          <w:position w:val="0"/>
          <w:sz w:val="21"/>
          <w:szCs w:val="21"/>
          <w:highlight w:val="none"/>
        </w:rPr>
        <w:t>项的要求在本表后附相关证明材料。</w:t>
      </w:r>
    </w:p>
    <w:p w14:paraId="12A5C94B">
      <w:pPr>
        <w:spacing w:before="19" w:line="235" w:lineRule="auto"/>
        <w:ind w:left="479"/>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以联合体形式参与投标的，联合体各成员应分别填写。</w:t>
      </w:r>
    </w:p>
    <w:p w14:paraId="491F5139">
      <w:pPr>
        <w:spacing w:line="235" w:lineRule="auto"/>
        <w:rPr>
          <w:rFonts w:ascii="宋体" w:hAnsi="宋体" w:eastAsia="宋体" w:cs="宋体"/>
          <w:color w:val="auto"/>
          <w:spacing w:val="0"/>
          <w:w w:val="100"/>
          <w:position w:val="0"/>
          <w:sz w:val="21"/>
          <w:szCs w:val="21"/>
          <w:highlight w:val="none"/>
        </w:rPr>
        <w:sectPr>
          <w:footerReference r:id="rId69" w:type="default"/>
          <w:pgSz w:w="11900" w:h="16843"/>
          <w:pgMar w:top="1378" w:right="1417" w:bottom="1208" w:left="1417" w:header="1366" w:footer="1003" w:gutter="0"/>
          <w:pgNumType w:fmt="decimal"/>
          <w:cols w:space="0" w:num="1"/>
          <w:rtlGutter w:val="0"/>
          <w:docGrid w:linePitch="0" w:charSpace="0"/>
        </w:sectPr>
      </w:pPr>
    </w:p>
    <w:p w14:paraId="04FB4665">
      <w:pPr>
        <w:pStyle w:val="6"/>
        <w:spacing w:before="97" w:line="220" w:lineRule="auto"/>
        <w:ind w:left="2132"/>
        <w:outlineLvl w:val="3"/>
        <w:rPr>
          <w:color w:val="auto"/>
          <w:spacing w:val="0"/>
          <w:w w:val="100"/>
          <w:position w:val="0"/>
          <w:sz w:val="30"/>
          <w:szCs w:val="30"/>
          <w:highlight w:val="none"/>
        </w:rPr>
      </w:pPr>
      <w:r>
        <w:rPr>
          <w:b/>
          <w:bCs/>
          <w:color w:val="auto"/>
          <w:spacing w:val="0"/>
          <w:w w:val="100"/>
          <w:position w:val="0"/>
          <w:sz w:val="30"/>
          <w:szCs w:val="30"/>
          <w:highlight w:val="none"/>
        </w:rPr>
        <w:t>（二）投标人企业组织机构框图</w:t>
      </w:r>
    </w:p>
    <w:p w14:paraId="24896452">
      <w:pPr>
        <w:spacing w:line="184" w:lineRule="exact"/>
        <w:rPr>
          <w:color w:val="auto"/>
          <w:spacing w:val="0"/>
          <w:w w:val="100"/>
          <w:position w:val="0"/>
          <w:highlight w:val="none"/>
        </w:rPr>
      </w:pPr>
    </w:p>
    <w:tbl>
      <w:tblPr>
        <w:tblStyle w:val="18"/>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4"/>
      </w:tblGrid>
      <w:tr w14:paraId="2A8F0A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2" w:hRule="atLeast"/>
        </w:trPr>
        <w:tc>
          <w:tcPr>
            <w:tcW w:w="9044" w:type="dxa"/>
            <w:vAlign w:val="top"/>
          </w:tcPr>
          <w:p w14:paraId="38365CEC">
            <w:pPr>
              <w:pStyle w:val="19"/>
              <w:keepNext w:val="0"/>
              <w:keepLines w:val="0"/>
              <w:widowControl/>
              <w:suppressLineNumbers w:val="0"/>
              <w:spacing w:before="90" w:beforeAutospacing="0" w:after="0" w:afterAutospacing="0" w:line="220" w:lineRule="auto"/>
              <w:ind w:left="86"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以框图方式表示</w:t>
            </w:r>
          </w:p>
        </w:tc>
      </w:tr>
      <w:tr w14:paraId="6C8A3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6" w:hRule="atLeast"/>
        </w:trPr>
        <w:tc>
          <w:tcPr>
            <w:tcW w:w="9044" w:type="dxa"/>
            <w:vAlign w:val="top"/>
          </w:tcPr>
          <w:p w14:paraId="081B543C">
            <w:pPr>
              <w:pStyle w:val="19"/>
              <w:keepNext w:val="0"/>
              <w:keepLines w:val="0"/>
              <w:widowControl/>
              <w:suppressLineNumbers w:val="0"/>
              <w:spacing w:before="89" w:beforeAutospacing="0" w:after="0" w:afterAutospacing="0" w:line="220" w:lineRule="auto"/>
              <w:ind w:left="62"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说明</w:t>
            </w:r>
          </w:p>
        </w:tc>
      </w:tr>
    </w:tbl>
    <w:p w14:paraId="67DBF980">
      <w:pPr>
        <w:rPr>
          <w:rFonts w:ascii="Arial"/>
          <w:color w:val="auto"/>
          <w:spacing w:val="0"/>
          <w:w w:val="100"/>
          <w:position w:val="0"/>
          <w:sz w:val="21"/>
          <w:highlight w:val="none"/>
        </w:rPr>
      </w:pPr>
    </w:p>
    <w:p w14:paraId="3C63A3C6">
      <w:pPr>
        <w:rPr>
          <w:rFonts w:ascii="Arial" w:hAnsi="Arial" w:eastAsia="Arial" w:cs="Arial"/>
          <w:color w:val="auto"/>
          <w:spacing w:val="0"/>
          <w:w w:val="100"/>
          <w:position w:val="0"/>
          <w:sz w:val="21"/>
          <w:szCs w:val="21"/>
          <w:highlight w:val="none"/>
        </w:rPr>
        <w:sectPr>
          <w:headerReference r:id="rId70" w:type="default"/>
          <w:footerReference r:id="rId71" w:type="default"/>
          <w:pgSz w:w="11900" w:h="16843"/>
          <w:pgMar w:top="1378" w:right="1417" w:bottom="1208" w:left="1417" w:header="1366" w:footer="1003" w:gutter="0"/>
          <w:pgNumType w:fmt="decimal"/>
          <w:cols w:space="0" w:num="1"/>
          <w:rtlGutter w:val="0"/>
          <w:docGrid w:linePitch="0" w:charSpace="0"/>
        </w:sectPr>
      </w:pPr>
    </w:p>
    <w:p w14:paraId="1FD9DB67">
      <w:pPr>
        <w:pStyle w:val="6"/>
        <w:spacing w:before="97" w:line="218" w:lineRule="auto"/>
        <w:ind w:left="1980"/>
        <w:outlineLvl w:val="3"/>
        <w:rPr>
          <w:color w:val="auto"/>
          <w:spacing w:val="0"/>
          <w:w w:val="100"/>
          <w:position w:val="0"/>
          <w:sz w:val="30"/>
          <w:szCs w:val="30"/>
          <w:highlight w:val="none"/>
        </w:rPr>
      </w:pPr>
      <w:r>
        <w:rPr>
          <w:b/>
          <w:bCs/>
          <w:color w:val="auto"/>
          <w:spacing w:val="0"/>
          <w:w w:val="100"/>
          <w:position w:val="0"/>
          <w:sz w:val="30"/>
          <w:szCs w:val="30"/>
          <w:highlight w:val="none"/>
        </w:rPr>
        <w:t>（三）近年完成的类似项目情况表</w:t>
      </w:r>
    </w:p>
    <w:p w14:paraId="323311E6">
      <w:pPr>
        <w:spacing w:line="184" w:lineRule="exact"/>
        <w:rPr>
          <w:color w:val="auto"/>
          <w:spacing w:val="0"/>
          <w:w w:val="100"/>
          <w:position w:val="0"/>
          <w:highlight w:val="none"/>
        </w:rPr>
      </w:pPr>
    </w:p>
    <w:tbl>
      <w:tblPr>
        <w:tblStyle w:val="18"/>
        <w:tblW w:w="903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5"/>
        <w:gridCol w:w="6656"/>
      </w:tblGrid>
      <w:tr w14:paraId="431CC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375" w:type="dxa"/>
            <w:vAlign w:val="top"/>
          </w:tcPr>
          <w:p w14:paraId="71CEC990">
            <w:pPr>
              <w:pStyle w:val="19"/>
              <w:keepNext w:val="0"/>
              <w:keepLines w:val="0"/>
              <w:widowControl/>
              <w:suppressLineNumbers w:val="0"/>
              <w:spacing w:before="191" w:beforeAutospacing="0" w:after="0" w:afterAutospacing="0" w:line="221" w:lineRule="auto"/>
              <w:ind w:left="711"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序    号</w:t>
            </w:r>
          </w:p>
        </w:tc>
        <w:tc>
          <w:tcPr>
            <w:tcW w:w="6656" w:type="dxa"/>
            <w:vAlign w:val="top"/>
          </w:tcPr>
          <w:p w14:paraId="659DD05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9453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5" w:type="dxa"/>
            <w:vAlign w:val="top"/>
          </w:tcPr>
          <w:p w14:paraId="627139C2">
            <w:pPr>
              <w:pStyle w:val="19"/>
              <w:keepNext w:val="0"/>
              <w:keepLines w:val="0"/>
              <w:widowControl/>
              <w:suppressLineNumbers w:val="0"/>
              <w:spacing w:before="187" w:beforeAutospacing="0" w:after="0" w:afterAutospacing="0" w:line="220" w:lineRule="auto"/>
              <w:ind w:left="716"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项目名称</w:t>
            </w:r>
          </w:p>
        </w:tc>
        <w:tc>
          <w:tcPr>
            <w:tcW w:w="6656" w:type="dxa"/>
            <w:vAlign w:val="top"/>
          </w:tcPr>
          <w:p w14:paraId="021C3B2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3505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vAlign w:val="top"/>
          </w:tcPr>
          <w:p w14:paraId="72B83802">
            <w:pPr>
              <w:pStyle w:val="19"/>
              <w:keepNext w:val="0"/>
              <w:keepLines w:val="0"/>
              <w:widowControl/>
              <w:suppressLineNumbers w:val="0"/>
              <w:spacing w:before="188" w:beforeAutospacing="0" w:after="0" w:afterAutospacing="0" w:line="220" w:lineRule="auto"/>
              <w:ind w:left="596"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项目所在地</w:t>
            </w:r>
          </w:p>
        </w:tc>
        <w:tc>
          <w:tcPr>
            <w:tcW w:w="6656" w:type="dxa"/>
            <w:vAlign w:val="top"/>
          </w:tcPr>
          <w:p w14:paraId="540F325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C8F88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5" w:type="dxa"/>
            <w:vAlign w:val="top"/>
          </w:tcPr>
          <w:p w14:paraId="0A89FD4A">
            <w:pPr>
              <w:pStyle w:val="19"/>
              <w:keepNext w:val="0"/>
              <w:keepLines w:val="0"/>
              <w:widowControl/>
              <w:suppressLineNumbers w:val="0"/>
              <w:spacing w:before="186" w:beforeAutospacing="0" w:after="0" w:afterAutospacing="0" w:line="220" w:lineRule="auto"/>
              <w:ind w:left="596"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发包人名称</w:t>
            </w:r>
          </w:p>
        </w:tc>
        <w:tc>
          <w:tcPr>
            <w:tcW w:w="6656" w:type="dxa"/>
            <w:vAlign w:val="top"/>
          </w:tcPr>
          <w:p w14:paraId="312F0E2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E6EAD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5" w:type="dxa"/>
            <w:vAlign w:val="top"/>
          </w:tcPr>
          <w:p w14:paraId="0C2258F3">
            <w:pPr>
              <w:pStyle w:val="19"/>
              <w:keepNext w:val="0"/>
              <w:keepLines w:val="0"/>
              <w:widowControl/>
              <w:suppressLineNumbers w:val="0"/>
              <w:spacing w:before="186" w:beforeAutospacing="0" w:after="0" w:afterAutospacing="0" w:line="220" w:lineRule="auto"/>
              <w:ind w:left="596"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发包人地址</w:t>
            </w:r>
          </w:p>
        </w:tc>
        <w:tc>
          <w:tcPr>
            <w:tcW w:w="6656" w:type="dxa"/>
            <w:vAlign w:val="top"/>
          </w:tcPr>
          <w:p w14:paraId="10F1AA3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23965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5" w:type="dxa"/>
            <w:vAlign w:val="top"/>
          </w:tcPr>
          <w:p w14:paraId="27652097">
            <w:pPr>
              <w:pStyle w:val="19"/>
              <w:keepNext w:val="0"/>
              <w:keepLines w:val="0"/>
              <w:widowControl/>
              <w:suppressLineNumbers w:val="0"/>
              <w:spacing w:before="189" w:beforeAutospacing="0" w:after="0" w:afterAutospacing="0" w:line="220" w:lineRule="auto"/>
              <w:ind w:left="596"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发包人电话</w:t>
            </w:r>
          </w:p>
        </w:tc>
        <w:tc>
          <w:tcPr>
            <w:tcW w:w="6656" w:type="dxa"/>
            <w:vAlign w:val="top"/>
          </w:tcPr>
          <w:p w14:paraId="3C8ADB9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5624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5" w:type="dxa"/>
            <w:vAlign w:val="top"/>
          </w:tcPr>
          <w:p w14:paraId="3012BC9A">
            <w:pPr>
              <w:pStyle w:val="19"/>
              <w:keepNext w:val="0"/>
              <w:keepLines w:val="0"/>
              <w:widowControl/>
              <w:suppressLineNumbers w:val="0"/>
              <w:spacing w:before="189" w:beforeAutospacing="0" w:after="0" w:afterAutospacing="0" w:line="220" w:lineRule="auto"/>
              <w:ind w:left="716"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项目等级</w:t>
            </w:r>
          </w:p>
        </w:tc>
        <w:tc>
          <w:tcPr>
            <w:tcW w:w="6656" w:type="dxa"/>
            <w:vAlign w:val="top"/>
          </w:tcPr>
          <w:p w14:paraId="12FF8AA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362F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5" w:type="dxa"/>
            <w:vAlign w:val="top"/>
          </w:tcPr>
          <w:p w14:paraId="5050E3F7">
            <w:pPr>
              <w:pStyle w:val="19"/>
              <w:keepNext w:val="0"/>
              <w:keepLines w:val="0"/>
              <w:widowControl/>
              <w:suppressLineNumbers w:val="0"/>
              <w:spacing w:before="190" w:beforeAutospacing="0" w:after="0" w:afterAutospacing="0" w:line="220" w:lineRule="auto"/>
              <w:ind w:left="596"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项目总投资</w:t>
            </w:r>
          </w:p>
        </w:tc>
        <w:tc>
          <w:tcPr>
            <w:tcW w:w="6656" w:type="dxa"/>
            <w:vAlign w:val="top"/>
          </w:tcPr>
          <w:p w14:paraId="4E66968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31A8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375" w:type="dxa"/>
            <w:vAlign w:val="top"/>
          </w:tcPr>
          <w:p w14:paraId="62FBD403">
            <w:pPr>
              <w:pStyle w:val="19"/>
              <w:keepNext w:val="0"/>
              <w:keepLines w:val="0"/>
              <w:widowControl/>
              <w:suppressLineNumbers w:val="0"/>
              <w:spacing w:before="190" w:beforeAutospacing="0" w:after="0" w:afterAutospacing="0" w:line="218" w:lineRule="auto"/>
              <w:ind w:left="713"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合同价格</w:t>
            </w:r>
          </w:p>
        </w:tc>
        <w:tc>
          <w:tcPr>
            <w:tcW w:w="6656" w:type="dxa"/>
            <w:vAlign w:val="top"/>
          </w:tcPr>
          <w:p w14:paraId="2272D86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4DF2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5" w:type="dxa"/>
            <w:vAlign w:val="top"/>
          </w:tcPr>
          <w:p w14:paraId="48911B9F">
            <w:pPr>
              <w:pStyle w:val="19"/>
              <w:keepNext w:val="0"/>
              <w:keepLines w:val="0"/>
              <w:widowControl/>
              <w:suppressLineNumbers w:val="0"/>
              <w:spacing w:before="188" w:beforeAutospacing="0" w:after="0" w:afterAutospacing="0" w:line="220" w:lineRule="auto"/>
              <w:ind w:left="112"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承担的勘察设计工作</w:t>
            </w:r>
          </w:p>
        </w:tc>
        <w:tc>
          <w:tcPr>
            <w:tcW w:w="6656" w:type="dxa"/>
            <w:vAlign w:val="top"/>
          </w:tcPr>
          <w:p w14:paraId="0080244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2617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5" w:type="dxa"/>
            <w:vAlign w:val="top"/>
          </w:tcPr>
          <w:p w14:paraId="215F465E">
            <w:pPr>
              <w:pStyle w:val="19"/>
              <w:keepNext w:val="0"/>
              <w:keepLines w:val="0"/>
              <w:widowControl/>
              <w:suppressLineNumbers w:val="0"/>
              <w:spacing w:before="188" w:beforeAutospacing="0" w:after="0" w:afterAutospacing="0" w:line="220" w:lineRule="auto"/>
              <w:ind w:left="231"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勘察设计服务期限</w:t>
            </w:r>
          </w:p>
        </w:tc>
        <w:tc>
          <w:tcPr>
            <w:tcW w:w="6656" w:type="dxa"/>
            <w:vAlign w:val="top"/>
          </w:tcPr>
          <w:p w14:paraId="690B9FB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C5C7B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2375" w:type="dxa"/>
            <w:vAlign w:val="top"/>
          </w:tcPr>
          <w:p w14:paraId="5A650F5A">
            <w:pPr>
              <w:pStyle w:val="19"/>
              <w:keepNext w:val="0"/>
              <w:keepLines w:val="0"/>
              <w:widowControl/>
              <w:suppressLineNumbers w:val="0"/>
              <w:spacing w:before="191" w:beforeAutospacing="0" w:after="0" w:afterAutospacing="0" w:line="220" w:lineRule="auto"/>
              <w:ind w:left="596"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项目负责人</w:t>
            </w:r>
          </w:p>
        </w:tc>
        <w:tc>
          <w:tcPr>
            <w:tcW w:w="6656" w:type="dxa"/>
            <w:vAlign w:val="top"/>
          </w:tcPr>
          <w:p w14:paraId="36FCF87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51719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5" w:type="dxa"/>
            <w:vAlign w:val="top"/>
          </w:tcPr>
          <w:p w14:paraId="1153BB17">
            <w:pPr>
              <w:pStyle w:val="19"/>
              <w:keepNext w:val="0"/>
              <w:keepLines w:val="0"/>
              <w:widowControl/>
              <w:suppressLineNumbers w:val="0"/>
              <w:spacing w:before="192" w:beforeAutospacing="0" w:after="0" w:afterAutospacing="0" w:line="220" w:lineRule="auto"/>
              <w:ind w:left="476"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项目完成情况</w:t>
            </w:r>
          </w:p>
        </w:tc>
        <w:tc>
          <w:tcPr>
            <w:tcW w:w="6656" w:type="dxa"/>
            <w:vAlign w:val="top"/>
          </w:tcPr>
          <w:p w14:paraId="7D6967B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F1F7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2375" w:type="dxa"/>
            <w:vAlign w:val="top"/>
          </w:tcPr>
          <w:p w14:paraId="18508457">
            <w:pPr>
              <w:pStyle w:val="19"/>
              <w:keepNext w:val="0"/>
              <w:keepLines w:val="0"/>
              <w:widowControl/>
              <w:suppressLineNumbers w:val="0"/>
              <w:spacing w:before="192" w:beforeAutospacing="0" w:after="0" w:afterAutospacing="0" w:line="220" w:lineRule="auto"/>
              <w:ind w:left="716"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项目描述</w:t>
            </w:r>
          </w:p>
        </w:tc>
        <w:tc>
          <w:tcPr>
            <w:tcW w:w="6656" w:type="dxa"/>
            <w:vAlign w:val="top"/>
          </w:tcPr>
          <w:p w14:paraId="2E76F37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D1003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2375" w:type="dxa"/>
            <w:vAlign w:val="top"/>
          </w:tcPr>
          <w:p w14:paraId="3A6AD87A">
            <w:pPr>
              <w:pStyle w:val="19"/>
              <w:keepNext w:val="0"/>
              <w:keepLines w:val="0"/>
              <w:widowControl/>
              <w:suppressLineNumbers w:val="0"/>
              <w:spacing w:before="192" w:beforeAutospacing="0" w:after="0" w:afterAutospacing="0" w:line="221" w:lineRule="auto"/>
              <w:ind w:left="955"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备注</w:t>
            </w:r>
          </w:p>
        </w:tc>
        <w:tc>
          <w:tcPr>
            <w:tcW w:w="6656" w:type="dxa"/>
            <w:vAlign w:val="top"/>
          </w:tcPr>
          <w:p w14:paraId="0013A2B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27C43915">
      <w:pPr>
        <w:spacing w:before="106" w:line="225" w:lineRule="auto"/>
        <w:ind w:left="483"/>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注：</w:t>
      </w:r>
    </w:p>
    <w:p w14:paraId="7F9E0BBE">
      <w:pPr>
        <w:spacing w:before="104" w:line="234" w:lineRule="auto"/>
        <w:ind w:left="499"/>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每张表格只填写一个项目，并标明序号。</w:t>
      </w:r>
    </w:p>
    <w:p w14:paraId="4BCD50B1">
      <w:pPr>
        <w:spacing w:before="92" w:line="269" w:lineRule="auto"/>
        <w:ind w:left="84" w:right="57" w:firstLine="395"/>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项目完成情况：根据先后顺序分为“初步设计已批复”、“施工图设计已审批”等不同阶段，投标人应根据项目实际完成情况进行填报。</w:t>
      </w:r>
    </w:p>
    <w:p w14:paraId="7889A9A6">
      <w:pPr>
        <w:spacing w:before="109" w:line="268" w:lineRule="auto"/>
        <w:ind w:left="63" w:right="124" w:firstLine="420"/>
        <w:rPr>
          <w:rFonts w:ascii="宋体" w:hAnsi="宋体" w:eastAsia="宋体" w:cs="宋体"/>
          <w:b/>
          <w:bCs/>
          <w:color w:val="auto"/>
          <w:spacing w:val="0"/>
          <w:w w:val="100"/>
          <w:position w:val="0"/>
          <w:sz w:val="21"/>
          <w:szCs w:val="21"/>
          <w:highlight w:val="none"/>
        </w:rPr>
      </w:pPr>
      <w:r>
        <w:rPr>
          <w:rFonts w:ascii="Times New Roman" w:hAnsi="Times New Roman" w:eastAsia="Times New Roman" w:cs="Times New Roman"/>
          <w:b/>
          <w:bCs/>
          <w:color w:val="auto"/>
          <w:spacing w:val="0"/>
          <w:w w:val="100"/>
          <w:position w:val="0"/>
          <w:sz w:val="21"/>
          <w:szCs w:val="21"/>
          <w:highlight w:val="none"/>
        </w:rPr>
        <w:t>3.</w:t>
      </w:r>
      <w:r>
        <w:rPr>
          <w:rFonts w:ascii="宋体" w:hAnsi="宋体" w:eastAsia="宋体" w:cs="宋体"/>
          <w:b/>
          <w:bCs/>
          <w:color w:val="auto"/>
          <w:spacing w:val="0"/>
          <w:w w:val="100"/>
          <w:position w:val="0"/>
          <w:sz w:val="21"/>
          <w:szCs w:val="21"/>
          <w:highlight w:val="none"/>
        </w:rPr>
        <w:t>投标人应根据招标文件第二章“投标人须知”</w:t>
      </w:r>
      <w:r>
        <w:rPr>
          <w:rFonts w:hint="eastAsia" w:ascii="宋体" w:hAnsi="宋体" w:eastAsia="宋体" w:cs="宋体"/>
          <w:b/>
          <w:bCs/>
          <w:color w:val="auto"/>
          <w:spacing w:val="0"/>
          <w:w w:val="100"/>
          <w:position w:val="0"/>
          <w:sz w:val="21"/>
          <w:szCs w:val="21"/>
          <w:highlight w:val="none"/>
          <w:lang w:val="en-US" w:eastAsia="zh-CN"/>
        </w:rPr>
        <w:t>附录表备注</w:t>
      </w:r>
      <w:r>
        <w:rPr>
          <w:rFonts w:ascii="宋体" w:hAnsi="宋体" w:eastAsia="宋体" w:cs="宋体"/>
          <w:b/>
          <w:bCs/>
          <w:color w:val="auto"/>
          <w:spacing w:val="0"/>
          <w:w w:val="100"/>
          <w:position w:val="0"/>
          <w:sz w:val="21"/>
          <w:szCs w:val="21"/>
          <w:highlight w:val="none"/>
        </w:rPr>
        <w:t>的要求在本表后附相关证明材料。</w:t>
      </w:r>
    </w:p>
    <w:p w14:paraId="7DAADFA3">
      <w:pPr>
        <w:spacing w:before="111" w:line="268" w:lineRule="auto"/>
        <w:ind w:left="80" w:right="58" w:firstLine="397"/>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4.</w:t>
      </w:r>
      <w:r>
        <w:rPr>
          <w:rFonts w:ascii="宋体" w:hAnsi="宋体" w:eastAsia="宋体" w:cs="宋体"/>
          <w:color w:val="auto"/>
          <w:spacing w:val="0"/>
          <w:w w:val="100"/>
          <w:position w:val="0"/>
          <w:sz w:val="21"/>
          <w:szCs w:val="21"/>
          <w:highlight w:val="none"/>
        </w:rPr>
        <w:t>如近年来，投标人法人机构发生合法变更或重组或法人名称变更时，应提供相关部门的合法批件或其他相关证明材料来证明其所附业绩的继承性。</w:t>
      </w:r>
    </w:p>
    <w:p w14:paraId="67A7F75F">
      <w:pPr>
        <w:spacing w:before="110" w:line="235" w:lineRule="auto"/>
        <w:ind w:left="485"/>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5.</w:t>
      </w:r>
      <w:r>
        <w:rPr>
          <w:rFonts w:ascii="宋体" w:hAnsi="宋体" w:eastAsia="宋体" w:cs="宋体"/>
          <w:color w:val="auto"/>
          <w:spacing w:val="0"/>
          <w:w w:val="100"/>
          <w:position w:val="0"/>
          <w:sz w:val="21"/>
          <w:szCs w:val="21"/>
          <w:highlight w:val="none"/>
        </w:rPr>
        <w:t>以联合体形式参与投标的，联合体各成员应分别填写。</w:t>
      </w:r>
    </w:p>
    <w:p w14:paraId="23CDBEC0">
      <w:pPr>
        <w:spacing w:line="235" w:lineRule="auto"/>
        <w:rPr>
          <w:rFonts w:ascii="宋体" w:hAnsi="宋体" w:eastAsia="宋体" w:cs="宋体"/>
          <w:color w:val="auto"/>
          <w:spacing w:val="0"/>
          <w:w w:val="100"/>
          <w:position w:val="0"/>
          <w:sz w:val="21"/>
          <w:szCs w:val="21"/>
          <w:highlight w:val="none"/>
        </w:rPr>
        <w:sectPr>
          <w:headerReference r:id="rId72" w:type="default"/>
          <w:footerReference r:id="rId73" w:type="default"/>
          <w:pgSz w:w="11900" w:h="16843"/>
          <w:pgMar w:top="1378" w:right="1417" w:bottom="1208" w:left="1417" w:header="1366" w:footer="1003" w:gutter="0"/>
          <w:pgNumType w:fmt="decimal"/>
          <w:cols w:space="0" w:num="1"/>
          <w:rtlGutter w:val="0"/>
          <w:docGrid w:linePitch="0" w:charSpace="0"/>
        </w:sectPr>
      </w:pPr>
    </w:p>
    <w:p w14:paraId="4721CAD5">
      <w:pPr>
        <w:pStyle w:val="6"/>
        <w:spacing w:before="98" w:line="220" w:lineRule="auto"/>
        <w:ind w:left="2432"/>
        <w:outlineLvl w:val="3"/>
        <w:rPr>
          <w:color w:val="auto"/>
          <w:spacing w:val="0"/>
          <w:w w:val="100"/>
          <w:position w:val="0"/>
          <w:sz w:val="30"/>
          <w:szCs w:val="30"/>
          <w:highlight w:val="none"/>
        </w:rPr>
      </w:pPr>
      <w:r>
        <w:rPr>
          <w:b/>
          <w:bCs/>
          <w:color w:val="auto"/>
          <w:spacing w:val="0"/>
          <w:w w:val="100"/>
          <w:position w:val="0"/>
          <w:sz w:val="30"/>
          <w:szCs w:val="30"/>
          <w:highlight w:val="none"/>
        </w:rPr>
        <w:t>（四）投标人的信誉情况表</w:t>
      </w:r>
    </w:p>
    <w:p w14:paraId="4550F1F4">
      <w:pPr>
        <w:spacing w:line="181" w:lineRule="exact"/>
        <w:rPr>
          <w:color w:val="auto"/>
          <w:spacing w:val="0"/>
          <w:w w:val="100"/>
          <w:position w:val="0"/>
          <w:highlight w:val="none"/>
        </w:rPr>
      </w:pPr>
    </w:p>
    <w:tbl>
      <w:tblPr>
        <w:tblStyle w:val="18"/>
        <w:tblW w:w="89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73"/>
        <w:gridCol w:w="2417"/>
      </w:tblGrid>
      <w:tr w14:paraId="3CEFE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6573" w:type="dxa"/>
            <w:vAlign w:val="top"/>
          </w:tcPr>
          <w:p w14:paraId="63E06F82">
            <w:pPr>
              <w:pStyle w:val="19"/>
              <w:keepNext w:val="0"/>
              <w:keepLines w:val="0"/>
              <w:widowControl/>
              <w:suppressLineNumbers w:val="0"/>
              <w:spacing w:before="91" w:beforeAutospacing="0" w:after="0" w:afterAutospacing="0" w:line="220" w:lineRule="auto"/>
              <w:ind w:left="3059"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项目</w:t>
            </w:r>
          </w:p>
        </w:tc>
        <w:tc>
          <w:tcPr>
            <w:tcW w:w="2417" w:type="dxa"/>
            <w:vAlign w:val="top"/>
          </w:tcPr>
          <w:p w14:paraId="74436CDB">
            <w:pPr>
              <w:pStyle w:val="19"/>
              <w:keepNext w:val="0"/>
              <w:keepLines w:val="0"/>
              <w:widowControl/>
              <w:suppressLineNumbers w:val="0"/>
              <w:spacing w:before="90" w:beforeAutospacing="0" w:after="0" w:afterAutospacing="0" w:line="220" w:lineRule="auto"/>
              <w:ind w:left="150" w:right="0"/>
              <w:rPr>
                <w:rFonts w:hint="default"/>
                <w:color w:val="auto"/>
                <w:spacing w:val="0"/>
                <w:w w:val="100"/>
                <w:position w:val="0"/>
                <w:sz w:val="24"/>
                <w:szCs w:val="24"/>
                <w:highlight w:val="none"/>
              </w:rPr>
            </w:pPr>
            <w:r>
              <w:rPr>
                <w:rFonts w:hint="default"/>
                <w:color w:val="auto"/>
                <w:spacing w:val="0"/>
                <w:w w:val="100"/>
                <w:position w:val="0"/>
                <w:sz w:val="24"/>
                <w:szCs w:val="24"/>
                <w:highlight w:val="none"/>
              </w:rPr>
              <w:t>投标人情况说明</w:t>
            </w:r>
          </w:p>
        </w:tc>
      </w:tr>
      <w:tr w14:paraId="43BAC6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8" w:hRule="atLeast"/>
        </w:trPr>
        <w:tc>
          <w:tcPr>
            <w:tcW w:w="6573" w:type="dxa"/>
            <w:vAlign w:val="top"/>
          </w:tcPr>
          <w:p w14:paraId="4795D9F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34" w:right="0" w:hanging="6"/>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（1）被交通运输部或安徽省交通运输厅取消在安徽省的投标资格或禁止进入安徽省公路建设市场且处于有效期内的。</w:t>
            </w:r>
          </w:p>
        </w:tc>
        <w:tc>
          <w:tcPr>
            <w:tcW w:w="2417" w:type="dxa"/>
            <w:vAlign w:val="top"/>
          </w:tcPr>
          <w:p w14:paraId="3EA258A8">
            <w:pPr>
              <w:pStyle w:val="19"/>
              <w:keepNext w:val="0"/>
              <w:keepLines w:val="0"/>
              <w:widowControl/>
              <w:suppressLineNumbers w:val="0"/>
              <w:spacing w:before="239" w:beforeAutospacing="0" w:after="0" w:afterAutospacing="0" w:line="191" w:lineRule="auto"/>
              <w:ind w:left="364" w:right="0"/>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lang w:eastAsia="zh-CN"/>
              </w:rPr>
              <w:t>□</w:t>
            </w:r>
            <w:r>
              <w:rPr>
                <w:rFonts w:hint="eastAsia" w:ascii="宋体" w:hAnsi="宋体" w:eastAsia="宋体" w:cs="宋体"/>
                <w:color w:val="auto"/>
                <w:spacing w:val="0"/>
                <w:w w:val="100"/>
                <w:position w:val="0"/>
                <w:sz w:val="24"/>
                <w:szCs w:val="24"/>
                <w:highlight w:val="none"/>
              </w:rPr>
              <w:t xml:space="preserve">有   </w:t>
            </w:r>
            <w:r>
              <w:rPr>
                <w:rFonts w:hint="eastAsia" w:ascii="宋体" w:hAnsi="宋体" w:eastAsia="宋体" w:cs="宋体"/>
                <w:color w:val="auto"/>
                <w:spacing w:val="0"/>
                <w:w w:val="100"/>
                <w:position w:val="0"/>
                <w:sz w:val="24"/>
                <w:szCs w:val="24"/>
                <w:highlight w:val="none"/>
                <w:lang w:eastAsia="zh-CN"/>
              </w:rPr>
              <w:t>□</w:t>
            </w:r>
            <w:r>
              <w:rPr>
                <w:rFonts w:hint="eastAsia" w:ascii="宋体" w:hAnsi="宋体" w:eastAsia="宋体" w:cs="宋体"/>
                <w:color w:val="auto"/>
                <w:spacing w:val="0"/>
                <w:w w:val="100"/>
                <w:position w:val="0"/>
                <w:sz w:val="24"/>
                <w:szCs w:val="24"/>
                <w:highlight w:val="none"/>
              </w:rPr>
              <w:t>无</w:t>
            </w:r>
          </w:p>
        </w:tc>
      </w:tr>
      <w:tr w14:paraId="6FB427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6573" w:type="dxa"/>
            <w:vAlign w:val="top"/>
          </w:tcPr>
          <w:p w14:paraId="1C7217E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34" w:right="0" w:hanging="6"/>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（2）被责令停业，暂扣或吊销执照，或吊销资质证书。</w:t>
            </w:r>
          </w:p>
        </w:tc>
        <w:tc>
          <w:tcPr>
            <w:tcW w:w="2417" w:type="dxa"/>
            <w:vAlign w:val="top"/>
          </w:tcPr>
          <w:p w14:paraId="2AADDC9E">
            <w:pPr>
              <w:pStyle w:val="19"/>
              <w:keepNext w:val="0"/>
              <w:keepLines w:val="0"/>
              <w:widowControl/>
              <w:suppressLineNumbers w:val="0"/>
              <w:spacing w:before="87" w:beforeAutospacing="0" w:after="0" w:afterAutospacing="0" w:line="186" w:lineRule="auto"/>
              <w:ind w:left="364" w:right="0"/>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□有   □无</w:t>
            </w:r>
          </w:p>
        </w:tc>
      </w:tr>
      <w:tr w14:paraId="5652F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6573" w:type="dxa"/>
            <w:vAlign w:val="top"/>
          </w:tcPr>
          <w:p w14:paraId="1D48A15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34" w:right="0" w:hanging="6"/>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（3）进入清算程序，或被宣告破产，或其他丧失履约能力的情形。</w:t>
            </w:r>
          </w:p>
        </w:tc>
        <w:tc>
          <w:tcPr>
            <w:tcW w:w="2417" w:type="dxa"/>
            <w:vAlign w:val="top"/>
          </w:tcPr>
          <w:p w14:paraId="20E05774">
            <w:pPr>
              <w:pStyle w:val="19"/>
              <w:keepNext w:val="0"/>
              <w:keepLines w:val="0"/>
              <w:widowControl/>
              <w:suppressLineNumbers w:val="0"/>
              <w:spacing w:before="244" w:beforeAutospacing="0" w:after="0" w:afterAutospacing="0" w:line="191" w:lineRule="auto"/>
              <w:ind w:left="364" w:right="0"/>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□有   □无</w:t>
            </w:r>
          </w:p>
        </w:tc>
      </w:tr>
      <w:tr w14:paraId="43506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6573" w:type="dxa"/>
            <w:vAlign w:val="top"/>
          </w:tcPr>
          <w:p w14:paraId="78EA284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34" w:right="0" w:hanging="6"/>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（4）在国家企业信用信息公示系统中被列入严重违法失信企业名单。</w:t>
            </w:r>
          </w:p>
        </w:tc>
        <w:tc>
          <w:tcPr>
            <w:tcW w:w="2417" w:type="dxa"/>
            <w:vAlign w:val="top"/>
          </w:tcPr>
          <w:p w14:paraId="188F9BD5">
            <w:pPr>
              <w:pStyle w:val="19"/>
              <w:keepNext w:val="0"/>
              <w:keepLines w:val="0"/>
              <w:widowControl/>
              <w:suppressLineNumbers w:val="0"/>
              <w:spacing w:before="245" w:beforeAutospacing="0" w:after="0" w:afterAutospacing="0" w:line="191" w:lineRule="auto"/>
              <w:ind w:left="364" w:right="0"/>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□有   □无</w:t>
            </w:r>
          </w:p>
        </w:tc>
      </w:tr>
      <w:tr w14:paraId="0DB51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6573" w:type="dxa"/>
            <w:vAlign w:val="top"/>
          </w:tcPr>
          <w:p w14:paraId="3A98839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34" w:right="0" w:hanging="6"/>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（5）在“中国执行信息公开网”网站中被列入失信被执行人名单。</w:t>
            </w:r>
          </w:p>
        </w:tc>
        <w:tc>
          <w:tcPr>
            <w:tcW w:w="2417" w:type="dxa"/>
            <w:vAlign w:val="top"/>
          </w:tcPr>
          <w:p w14:paraId="677A4B58">
            <w:pPr>
              <w:pStyle w:val="19"/>
              <w:keepNext w:val="0"/>
              <w:keepLines w:val="0"/>
              <w:widowControl/>
              <w:suppressLineNumbers w:val="0"/>
              <w:spacing w:before="245" w:beforeAutospacing="0" w:after="0" w:afterAutospacing="0" w:line="191" w:lineRule="auto"/>
              <w:ind w:left="364" w:right="0"/>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□有   □无</w:t>
            </w:r>
          </w:p>
        </w:tc>
      </w:tr>
      <w:tr w14:paraId="08C16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6573" w:type="dxa"/>
            <w:vAlign w:val="top"/>
          </w:tcPr>
          <w:p w14:paraId="2F9EB97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34" w:right="0" w:hanging="6"/>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（6）投标人、投标人法定代表人、拟委任的项目负责人近三年内有行贿犯罪行为。</w:t>
            </w:r>
          </w:p>
        </w:tc>
        <w:tc>
          <w:tcPr>
            <w:tcW w:w="2417" w:type="dxa"/>
            <w:vAlign w:val="top"/>
          </w:tcPr>
          <w:p w14:paraId="4FCD900B">
            <w:pPr>
              <w:pStyle w:val="19"/>
              <w:keepNext w:val="0"/>
              <w:keepLines w:val="0"/>
              <w:widowControl/>
              <w:suppressLineNumbers w:val="0"/>
              <w:spacing w:before="245" w:beforeAutospacing="0" w:after="0" w:afterAutospacing="0" w:line="191" w:lineRule="auto"/>
              <w:ind w:left="364" w:right="0"/>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□有   □无</w:t>
            </w:r>
          </w:p>
        </w:tc>
      </w:tr>
      <w:tr w14:paraId="07DD95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6573" w:type="dxa"/>
            <w:vAlign w:val="top"/>
          </w:tcPr>
          <w:p w14:paraId="453CD26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10" w:beforeAutospacing="0" w:after="0" w:afterAutospacing="0" w:line="240" w:lineRule="auto"/>
              <w:ind w:left="34" w:right="0" w:hanging="6"/>
              <w:textAlignment w:val="baseline"/>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（7）招标文件约定的其他不良情形。</w:t>
            </w:r>
          </w:p>
        </w:tc>
        <w:tc>
          <w:tcPr>
            <w:tcW w:w="2417" w:type="dxa"/>
            <w:vAlign w:val="top"/>
          </w:tcPr>
          <w:p w14:paraId="6DC78350">
            <w:pPr>
              <w:pStyle w:val="19"/>
              <w:keepNext w:val="0"/>
              <w:keepLines w:val="0"/>
              <w:widowControl/>
              <w:suppressLineNumbers w:val="0"/>
              <w:spacing w:before="91" w:beforeAutospacing="0" w:after="0" w:afterAutospacing="0" w:line="188" w:lineRule="auto"/>
              <w:ind w:left="364" w:right="0"/>
              <w:rPr>
                <w:rFonts w:hint="eastAsia" w:ascii="宋体" w:hAnsi="宋体" w:eastAsia="宋体" w:cs="宋体"/>
                <w:color w:val="auto"/>
                <w:spacing w:val="0"/>
                <w:w w:val="100"/>
                <w:position w:val="0"/>
                <w:sz w:val="24"/>
                <w:szCs w:val="24"/>
                <w:highlight w:val="none"/>
              </w:rPr>
            </w:pPr>
            <w:r>
              <w:rPr>
                <w:rFonts w:hint="eastAsia" w:ascii="宋体" w:hAnsi="宋体" w:eastAsia="宋体" w:cs="宋体"/>
                <w:color w:val="auto"/>
                <w:spacing w:val="0"/>
                <w:w w:val="100"/>
                <w:position w:val="0"/>
                <w:sz w:val="24"/>
                <w:szCs w:val="24"/>
                <w:highlight w:val="none"/>
              </w:rPr>
              <w:t>□有   □无</w:t>
            </w:r>
          </w:p>
        </w:tc>
      </w:tr>
    </w:tbl>
    <w:p w14:paraId="34492B99">
      <w:pPr>
        <w:spacing w:before="51" w:line="225" w:lineRule="auto"/>
        <w:ind w:left="483"/>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注：</w:t>
      </w:r>
    </w:p>
    <w:p w14:paraId="5D4CBA25">
      <w:pPr>
        <w:keepNext w:val="0"/>
        <w:keepLines w:val="0"/>
        <w:pageBreakBefore w:val="0"/>
        <w:widowControl/>
        <w:kinsoku w:val="0"/>
        <w:wordWrap/>
        <w:overflowPunct/>
        <w:topLinePunct w:val="0"/>
        <w:autoSpaceDE w:val="0"/>
        <w:autoSpaceDN w:val="0"/>
        <w:bidi w:val="0"/>
        <w:adjustRightInd w:val="0"/>
        <w:snapToGrid w:val="0"/>
        <w:spacing w:before="142" w:line="288" w:lineRule="auto"/>
        <w:ind w:left="62" w:right="0" w:firstLine="42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1.</w:t>
      </w:r>
      <w:r>
        <w:rPr>
          <w:rFonts w:ascii="宋体" w:hAnsi="宋体" w:eastAsia="宋体" w:cs="宋体"/>
          <w:color w:val="auto"/>
          <w:spacing w:val="0"/>
          <w:w w:val="100"/>
          <w:position w:val="0"/>
          <w:sz w:val="21"/>
          <w:szCs w:val="21"/>
          <w:highlight w:val="none"/>
        </w:rPr>
        <w:t>投标人应按照招标文件第二章“投标人须知”前附表附录</w:t>
      </w:r>
      <w:r>
        <w:rPr>
          <w:rFonts w:ascii="Times New Roman" w:hAnsi="Times New Roman" w:eastAsia="Times New Roman" w:cs="Times New Roman"/>
          <w:color w:val="auto"/>
          <w:spacing w:val="0"/>
          <w:w w:val="100"/>
          <w:position w:val="0"/>
          <w:sz w:val="21"/>
          <w:szCs w:val="21"/>
          <w:highlight w:val="none"/>
        </w:rPr>
        <w:t xml:space="preserve">3 </w:t>
      </w:r>
      <w:r>
        <w:rPr>
          <w:rFonts w:ascii="宋体" w:hAnsi="宋体" w:eastAsia="宋体" w:cs="宋体"/>
          <w:color w:val="auto"/>
          <w:spacing w:val="0"/>
          <w:w w:val="100"/>
          <w:position w:val="0"/>
          <w:sz w:val="21"/>
          <w:szCs w:val="21"/>
          <w:highlight w:val="none"/>
        </w:rPr>
        <w:t>和“投标人须知”正文第</w:t>
      </w:r>
      <w:r>
        <w:rPr>
          <w:rFonts w:ascii="Times New Roman" w:hAnsi="Times New Roman" w:eastAsia="Times New Roman" w:cs="Times New Roman"/>
          <w:color w:val="auto"/>
          <w:spacing w:val="0"/>
          <w:w w:val="100"/>
          <w:position w:val="0"/>
          <w:sz w:val="21"/>
          <w:szCs w:val="21"/>
          <w:highlight w:val="none"/>
        </w:rPr>
        <w:t xml:space="preserve">1.4.4 </w:t>
      </w:r>
      <w:r>
        <w:rPr>
          <w:rFonts w:ascii="宋体" w:hAnsi="宋体" w:eastAsia="宋体" w:cs="宋体"/>
          <w:color w:val="auto"/>
          <w:spacing w:val="0"/>
          <w:w w:val="100"/>
          <w:position w:val="0"/>
          <w:sz w:val="21"/>
          <w:szCs w:val="21"/>
          <w:highlight w:val="none"/>
        </w:rPr>
        <w:t>项规定，逐条说明其信誉情况。</w:t>
      </w:r>
    </w:p>
    <w:p w14:paraId="792E6633">
      <w:pPr>
        <w:keepNext w:val="0"/>
        <w:keepLines w:val="0"/>
        <w:pageBreakBefore w:val="0"/>
        <w:widowControl/>
        <w:kinsoku w:val="0"/>
        <w:wordWrap/>
        <w:overflowPunct/>
        <w:topLinePunct w:val="0"/>
        <w:autoSpaceDE w:val="0"/>
        <w:autoSpaceDN w:val="0"/>
        <w:bidi w:val="0"/>
        <w:adjustRightInd w:val="0"/>
        <w:snapToGrid w:val="0"/>
        <w:spacing w:before="142" w:line="288" w:lineRule="auto"/>
        <w:ind w:left="62" w:right="0" w:firstLine="420"/>
        <w:textAlignment w:val="baseline"/>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2.</w:t>
      </w:r>
      <w:r>
        <w:rPr>
          <w:rFonts w:ascii="宋体" w:hAnsi="宋体" w:eastAsia="宋体" w:cs="宋体"/>
          <w:color w:val="auto"/>
          <w:spacing w:val="0"/>
          <w:w w:val="100"/>
          <w:position w:val="0"/>
          <w:sz w:val="21"/>
          <w:szCs w:val="21"/>
          <w:highlight w:val="none"/>
        </w:rPr>
        <w:t>投标人不需要提供相关证明材料，投标人在上表中填写并盖章即可，如与实际不符，将视为投标人弄虚作假。</w:t>
      </w:r>
    </w:p>
    <w:p w14:paraId="4C3FD8DA">
      <w:pPr>
        <w:spacing w:before="158" w:line="235" w:lineRule="auto"/>
        <w:ind w:left="483"/>
        <w:rPr>
          <w:rFonts w:ascii="宋体" w:hAnsi="宋体" w:eastAsia="宋体" w:cs="宋体"/>
          <w:color w:val="auto"/>
          <w:spacing w:val="0"/>
          <w:w w:val="100"/>
          <w:position w:val="0"/>
          <w:sz w:val="21"/>
          <w:szCs w:val="21"/>
          <w:highlight w:val="none"/>
        </w:rPr>
      </w:pPr>
      <w:r>
        <w:rPr>
          <w:rFonts w:ascii="Times New Roman" w:hAnsi="Times New Roman" w:eastAsia="Times New Roman" w:cs="Times New Roman"/>
          <w:color w:val="auto"/>
          <w:spacing w:val="0"/>
          <w:w w:val="100"/>
          <w:position w:val="0"/>
          <w:sz w:val="21"/>
          <w:szCs w:val="21"/>
          <w:highlight w:val="none"/>
        </w:rPr>
        <w:t>3.</w:t>
      </w:r>
      <w:r>
        <w:rPr>
          <w:rFonts w:ascii="宋体" w:hAnsi="宋体" w:eastAsia="宋体" w:cs="宋体"/>
          <w:color w:val="auto"/>
          <w:spacing w:val="0"/>
          <w:w w:val="100"/>
          <w:position w:val="0"/>
          <w:sz w:val="21"/>
          <w:szCs w:val="21"/>
          <w:highlight w:val="none"/>
        </w:rPr>
        <w:t>以联合体形式参与投标的，联合体各成员应分别填写。</w:t>
      </w:r>
    </w:p>
    <w:p w14:paraId="78BED677">
      <w:pPr>
        <w:spacing w:line="235" w:lineRule="auto"/>
        <w:rPr>
          <w:rFonts w:ascii="宋体" w:hAnsi="宋体" w:eastAsia="宋体" w:cs="宋体"/>
          <w:color w:val="auto"/>
          <w:spacing w:val="0"/>
          <w:w w:val="100"/>
          <w:position w:val="0"/>
          <w:sz w:val="21"/>
          <w:szCs w:val="21"/>
          <w:highlight w:val="none"/>
        </w:rPr>
        <w:sectPr>
          <w:headerReference r:id="rId74" w:type="default"/>
          <w:footerReference r:id="rId75" w:type="default"/>
          <w:pgSz w:w="11900" w:h="16843"/>
          <w:pgMar w:top="1378" w:right="1417" w:bottom="1208" w:left="1417" w:header="1366" w:footer="1003" w:gutter="0"/>
          <w:pgNumType w:fmt="decimal"/>
          <w:cols w:space="0" w:num="1"/>
          <w:rtlGutter w:val="0"/>
          <w:docGrid w:linePitch="0" w:charSpace="0"/>
        </w:sectPr>
      </w:pPr>
    </w:p>
    <w:p w14:paraId="3730D3D3">
      <w:pPr>
        <w:pStyle w:val="6"/>
        <w:spacing w:before="338" w:line="218" w:lineRule="auto"/>
        <w:ind w:left="1980"/>
        <w:outlineLvl w:val="3"/>
        <w:rPr>
          <w:color w:val="auto"/>
          <w:spacing w:val="0"/>
          <w:w w:val="100"/>
          <w:position w:val="0"/>
          <w:sz w:val="30"/>
          <w:szCs w:val="30"/>
          <w:highlight w:val="none"/>
        </w:rPr>
      </w:pPr>
      <w:r>
        <w:rPr>
          <w:b/>
          <w:bCs/>
          <w:color w:val="auto"/>
          <w:spacing w:val="0"/>
          <w:w w:val="100"/>
          <w:position w:val="0"/>
          <w:sz w:val="30"/>
          <w:szCs w:val="30"/>
          <w:highlight w:val="none"/>
        </w:rPr>
        <w:t>（五）拟委任的项目负责人资历表</w:t>
      </w:r>
    </w:p>
    <w:p w14:paraId="3EA454EE">
      <w:pPr>
        <w:spacing w:line="184" w:lineRule="exact"/>
        <w:rPr>
          <w:color w:val="auto"/>
          <w:spacing w:val="0"/>
          <w:w w:val="100"/>
          <w:position w:val="0"/>
          <w:highlight w:val="none"/>
        </w:rPr>
      </w:pPr>
    </w:p>
    <w:tbl>
      <w:tblPr>
        <w:tblStyle w:val="18"/>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7"/>
        <w:gridCol w:w="1401"/>
        <w:gridCol w:w="1103"/>
        <w:gridCol w:w="1363"/>
        <w:gridCol w:w="331"/>
        <w:gridCol w:w="1259"/>
        <w:gridCol w:w="283"/>
        <w:gridCol w:w="2047"/>
      </w:tblGrid>
      <w:tr w14:paraId="631A2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257" w:type="dxa"/>
            <w:vAlign w:val="top"/>
          </w:tcPr>
          <w:p w14:paraId="259763B7">
            <w:pPr>
              <w:pStyle w:val="19"/>
              <w:keepNext w:val="0"/>
              <w:keepLines w:val="0"/>
              <w:widowControl/>
              <w:suppressLineNumbers w:val="0"/>
              <w:spacing w:before="221" w:beforeAutospacing="0" w:after="0" w:afterAutospacing="0" w:line="221" w:lineRule="auto"/>
              <w:ind w:left="267" w:right="0"/>
              <w:rPr>
                <w:rFonts w:hint="default"/>
                <w:color w:val="auto"/>
                <w:spacing w:val="0"/>
                <w:w w:val="100"/>
                <w:position w:val="0"/>
                <w:highlight w:val="none"/>
              </w:rPr>
            </w:pPr>
            <w:r>
              <w:rPr>
                <w:rFonts w:hint="default"/>
                <w:color w:val="auto"/>
                <w:spacing w:val="0"/>
                <w:w w:val="100"/>
                <w:position w:val="0"/>
                <w:highlight w:val="none"/>
              </w:rPr>
              <w:t>姓   名</w:t>
            </w:r>
          </w:p>
        </w:tc>
        <w:tc>
          <w:tcPr>
            <w:tcW w:w="1401" w:type="dxa"/>
            <w:vAlign w:val="top"/>
          </w:tcPr>
          <w:p w14:paraId="12FB530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3" w:type="dxa"/>
            <w:vAlign w:val="top"/>
          </w:tcPr>
          <w:p w14:paraId="03686DCE">
            <w:pPr>
              <w:pStyle w:val="19"/>
              <w:keepNext w:val="0"/>
              <w:keepLines w:val="0"/>
              <w:widowControl/>
              <w:suppressLineNumbers w:val="0"/>
              <w:spacing w:before="221" w:beforeAutospacing="0" w:after="0" w:afterAutospacing="0" w:line="221" w:lineRule="auto"/>
              <w:ind w:left="190" w:right="0"/>
              <w:rPr>
                <w:rFonts w:hint="default"/>
                <w:color w:val="auto"/>
                <w:spacing w:val="0"/>
                <w:w w:val="100"/>
                <w:position w:val="0"/>
                <w:highlight w:val="none"/>
              </w:rPr>
            </w:pPr>
            <w:r>
              <w:rPr>
                <w:rFonts w:hint="default"/>
                <w:color w:val="auto"/>
                <w:spacing w:val="0"/>
                <w:w w:val="100"/>
                <w:position w:val="0"/>
                <w:highlight w:val="none"/>
              </w:rPr>
              <w:t>年   龄</w:t>
            </w:r>
          </w:p>
        </w:tc>
        <w:tc>
          <w:tcPr>
            <w:tcW w:w="1363" w:type="dxa"/>
            <w:vAlign w:val="top"/>
          </w:tcPr>
          <w:p w14:paraId="564167E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90" w:type="dxa"/>
            <w:gridSpan w:val="2"/>
            <w:vAlign w:val="top"/>
          </w:tcPr>
          <w:p w14:paraId="05784CD5">
            <w:pPr>
              <w:pStyle w:val="19"/>
              <w:keepNext w:val="0"/>
              <w:keepLines w:val="0"/>
              <w:widowControl/>
              <w:suppressLineNumbers w:val="0"/>
              <w:spacing w:before="85" w:beforeAutospacing="0" w:after="0" w:afterAutospacing="0" w:line="242" w:lineRule="auto"/>
              <w:ind w:left="0" w:right="52"/>
              <w:jc w:val="center"/>
              <w:rPr>
                <w:rFonts w:hint="default"/>
                <w:color w:val="auto"/>
                <w:spacing w:val="0"/>
                <w:w w:val="100"/>
                <w:position w:val="0"/>
                <w:highlight w:val="none"/>
              </w:rPr>
            </w:pPr>
            <w:r>
              <w:rPr>
                <w:rFonts w:hint="default"/>
                <w:color w:val="auto"/>
                <w:spacing w:val="0"/>
                <w:w w:val="100"/>
                <w:position w:val="0"/>
                <w:highlight w:val="none"/>
              </w:rPr>
              <w:t>执业或职业资格证书名称</w:t>
            </w:r>
          </w:p>
        </w:tc>
        <w:tc>
          <w:tcPr>
            <w:tcW w:w="2330" w:type="dxa"/>
            <w:gridSpan w:val="2"/>
            <w:vAlign w:val="top"/>
          </w:tcPr>
          <w:p w14:paraId="5F8CBAD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B1B9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257" w:type="dxa"/>
            <w:vAlign w:val="top"/>
          </w:tcPr>
          <w:p w14:paraId="19D7AF4D">
            <w:pPr>
              <w:pStyle w:val="19"/>
              <w:keepNext w:val="0"/>
              <w:keepLines w:val="0"/>
              <w:widowControl/>
              <w:suppressLineNumbers w:val="0"/>
              <w:spacing w:before="216" w:beforeAutospacing="0" w:after="0" w:afterAutospacing="0" w:line="221" w:lineRule="auto"/>
              <w:ind w:left="215" w:right="0"/>
              <w:rPr>
                <w:rFonts w:hint="default"/>
                <w:color w:val="auto"/>
                <w:spacing w:val="0"/>
                <w:w w:val="100"/>
                <w:position w:val="0"/>
                <w:highlight w:val="none"/>
              </w:rPr>
            </w:pPr>
            <w:r>
              <w:rPr>
                <w:rFonts w:hint="default"/>
                <w:color w:val="auto"/>
                <w:spacing w:val="0"/>
                <w:w w:val="100"/>
                <w:position w:val="0"/>
                <w:highlight w:val="none"/>
              </w:rPr>
              <w:t>技术职称</w:t>
            </w:r>
          </w:p>
        </w:tc>
        <w:tc>
          <w:tcPr>
            <w:tcW w:w="1401" w:type="dxa"/>
            <w:vAlign w:val="top"/>
          </w:tcPr>
          <w:p w14:paraId="394D544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3" w:type="dxa"/>
            <w:vAlign w:val="top"/>
          </w:tcPr>
          <w:p w14:paraId="3544128B">
            <w:pPr>
              <w:pStyle w:val="19"/>
              <w:keepNext w:val="0"/>
              <w:keepLines w:val="0"/>
              <w:widowControl/>
              <w:suppressLineNumbers w:val="0"/>
              <w:spacing w:before="217" w:beforeAutospacing="0" w:after="0" w:afterAutospacing="0" w:line="222" w:lineRule="auto"/>
              <w:ind w:left="193" w:right="0"/>
              <w:rPr>
                <w:rFonts w:hint="default"/>
                <w:color w:val="auto"/>
                <w:spacing w:val="0"/>
                <w:w w:val="100"/>
                <w:position w:val="0"/>
                <w:highlight w:val="none"/>
              </w:rPr>
            </w:pPr>
            <w:r>
              <w:rPr>
                <w:rFonts w:hint="default"/>
                <w:color w:val="auto"/>
                <w:spacing w:val="0"/>
                <w:w w:val="100"/>
                <w:position w:val="0"/>
                <w:highlight w:val="none"/>
              </w:rPr>
              <w:t>学   历</w:t>
            </w:r>
          </w:p>
        </w:tc>
        <w:tc>
          <w:tcPr>
            <w:tcW w:w="1363" w:type="dxa"/>
            <w:vAlign w:val="top"/>
          </w:tcPr>
          <w:p w14:paraId="697F1B6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90" w:type="dxa"/>
            <w:gridSpan w:val="2"/>
            <w:vAlign w:val="top"/>
          </w:tcPr>
          <w:p w14:paraId="4F5EBE2B">
            <w:pPr>
              <w:pStyle w:val="19"/>
              <w:keepNext w:val="0"/>
              <w:keepLines w:val="0"/>
              <w:widowControl/>
              <w:suppressLineNumbers w:val="0"/>
              <w:spacing w:before="79" w:beforeAutospacing="0" w:after="0" w:afterAutospacing="0" w:line="243" w:lineRule="auto"/>
              <w:ind w:left="0" w:right="52"/>
              <w:jc w:val="center"/>
              <w:rPr>
                <w:rFonts w:hint="default"/>
                <w:color w:val="auto"/>
                <w:spacing w:val="0"/>
                <w:w w:val="100"/>
                <w:position w:val="0"/>
                <w:highlight w:val="none"/>
              </w:rPr>
            </w:pPr>
            <w:r>
              <w:rPr>
                <w:rFonts w:hint="default"/>
                <w:color w:val="auto"/>
                <w:spacing w:val="0"/>
                <w:w w:val="100"/>
                <w:position w:val="0"/>
                <w:highlight w:val="none"/>
              </w:rPr>
              <w:t>拟在本标段工程任职</w:t>
            </w:r>
          </w:p>
        </w:tc>
        <w:tc>
          <w:tcPr>
            <w:tcW w:w="2330" w:type="dxa"/>
            <w:gridSpan w:val="2"/>
            <w:vAlign w:val="top"/>
          </w:tcPr>
          <w:p w14:paraId="5B5947D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92EA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257" w:type="dxa"/>
            <w:vAlign w:val="top"/>
          </w:tcPr>
          <w:p w14:paraId="6108DB5C">
            <w:pPr>
              <w:pStyle w:val="19"/>
              <w:keepNext w:val="0"/>
              <w:keepLines w:val="0"/>
              <w:widowControl/>
              <w:suppressLineNumbers w:val="0"/>
              <w:spacing w:before="216" w:beforeAutospacing="0" w:after="0" w:afterAutospacing="0" w:line="221" w:lineRule="auto"/>
              <w:ind w:left="216" w:right="0"/>
              <w:rPr>
                <w:rFonts w:hint="default"/>
                <w:color w:val="auto"/>
                <w:spacing w:val="0"/>
                <w:w w:val="100"/>
                <w:position w:val="0"/>
                <w:highlight w:val="none"/>
              </w:rPr>
            </w:pPr>
            <w:r>
              <w:rPr>
                <w:rFonts w:hint="default"/>
                <w:color w:val="auto"/>
                <w:spacing w:val="0"/>
                <w:w w:val="100"/>
                <w:position w:val="0"/>
                <w:highlight w:val="none"/>
              </w:rPr>
              <w:t>工作年限</w:t>
            </w:r>
          </w:p>
        </w:tc>
        <w:tc>
          <w:tcPr>
            <w:tcW w:w="3867" w:type="dxa"/>
            <w:gridSpan w:val="3"/>
            <w:vAlign w:val="top"/>
          </w:tcPr>
          <w:p w14:paraId="55583A5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90" w:type="dxa"/>
            <w:gridSpan w:val="2"/>
            <w:vAlign w:val="top"/>
          </w:tcPr>
          <w:p w14:paraId="66295C61">
            <w:pPr>
              <w:pStyle w:val="19"/>
              <w:keepNext w:val="0"/>
              <w:keepLines w:val="0"/>
              <w:widowControl/>
              <w:suppressLineNumbers w:val="0"/>
              <w:spacing w:before="83" w:beforeAutospacing="0" w:after="0" w:afterAutospacing="0"/>
              <w:ind w:left="0" w:right="52"/>
              <w:jc w:val="center"/>
              <w:rPr>
                <w:rFonts w:hint="default"/>
                <w:color w:val="auto"/>
                <w:spacing w:val="0"/>
                <w:w w:val="100"/>
                <w:position w:val="0"/>
                <w:highlight w:val="none"/>
              </w:rPr>
            </w:pPr>
            <w:r>
              <w:rPr>
                <w:rFonts w:hint="default"/>
                <w:color w:val="auto"/>
                <w:spacing w:val="0"/>
                <w:w w:val="100"/>
                <w:position w:val="0"/>
                <w:highlight w:val="none"/>
              </w:rPr>
              <w:t>从事勘察设计工作年限</w:t>
            </w:r>
          </w:p>
        </w:tc>
        <w:tc>
          <w:tcPr>
            <w:tcW w:w="2330" w:type="dxa"/>
            <w:gridSpan w:val="2"/>
            <w:vAlign w:val="top"/>
          </w:tcPr>
          <w:p w14:paraId="4C2926F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A053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257" w:type="dxa"/>
            <w:vAlign w:val="top"/>
          </w:tcPr>
          <w:p w14:paraId="4C66119D">
            <w:pPr>
              <w:pStyle w:val="19"/>
              <w:keepNext w:val="0"/>
              <w:keepLines w:val="0"/>
              <w:widowControl/>
              <w:suppressLineNumbers w:val="0"/>
              <w:spacing w:before="224" w:beforeAutospacing="0" w:after="0" w:afterAutospacing="0" w:line="221" w:lineRule="auto"/>
              <w:ind w:left="218" w:right="0"/>
              <w:rPr>
                <w:rFonts w:hint="default"/>
                <w:color w:val="auto"/>
                <w:spacing w:val="0"/>
                <w:w w:val="100"/>
                <w:position w:val="0"/>
                <w:highlight w:val="none"/>
              </w:rPr>
            </w:pPr>
            <w:r>
              <w:rPr>
                <w:rFonts w:hint="default"/>
                <w:color w:val="auto"/>
                <w:spacing w:val="0"/>
                <w:w w:val="100"/>
                <w:position w:val="0"/>
                <w:highlight w:val="none"/>
              </w:rPr>
              <w:t>毕业学校</w:t>
            </w:r>
          </w:p>
        </w:tc>
        <w:tc>
          <w:tcPr>
            <w:tcW w:w="7787" w:type="dxa"/>
            <w:gridSpan w:val="7"/>
            <w:vAlign w:val="top"/>
          </w:tcPr>
          <w:p w14:paraId="50C9AD93">
            <w:pPr>
              <w:pStyle w:val="19"/>
              <w:keepNext w:val="0"/>
              <w:keepLines w:val="0"/>
              <w:widowControl/>
              <w:suppressLineNumbers w:val="0"/>
              <w:tabs>
                <w:tab w:val="left" w:pos="1368"/>
              </w:tabs>
              <w:spacing w:before="88" w:beforeAutospacing="0" w:after="0" w:afterAutospacing="0" w:line="243" w:lineRule="auto"/>
              <w:ind w:left="57" w:right="49" w:hanging="12"/>
              <w:rPr>
                <w:rFonts w:hint="default"/>
                <w:color w:val="auto"/>
                <w:spacing w:val="0"/>
                <w:w w:val="100"/>
                <w:position w:val="0"/>
                <w:highlight w:val="none"/>
              </w:rPr>
            </w:pPr>
            <w:r>
              <w:rPr>
                <w:rFonts w:hint="default"/>
                <w:color w:val="auto"/>
                <w:spacing w:val="0"/>
                <w:w w:val="100"/>
                <w:position w:val="0"/>
                <w:highlight w:val="none"/>
                <w:u w:val="single" w:color="auto"/>
              </w:rPr>
              <w:tab/>
            </w:r>
            <w:r>
              <w:rPr>
                <w:rFonts w:hint="default"/>
                <w:color w:val="auto"/>
                <w:spacing w:val="0"/>
                <w:w w:val="100"/>
                <w:position w:val="0"/>
                <w:highlight w:val="none"/>
                <w:u w:val="single" w:color="auto"/>
              </w:rPr>
              <w:tab/>
            </w:r>
            <w:r>
              <w:rPr>
                <w:rFonts w:hint="default"/>
                <w:color w:val="auto"/>
                <w:spacing w:val="0"/>
                <w:w w:val="100"/>
                <w:position w:val="0"/>
                <w:highlight w:val="none"/>
              </w:rPr>
              <w:t xml:space="preserve"> 年 </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月 毕 业 于 </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学校 </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专业，学制</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年</w:t>
            </w:r>
          </w:p>
        </w:tc>
      </w:tr>
      <w:tr w14:paraId="728C4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9044" w:type="dxa"/>
            <w:gridSpan w:val="8"/>
            <w:vAlign w:val="top"/>
          </w:tcPr>
          <w:p w14:paraId="758051BB">
            <w:pPr>
              <w:pStyle w:val="19"/>
              <w:keepNext w:val="0"/>
              <w:keepLines w:val="0"/>
              <w:widowControl/>
              <w:suppressLineNumbers w:val="0"/>
              <w:spacing w:before="170" w:beforeAutospacing="0" w:after="0" w:afterAutospacing="0" w:line="223" w:lineRule="auto"/>
              <w:ind w:left="3430" w:right="0"/>
              <w:rPr>
                <w:rFonts w:hint="default"/>
                <w:color w:val="auto"/>
                <w:spacing w:val="0"/>
                <w:w w:val="100"/>
                <w:position w:val="0"/>
                <w:highlight w:val="none"/>
              </w:rPr>
            </w:pPr>
            <w:r>
              <w:rPr>
                <w:rFonts w:hint="default"/>
                <w:color w:val="auto"/>
                <w:spacing w:val="0"/>
                <w:w w:val="100"/>
                <w:position w:val="0"/>
                <w:highlight w:val="none"/>
              </w:rPr>
              <w:t>经           历</w:t>
            </w:r>
          </w:p>
        </w:tc>
      </w:tr>
      <w:tr w14:paraId="7C108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257" w:type="dxa"/>
            <w:vAlign w:val="top"/>
          </w:tcPr>
          <w:p w14:paraId="17A697FD">
            <w:pPr>
              <w:pStyle w:val="19"/>
              <w:keepNext w:val="0"/>
              <w:keepLines w:val="0"/>
              <w:widowControl/>
              <w:suppressLineNumbers w:val="0"/>
              <w:spacing w:before="218" w:beforeAutospacing="0" w:after="0" w:afterAutospacing="0" w:line="223" w:lineRule="auto"/>
              <w:ind w:left="433" w:right="0"/>
              <w:rPr>
                <w:rFonts w:hint="default"/>
                <w:color w:val="auto"/>
                <w:spacing w:val="0"/>
                <w:w w:val="100"/>
                <w:position w:val="0"/>
                <w:highlight w:val="none"/>
              </w:rPr>
            </w:pPr>
            <w:r>
              <w:rPr>
                <w:rFonts w:hint="default"/>
                <w:color w:val="auto"/>
                <w:spacing w:val="0"/>
                <w:w w:val="100"/>
                <w:position w:val="0"/>
                <w:highlight w:val="none"/>
              </w:rPr>
              <w:t>时间</w:t>
            </w:r>
          </w:p>
        </w:tc>
        <w:tc>
          <w:tcPr>
            <w:tcW w:w="4198" w:type="dxa"/>
            <w:gridSpan w:val="4"/>
            <w:vAlign w:val="top"/>
          </w:tcPr>
          <w:p w14:paraId="01259B9C">
            <w:pPr>
              <w:pStyle w:val="19"/>
              <w:keepNext w:val="0"/>
              <w:keepLines w:val="0"/>
              <w:widowControl/>
              <w:suppressLineNumbers w:val="0"/>
              <w:spacing w:before="217" w:beforeAutospacing="0" w:after="0" w:afterAutospacing="0" w:line="221" w:lineRule="auto"/>
              <w:ind w:left="843" w:right="0"/>
              <w:rPr>
                <w:rFonts w:hint="default"/>
                <w:color w:val="auto"/>
                <w:spacing w:val="0"/>
                <w:w w:val="100"/>
                <w:position w:val="0"/>
                <w:highlight w:val="none"/>
              </w:rPr>
            </w:pPr>
            <w:r>
              <w:rPr>
                <w:rFonts w:hint="default"/>
                <w:color w:val="auto"/>
                <w:spacing w:val="0"/>
                <w:w w:val="100"/>
                <w:position w:val="0"/>
                <w:highlight w:val="none"/>
              </w:rPr>
              <w:t>参加过的类似工程项目名称</w:t>
            </w:r>
          </w:p>
        </w:tc>
        <w:tc>
          <w:tcPr>
            <w:tcW w:w="1542" w:type="dxa"/>
            <w:gridSpan w:val="2"/>
            <w:vAlign w:val="top"/>
          </w:tcPr>
          <w:p w14:paraId="32A8D2F5">
            <w:pPr>
              <w:pStyle w:val="19"/>
              <w:keepNext w:val="0"/>
              <w:keepLines w:val="0"/>
              <w:widowControl/>
              <w:suppressLineNumbers w:val="0"/>
              <w:spacing w:before="217" w:beforeAutospacing="0" w:after="0" w:afterAutospacing="0" w:line="221" w:lineRule="auto"/>
              <w:ind w:left="358" w:right="0"/>
              <w:rPr>
                <w:rFonts w:hint="default"/>
                <w:color w:val="auto"/>
                <w:spacing w:val="0"/>
                <w:w w:val="100"/>
                <w:position w:val="0"/>
                <w:highlight w:val="none"/>
              </w:rPr>
            </w:pPr>
            <w:r>
              <w:rPr>
                <w:rFonts w:hint="default"/>
                <w:color w:val="auto"/>
                <w:spacing w:val="0"/>
                <w:w w:val="100"/>
                <w:position w:val="0"/>
                <w:highlight w:val="none"/>
              </w:rPr>
              <w:t>担任职务</w:t>
            </w:r>
          </w:p>
        </w:tc>
        <w:tc>
          <w:tcPr>
            <w:tcW w:w="2047" w:type="dxa"/>
            <w:vAlign w:val="top"/>
          </w:tcPr>
          <w:p w14:paraId="7910A86A">
            <w:pPr>
              <w:pStyle w:val="19"/>
              <w:keepNext w:val="0"/>
              <w:keepLines w:val="0"/>
              <w:widowControl/>
              <w:suppressLineNumbers w:val="0"/>
              <w:spacing w:before="81" w:beforeAutospacing="0" w:after="0" w:afterAutospacing="0" w:line="221" w:lineRule="auto"/>
              <w:ind w:left="88" w:right="0"/>
              <w:rPr>
                <w:rFonts w:hint="default"/>
                <w:color w:val="auto"/>
                <w:spacing w:val="0"/>
                <w:w w:val="100"/>
                <w:position w:val="0"/>
                <w:highlight w:val="none"/>
              </w:rPr>
            </w:pPr>
            <w:r>
              <w:rPr>
                <w:rFonts w:hint="default"/>
                <w:color w:val="auto"/>
                <w:spacing w:val="0"/>
                <w:w w:val="100"/>
                <w:position w:val="0"/>
                <w:highlight w:val="none"/>
              </w:rPr>
              <w:t>发包人及联系</w:t>
            </w:r>
          </w:p>
          <w:p w14:paraId="27E3C46A">
            <w:pPr>
              <w:pStyle w:val="19"/>
              <w:keepNext w:val="0"/>
              <w:keepLines w:val="0"/>
              <w:widowControl/>
              <w:suppressLineNumbers w:val="0"/>
              <w:spacing w:before="21" w:beforeAutospacing="0" w:after="0" w:afterAutospacing="0" w:line="223" w:lineRule="auto"/>
              <w:ind w:left="530" w:right="0"/>
              <w:rPr>
                <w:rFonts w:hint="default"/>
                <w:color w:val="auto"/>
                <w:spacing w:val="0"/>
                <w:w w:val="100"/>
                <w:position w:val="0"/>
                <w:highlight w:val="none"/>
              </w:rPr>
            </w:pPr>
            <w:r>
              <w:rPr>
                <w:rFonts w:hint="default"/>
                <w:color w:val="auto"/>
                <w:spacing w:val="0"/>
                <w:w w:val="100"/>
                <w:position w:val="0"/>
                <w:highlight w:val="none"/>
              </w:rPr>
              <w:t>电话</w:t>
            </w:r>
          </w:p>
        </w:tc>
      </w:tr>
      <w:tr w14:paraId="1B24F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257" w:type="dxa"/>
            <w:vAlign w:val="top"/>
          </w:tcPr>
          <w:p w14:paraId="0BA477C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1E46412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631FB79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47" w:type="dxa"/>
            <w:vAlign w:val="top"/>
          </w:tcPr>
          <w:p w14:paraId="33F2362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4C8B6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1257" w:type="dxa"/>
            <w:vAlign w:val="top"/>
          </w:tcPr>
          <w:p w14:paraId="5724E27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64D2041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0E1EE9A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47" w:type="dxa"/>
            <w:vAlign w:val="top"/>
          </w:tcPr>
          <w:p w14:paraId="5F03F4C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5B4D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257" w:type="dxa"/>
            <w:vAlign w:val="top"/>
          </w:tcPr>
          <w:p w14:paraId="74C7626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328CC46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5631082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47" w:type="dxa"/>
            <w:vAlign w:val="top"/>
          </w:tcPr>
          <w:p w14:paraId="4003248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6277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257" w:type="dxa"/>
            <w:vAlign w:val="top"/>
          </w:tcPr>
          <w:p w14:paraId="5FA0A13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349D56C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4E8C90C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47" w:type="dxa"/>
            <w:vAlign w:val="top"/>
          </w:tcPr>
          <w:p w14:paraId="36A2CE7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89C9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257" w:type="dxa"/>
            <w:vAlign w:val="top"/>
          </w:tcPr>
          <w:p w14:paraId="2D40719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23C873E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28D584E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47" w:type="dxa"/>
            <w:vAlign w:val="top"/>
          </w:tcPr>
          <w:p w14:paraId="4884B8B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402D5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257" w:type="dxa"/>
            <w:vAlign w:val="top"/>
          </w:tcPr>
          <w:p w14:paraId="4D7D449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0ECF8B9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0A6DD9A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47" w:type="dxa"/>
            <w:vAlign w:val="top"/>
          </w:tcPr>
          <w:p w14:paraId="3F63B06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056F7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2658" w:type="dxa"/>
            <w:gridSpan w:val="2"/>
            <w:vAlign w:val="top"/>
          </w:tcPr>
          <w:p w14:paraId="3E941E01">
            <w:pPr>
              <w:pStyle w:val="19"/>
              <w:keepNext w:val="0"/>
              <w:keepLines w:val="0"/>
              <w:widowControl/>
              <w:suppressLineNumbers w:val="0"/>
              <w:spacing w:before="276" w:beforeAutospacing="0" w:after="0" w:afterAutospacing="0" w:line="221" w:lineRule="auto"/>
              <w:ind w:left="918" w:right="0"/>
              <w:rPr>
                <w:rFonts w:hint="default"/>
                <w:color w:val="auto"/>
                <w:spacing w:val="0"/>
                <w:w w:val="100"/>
                <w:position w:val="0"/>
                <w:highlight w:val="none"/>
              </w:rPr>
            </w:pPr>
            <w:r>
              <w:rPr>
                <w:rFonts w:hint="default"/>
                <w:color w:val="auto"/>
                <w:spacing w:val="0"/>
                <w:w w:val="100"/>
                <w:position w:val="0"/>
                <w:highlight w:val="none"/>
              </w:rPr>
              <w:t>获奖情况</w:t>
            </w:r>
          </w:p>
        </w:tc>
        <w:tc>
          <w:tcPr>
            <w:tcW w:w="6386" w:type="dxa"/>
            <w:gridSpan w:val="6"/>
            <w:vAlign w:val="top"/>
          </w:tcPr>
          <w:p w14:paraId="2F04B55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6732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2658" w:type="dxa"/>
            <w:gridSpan w:val="2"/>
            <w:vAlign w:val="top"/>
          </w:tcPr>
          <w:p w14:paraId="4729D7F4">
            <w:pPr>
              <w:pStyle w:val="19"/>
              <w:keepNext w:val="0"/>
              <w:keepLines w:val="0"/>
              <w:widowControl/>
              <w:suppressLineNumbers w:val="0"/>
              <w:spacing w:before="245" w:beforeAutospacing="0" w:after="0" w:afterAutospacing="0" w:line="221" w:lineRule="auto"/>
              <w:ind w:left="638" w:right="0"/>
              <w:rPr>
                <w:rFonts w:hint="default"/>
                <w:color w:val="auto"/>
                <w:spacing w:val="0"/>
                <w:w w:val="100"/>
                <w:position w:val="0"/>
                <w:highlight w:val="none"/>
              </w:rPr>
            </w:pPr>
            <w:r>
              <w:rPr>
                <w:rFonts w:hint="default"/>
                <w:color w:val="auto"/>
                <w:spacing w:val="0"/>
                <w:w w:val="100"/>
                <w:position w:val="0"/>
                <w:highlight w:val="none"/>
              </w:rPr>
              <w:t>目前承担的任务</w:t>
            </w:r>
          </w:p>
        </w:tc>
        <w:tc>
          <w:tcPr>
            <w:tcW w:w="6386" w:type="dxa"/>
            <w:gridSpan w:val="6"/>
            <w:vAlign w:val="top"/>
          </w:tcPr>
          <w:p w14:paraId="7BE5C81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D5D9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658" w:type="dxa"/>
            <w:gridSpan w:val="2"/>
            <w:vAlign w:val="top"/>
          </w:tcPr>
          <w:p w14:paraId="4A994BAE">
            <w:pPr>
              <w:pStyle w:val="19"/>
              <w:keepNext w:val="0"/>
              <w:keepLines w:val="0"/>
              <w:widowControl/>
              <w:suppressLineNumbers w:val="0"/>
              <w:spacing w:before="251" w:beforeAutospacing="0" w:after="0" w:afterAutospacing="0" w:line="222" w:lineRule="auto"/>
              <w:ind w:left="970" w:right="0"/>
              <w:rPr>
                <w:rFonts w:hint="default"/>
                <w:color w:val="auto"/>
                <w:spacing w:val="0"/>
                <w:w w:val="100"/>
                <w:position w:val="0"/>
                <w:highlight w:val="none"/>
              </w:rPr>
            </w:pPr>
            <w:r>
              <w:rPr>
                <w:rFonts w:hint="default"/>
                <w:color w:val="auto"/>
                <w:spacing w:val="0"/>
                <w:w w:val="100"/>
                <w:position w:val="0"/>
                <w:highlight w:val="none"/>
              </w:rPr>
              <w:t>备   注</w:t>
            </w:r>
          </w:p>
        </w:tc>
        <w:tc>
          <w:tcPr>
            <w:tcW w:w="6386" w:type="dxa"/>
            <w:gridSpan w:val="6"/>
            <w:vAlign w:val="top"/>
          </w:tcPr>
          <w:p w14:paraId="2C528B4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2BD9E320">
      <w:pPr>
        <w:rPr>
          <w:rFonts w:ascii="Arial"/>
          <w:color w:val="auto"/>
          <w:spacing w:val="0"/>
          <w:w w:val="100"/>
          <w:position w:val="0"/>
          <w:sz w:val="21"/>
          <w:highlight w:val="none"/>
        </w:rPr>
      </w:pPr>
    </w:p>
    <w:p w14:paraId="0A302B3F">
      <w:pPr>
        <w:rPr>
          <w:rFonts w:hint="eastAsia" w:ascii="Arial" w:hAnsi="Arial" w:eastAsia="Arial" w:cs="Arial"/>
          <w:color w:val="auto"/>
          <w:spacing w:val="0"/>
          <w:w w:val="100"/>
          <w:position w:val="0"/>
          <w:sz w:val="21"/>
          <w:szCs w:val="21"/>
          <w:highlight w:val="none"/>
        </w:rPr>
      </w:pPr>
      <w:r>
        <w:rPr>
          <w:rFonts w:hint="eastAsia" w:ascii="Arial" w:hAnsi="Arial" w:eastAsia="Arial" w:cs="Arial"/>
          <w:color w:val="auto"/>
          <w:spacing w:val="0"/>
          <w:w w:val="100"/>
          <w:position w:val="0"/>
          <w:sz w:val="21"/>
          <w:szCs w:val="21"/>
          <w:highlight w:val="none"/>
        </w:rPr>
        <w:t>注：1.本表应填写项目负责人相关情况。</w:t>
      </w:r>
    </w:p>
    <w:p w14:paraId="0DB9A378">
      <w:pPr>
        <w:rPr>
          <w:rFonts w:ascii="Arial" w:hAnsi="Arial" w:eastAsia="Arial" w:cs="Arial"/>
          <w:b/>
          <w:bCs/>
          <w:color w:val="auto"/>
          <w:spacing w:val="0"/>
          <w:w w:val="100"/>
          <w:position w:val="0"/>
          <w:sz w:val="21"/>
          <w:szCs w:val="21"/>
          <w:highlight w:val="none"/>
        </w:rPr>
        <w:sectPr>
          <w:headerReference r:id="rId76" w:type="default"/>
          <w:footerReference r:id="rId77" w:type="default"/>
          <w:pgSz w:w="11900" w:h="16843"/>
          <w:pgMar w:top="1378" w:right="1417" w:bottom="1208" w:left="1417" w:header="1366" w:footer="1003" w:gutter="0"/>
          <w:pgNumType w:fmt="decimal"/>
          <w:cols w:space="0" w:num="1"/>
          <w:rtlGutter w:val="0"/>
          <w:docGrid w:linePitch="0" w:charSpace="0"/>
        </w:sectPr>
      </w:pPr>
      <w:r>
        <w:rPr>
          <w:rFonts w:hint="eastAsia" w:ascii="Arial" w:hAnsi="Arial" w:eastAsia="Arial" w:cs="Arial"/>
          <w:b/>
          <w:bCs/>
          <w:color w:val="auto"/>
          <w:spacing w:val="0"/>
          <w:w w:val="100"/>
          <w:position w:val="0"/>
          <w:sz w:val="21"/>
          <w:szCs w:val="21"/>
          <w:highlight w:val="none"/>
        </w:rPr>
        <w:t>2.投标人应根据招标文件第二章“投标人须知”附录4的要求在本表后附相关证明材料。</w:t>
      </w:r>
    </w:p>
    <w:p w14:paraId="13B9E305">
      <w:pPr>
        <w:pStyle w:val="6"/>
        <w:spacing w:before="337" w:line="232" w:lineRule="auto"/>
        <w:jc w:val="center"/>
        <w:outlineLvl w:val="3"/>
        <w:rPr>
          <w:color w:val="auto"/>
          <w:spacing w:val="0"/>
          <w:w w:val="100"/>
          <w:position w:val="0"/>
          <w:sz w:val="30"/>
          <w:szCs w:val="30"/>
          <w:highlight w:val="none"/>
        </w:rPr>
      </w:pPr>
      <w:r>
        <w:rPr>
          <w:b/>
          <w:bCs/>
          <w:color w:val="auto"/>
          <w:spacing w:val="0"/>
          <w:w w:val="100"/>
          <w:position w:val="0"/>
          <w:sz w:val="30"/>
          <w:szCs w:val="30"/>
          <w:highlight w:val="none"/>
        </w:rPr>
        <w:t>（六）拟委任的技术负责人资历表</w:t>
      </w:r>
    </w:p>
    <w:p w14:paraId="3796A7D8">
      <w:pPr>
        <w:spacing w:line="161" w:lineRule="exact"/>
        <w:rPr>
          <w:color w:val="auto"/>
          <w:spacing w:val="0"/>
          <w:w w:val="100"/>
          <w:position w:val="0"/>
          <w:highlight w:val="none"/>
        </w:rPr>
      </w:pPr>
    </w:p>
    <w:tbl>
      <w:tblPr>
        <w:tblStyle w:val="18"/>
        <w:tblW w:w="89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7"/>
        <w:gridCol w:w="1401"/>
        <w:gridCol w:w="1103"/>
        <w:gridCol w:w="1363"/>
        <w:gridCol w:w="331"/>
        <w:gridCol w:w="1259"/>
        <w:gridCol w:w="283"/>
        <w:gridCol w:w="1925"/>
      </w:tblGrid>
      <w:tr w14:paraId="6D9327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257" w:type="dxa"/>
            <w:vAlign w:val="top"/>
          </w:tcPr>
          <w:p w14:paraId="6AC3C298">
            <w:pPr>
              <w:pStyle w:val="19"/>
              <w:keepNext w:val="0"/>
              <w:keepLines w:val="0"/>
              <w:widowControl/>
              <w:suppressLineNumbers w:val="0"/>
              <w:spacing w:before="221" w:beforeAutospacing="0" w:after="0" w:afterAutospacing="0" w:line="221" w:lineRule="auto"/>
              <w:ind w:left="267" w:right="0"/>
              <w:rPr>
                <w:rFonts w:hint="default"/>
                <w:color w:val="auto"/>
                <w:spacing w:val="0"/>
                <w:w w:val="100"/>
                <w:position w:val="0"/>
                <w:highlight w:val="none"/>
              </w:rPr>
            </w:pPr>
            <w:r>
              <w:rPr>
                <w:rFonts w:hint="default"/>
                <w:color w:val="auto"/>
                <w:spacing w:val="0"/>
                <w:w w:val="100"/>
                <w:position w:val="0"/>
                <w:highlight w:val="none"/>
              </w:rPr>
              <w:t>姓   名</w:t>
            </w:r>
          </w:p>
        </w:tc>
        <w:tc>
          <w:tcPr>
            <w:tcW w:w="1401" w:type="dxa"/>
            <w:vAlign w:val="top"/>
          </w:tcPr>
          <w:p w14:paraId="6E446A8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3" w:type="dxa"/>
            <w:vAlign w:val="top"/>
          </w:tcPr>
          <w:p w14:paraId="2B9E4CD5">
            <w:pPr>
              <w:pStyle w:val="19"/>
              <w:keepNext w:val="0"/>
              <w:keepLines w:val="0"/>
              <w:widowControl/>
              <w:suppressLineNumbers w:val="0"/>
              <w:spacing w:before="221" w:beforeAutospacing="0" w:after="0" w:afterAutospacing="0" w:line="221" w:lineRule="auto"/>
              <w:ind w:left="190" w:right="0"/>
              <w:rPr>
                <w:rFonts w:hint="default"/>
                <w:color w:val="auto"/>
                <w:spacing w:val="0"/>
                <w:w w:val="100"/>
                <w:position w:val="0"/>
                <w:highlight w:val="none"/>
              </w:rPr>
            </w:pPr>
            <w:r>
              <w:rPr>
                <w:rFonts w:hint="default"/>
                <w:color w:val="auto"/>
                <w:spacing w:val="0"/>
                <w:w w:val="100"/>
                <w:position w:val="0"/>
                <w:highlight w:val="none"/>
              </w:rPr>
              <w:t>年   龄</w:t>
            </w:r>
          </w:p>
        </w:tc>
        <w:tc>
          <w:tcPr>
            <w:tcW w:w="1363" w:type="dxa"/>
            <w:vAlign w:val="top"/>
          </w:tcPr>
          <w:p w14:paraId="45A2770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90" w:type="dxa"/>
            <w:gridSpan w:val="2"/>
            <w:vAlign w:val="top"/>
          </w:tcPr>
          <w:p w14:paraId="2F91C615">
            <w:pPr>
              <w:pStyle w:val="19"/>
              <w:keepNext w:val="0"/>
              <w:keepLines w:val="0"/>
              <w:widowControl/>
              <w:suppressLineNumbers w:val="0"/>
              <w:spacing w:before="85" w:beforeAutospacing="0" w:after="0" w:afterAutospacing="0" w:line="242" w:lineRule="auto"/>
              <w:ind w:left="0" w:right="52"/>
              <w:jc w:val="center"/>
              <w:rPr>
                <w:rFonts w:hint="default"/>
                <w:color w:val="auto"/>
                <w:spacing w:val="0"/>
                <w:w w:val="100"/>
                <w:position w:val="0"/>
                <w:highlight w:val="none"/>
              </w:rPr>
            </w:pPr>
            <w:r>
              <w:rPr>
                <w:rFonts w:hint="default"/>
                <w:color w:val="auto"/>
                <w:spacing w:val="0"/>
                <w:w w:val="100"/>
                <w:position w:val="0"/>
                <w:highlight w:val="none"/>
              </w:rPr>
              <w:t>执业或职业资格证书名称</w:t>
            </w:r>
          </w:p>
        </w:tc>
        <w:tc>
          <w:tcPr>
            <w:tcW w:w="2208" w:type="dxa"/>
            <w:gridSpan w:val="2"/>
            <w:vAlign w:val="top"/>
          </w:tcPr>
          <w:p w14:paraId="20E4346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5BE5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257" w:type="dxa"/>
            <w:vAlign w:val="top"/>
          </w:tcPr>
          <w:p w14:paraId="0F2C7E64">
            <w:pPr>
              <w:pStyle w:val="19"/>
              <w:keepNext w:val="0"/>
              <w:keepLines w:val="0"/>
              <w:widowControl/>
              <w:suppressLineNumbers w:val="0"/>
              <w:spacing w:before="216" w:beforeAutospacing="0" w:after="0" w:afterAutospacing="0" w:line="221" w:lineRule="auto"/>
              <w:ind w:left="215" w:right="0"/>
              <w:rPr>
                <w:rFonts w:hint="default"/>
                <w:color w:val="auto"/>
                <w:spacing w:val="0"/>
                <w:w w:val="100"/>
                <w:position w:val="0"/>
                <w:highlight w:val="none"/>
              </w:rPr>
            </w:pPr>
            <w:r>
              <w:rPr>
                <w:rFonts w:hint="default"/>
                <w:color w:val="auto"/>
                <w:spacing w:val="0"/>
                <w:w w:val="100"/>
                <w:position w:val="0"/>
                <w:highlight w:val="none"/>
              </w:rPr>
              <w:t>技术职称</w:t>
            </w:r>
          </w:p>
        </w:tc>
        <w:tc>
          <w:tcPr>
            <w:tcW w:w="1401" w:type="dxa"/>
            <w:vAlign w:val="top"/>
          </w:tcPr>
          <w:p w14:paraId="4D77E0B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3" w:type="dxa"/>
            <w:vAlign w:val="top"/>
          </w:tcPr>
          <w:p w14:paraId="3E44280E">
            <w:pPr>
              <w:pStyle w:val="19"/>
              <w:keepNext w:val="0"/>
              <w:keepLines w:val="0"/>
              <w:widowControl/>
              <w:suppressLineNumbers w:val="0"/>
              <w:spacing w:before="217" w:beforeAutospacing="0" w:after="0" w:afterAutospacing="0" w:line="222" w:lineRule="auto"/>
              <w:ind w:left="193" w:right="0"/>
              <w:rPr>
                <w:rFonts w:hint="default"/>
                <w:color w:val="auto"/>
                <w:spacing w:val="0"/>
                <w:w w:val="100"/>
                <w:position w:val="0"/>
                <w:highlight w:val="none"/>
              </w:rPr>
            </w:pPr>
            <w:r>
              <w:rPr>
                <w:rFonts w:hint="default"/>
                <w:color w:val="auto"/>
                <w:spacing w:val="0"/>
                <w:w w:val="100"/>
                <w:position w:val="0"/>
                <w:highlight w:val="none"/>
              </w:rPr>
              <w:t>学   历</w:t>
            </w:r>
          </w:p>
        </w:tc>
        <w:tc>
          <w:tcPr>
            <w:tcW w:w="1363" w:type="dxa"/>
            <w:vAlign w:val="top"/>
          </w:tcPr>
          <w:p w14:paraId="252730A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90" w:type="dxa"/>
            <w:gridSpan w:val="2"/>
            <w:vAlign w:val="top"/>
          </w:tcPr>
          <w:p w14:paraId="1272AF60">
            <w:pPr>
              <w:pStyle w:val="19"/>
              <w:keepNext w:val="0"/>
              <w:keepLines w:val="0"/>
              <w:widowControl/>
              <w:suppressLineNumbers w:val="0"/>
              <w:spacing w:before="79" w:beforeAutospacing="0" w:after="0" w:afterAutospacing="0" w:line="243" w:lineRule="auto"/>
              <w:ind w:left="0" w:right="52"/>
              <w:jc w:val="center"/>
              <w:rPr>
                <w:rFonts w:hint="default"/>
                <w:color w:val="auto"/>
                <w:spacing w:val="0"/>
                <w:w w:val="100"/>
                <w:position w:val="0"/>
                <w:highlight w:val="none"/>
              </w:rPr>
            </w:pPr>
            <w:r>
              <w:rPr>
                <w:rFonts w:hint="default"/>
                <w:color w:val="auto"/>
                <w:spacing w:val="0"/>
                <w:w w:val="100"/>
                <w:position w:val="0"/>
                <w:highlight w:val="none"/>
              </w:rPr>
              <w:t>拟在本标段工程任职</w:t>
            </w:r>
          </w:p>
        </w:tc>
        <w:tc>
          <w:tcPr>
            <w:tcW w:w="2208" w:type="dxa"/>
            <w:gridSpan w:val="2"/>
            <w:vAlign w:val="top"/>
          </w:tcPr>
          <w:p w14:paraId="0ABD715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76479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257" w:type="dxa"/>
            <w:vAlign w:val="top"/>
          </w:tcPr>
          <w:p w14:paraId="4D264B8F">
            <w:pPr>
              <w:pStyle w:val="19"/>
              <w:keepNext w:val="0"/>
              <w:keepLines w:val="0"/>
              <w:widowControl/>
              <w:suppressLineNumbers w:val="0"/>
              <w:spacing w:before="216" w:beforeAutospacing="0" w:after="0" w:afterAutospacing="0" w:line="221" w:lineRule="auto"/>
              <w:ind w:left="216" w:right="0"/>
              <w:rPr>
                <w:rFonts w:hint="default"/>
                <w:color w:val="auto"/>
                <w:spacing w:val="0"/>
                <w:w w:val="100"/>
                <w:position w:val="0"/>
                <w:highlight w:val="none"/>
              </w:rPr>
            </w:pPr>
            <w:r>
              <w:rPr>
                <w:rFonts w:hint="default"/>
                <w:color w:val="auto"/>
                <w:spacing w:val="0"/>
                <w:w w:val="100"/>
                <w:position w:val="0"/>
                <w:highlight w:val="none"/>
              </w:rPr>
              <w:t>工作年限</w:t>
            </w:r>
          </w:p>
        </w:tc>
        <w:tc>
          <w:tcPr>
            <w:tcW w:w="3867" w:type="dxa"/>
            <w:gridSpan w:val="3"/>
            <w:vAlign w:val="top"/>
          </w:tcPr>
          <w:p w14:paraId="0E01250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90" w:type="dxa"/>
            <w:gridSpan w:val="2"/>
            <w:vAlign w:val="top"/>
          </w:tcPr>
          <w:p w14:paraId="1E63A688">
            <w:pPr>
              <w:pStyle w:val="19"/>
              <w:keepNext w:val="0"/>
              <w:keepLines w:val="0"/>
              <w:widowControl/>
              <w:suppressLineNumbers w:val="0"/>
              <w:spacing w:before="83" w:beforeAutospacing="0" w:after="0" w:afterAutospacing="0"/>
              <w:ind w:left="0" w:right="52"/>
              <w:jc w:val="center"/>
              <w:rPr>
                <w:rFonts w:hint="default"/>
                <w:color w:val="auto"/>
                <w:spacing w:val="0"/>
                <w:w w:val="100"/>
                <w:position w:val="0"/>
                <w:highlight w:val="none"/>
              </w:rPr>
            </w:pPr>
            <w:r>
              <w:rPr>
                <w:rFonts w:hint="default"/>
                <w:color w:val="auto"/>
                <w:spacing w:val="0"/>
                <w:w w:val="100"/>
                <w:position w:val="0"/>
                <w:highlight w:val="none"/>
              </w:rPr>
              <w:t>从事勘察设计工作年限</w:t>
            </w:r>
          </w:p>
        </w:tc>
        <w:tc>
          <w:tcPr>
            <w:tcW w:w="2208" w:type="dxa"/>
            <w:gridSpan w:val="2"/>
            <w:vAlign w:val="top"/>
          </w:tcPr>
          <w:p w14:paraId="12921BB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64056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257" w:type="dxa"/>
            <w:vAlign w:val="top"/>
          </w:tcPr>
          <w:p w14:paraId="5B974FB0">
            <w:pPr>
              <w:pStyle w:val="19"/>
              <w:keepNext w:val="0"/>
              <w:keepLines w:val="0"/>
              <w:widowControl/>
              <w:suppressLineNumbers w:val="0"/>
              <w:spacing w:before="224" w:beforeAutospacing="0" w:after="0" w:afterAutospacing="0" w:line="221" w:lineRule="auto"/>
              <w:ind w:left="218" w:right="0"/>
              <w:rPr>
                <w:rFonts w:hint="default"/>
                <w:color w:val="auto"/>
                <w:spacing w:val="0"/>
                <w:w w:val="100"/>
                <w:position w:val="0"/>
                <w:highlight w:val="none"/>
              </w:rPr>
            </w:pPr>
            <w:r>
              <w:rPr>
                <w:rFonts w:hint="default"/>
                <w:color w:val="auto"/>
                <w:spacing w:val="0"/>
                <w:w w:val="100"/>
                <w:position w:val="0"/>
                <w:highlight w:val="none"/>
              </w:rPr>
              <w:t>毕业学校</w:t>
            </w:r>
          </w:p>
        </w:tc>
        <w:tc>
          <w:tcPr>
            <w:tcW w:w="7665" w:type="dxa"/>
            <w:gridSpan w:val="7"/>
            <w:vAlign w:val="top"/>
          </w:tcPr>
          <w:p w14:paraId="01C97DA2">
            <w:pPr>
              <w:pStyle w:val="19"/>
              <w:keepNext w:val="0"/>
              <w:keepLines w:val="0"/>
              <w:widowControl/>
              <w:suppressLineNumbers w:val="0"/>
              <w:tabs>
                <w:tab w:val="left" w:pos="1368"/>
              </w:tabs>
              <w:spacing w:before="88" w:beforeAutospacing="0" w:after="0" w:afterAutospacing="0" w:line="243" w:lineRule="auto"/>
              <w:ind w:left="57" w:right="49" w:hanging="12"/>
              <w:rPr>
                <w:rFonts w:hint="default"/>
                <w:color w:val="auto"/>
                <w:spacing w:val="0"/>
                <w:w w:val="100"/>
                <w:position w:val="0"/>
                <w:highlight w:val="none"/>
              </w:rPr>
            </w:pPr>
            <w:r>
              <w:rPr>
                <w:rFonts w:hint="default"/>
                <w:color w:val="auto"/>
                <w:spacing w:val="0"/>
                <w:w w:val="100"/>
                <w:position w:val="0"/>
                <w:highlight w:val="none"/>
                <w:u w:val="single" w:color="auto"/>
              </w:rPr>
              <w:tab/>
            </w:r>
            <w:r>
              <w:rPr>
                <w:rFonts w:hint="default"/>
                <w:color w:val="auto"/>
                <w:spacing w:val="0"/>
                <w:w w:val="100"/>
                <w:position w:val="0"/>
                <w:highlight w:val="none"/>
                <w:u w:val="single" w:color="auto"/>
              </w:rPr>
              <w:tab/>
            </w:r>
            <w:r>
              <w:rPr>
                <w:rFonts w:hint="default"/>
                <w:color w:val="auto"/>
                <w:spacing w:val="0"/>
                <w:w w:val="100"/>
                <w:position w:val="0"/>
                <w:highlight w:val="none"/>
              </w:rPr>
              <w:t xml:space="preserve"> 年 </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月 毕 业 于 </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学校 </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专业，学制</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年</w:t>
            </w:r>
          </w:p>
        </w:tc>
      </w:tr>
      <w:tr w14:paraId="2E0B7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922" w:type="dxa"/>
            <w:gridSpan w:val="8"/>
            <w:vAlign w:val="top"/>
          </w:tcPr>
          <w:p w14:paraId="2B592349">
            <w:pPr>
              <w:pStyle w:val="19"/>
              <w:keepNext w:val="0"/>
              <w:keepLines w:val="0"/>
              <w:widowControl/>
              <w:suppressLineNumbers w:val="0"/>
              <w:spacing w:before="170" w:beforeAutospacing="0" w:after="0" w:afterAutospacing="0" w:line="223" w:lineRule="auto"/>
              <w:ind w:left="3430" w:right="0"/>
              <w:rPr>
                <w:rFonts w:hint="default"/>
                <w:color w:val="auto"/>
                <w:spacing w:val="0"/>
                <w:w w:val="100"/>
                <w:position w:val="0"/>
                <w:highlight w:val="none"/>
              </w:rPr>
            </w:pPr>
            <w:r>
              <w:rPr>
                <w:rFonts w:hint="default"/>
                <w:color w:val="auto"/>
                <w:spacing w:val="0"/>
                <w:w w:val="100"/>
                <w:position w:val="0"/>
                <w:highlight w:val="none"/>
              </w:rPr>
              <w:t>经           历</w:t>
            </w:r>
          </w:p>
        </w:tc>
      </w:tr>
      <w:tr w14:paraId="36ACF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257" w:type="dxa"/>
            <w:vAlign w:val="top"/>
          </w:tcPr>
          <w:p w14:paraId="072A7912">
            <w:pPr>
              <w:pStyle w:val="19"/>
              <w:keepNext w:val="0"/>
              <w:keepLines w:val="0"/>
              <w:widowControl/>
              <w:suppressLineNumbers w:val="0"/>
              <w:spacing w:before="218" w:beforeAutospacing="0" w:after="0" w:afterAutospacing="0" w:line="223" w:lineRule="auto"/>
              <w:ind w:left="433" w:right="0"/>
              <w:rPr>
                <w:rFonts w:hint="default"/>
                <w:color w:val="auto"/>
                <w:spacing w:val="0"/>
                <w:w w:val="100"/>
                <w:position w:val="0"/>
                <w:highlight w:val="none"/>
              </w:rPr>
            </w:pPr>
            <w:r>
              <w:rPr>
                <w:rFonts w:hint="default"/>
                <w:color w:val="auto"/>
                <w:spacing w:val="0"/>
                <w:w w:val="100"/>
                <w:position w:val="0"/>
                <w:highlight w:val="none"/>
              </w:rPr>
              <w:t>时间</w:t>
            </w:r>
          </w:p>
        </w:tc>
        <w:tc>
          <w:tcPr>
            <w:tcW w:w="4198" w:type="dxa"/>
            <w:gridSpan w:val="4"/>
            <w:vAlign w:val="top"/>
          </w:tcPr>
          <w:p w14:paraId="1EA15DEF">
            <w:pPr>
              <w:pStyle w:val="19"/>
              <w:keepNext w:val="0"/>
              <w:keepLines w:val="0"/>
              <w:widowControl/>
              <w:suppressLineNumbers w:val="0"/>
              <w:spacing w:before="217" w:beforeAutospacing="0" w:after="0" w:afterAutospacing="0" w:line="221" w:lineRule="auto"/>
              <w:ind w:left="843" w:right="0"/>
              <w:rPr>
                <w:rFonts w:hint="default"/>
                <w:color w:val="auto"/>
                <w:spacing w:val="0"/>
                <w:w w:val="100"/>
                <w:position w:val="0"/>
                <w:highlight w:val="none"/>
              </w:rPr>
            </w:pPr>
            <w:r>
              <w:rPr>
                <w:rFonts w:hint="default"/>
                <w:color w:val="auto"/>
                <w:spacing w:val="0"/>
                <w:w w:val="100"/>
                <w:position w:val="0"/>
                <w:highlight w:val="none"/>
              </w:rPr>
              <w:t>参加过的类似工程项目名称</w:t>
            </w:r>
          </w:p>
        </w:tc>
        <w:tc>
          <w:tcPr>
            <w:tcW w:w="1542" w:type="dxa"/>
            <w:gridSpan w:val="2"/>
            <w:vAlign w:val="top"/>
          </w:tcPr>
          <w:p w14:paraId="0A8A7BE9">
            <w:pPr>
              <w:pStyle w:val="19"/>
              <w:keepNext w:val="0"/>
              <w:keepLines w:val="0"/>
              <w:widowControl/>
              <w:suppressLineNumbers w:val="0"/>
              <w:spacing w:before="217" w:beforeAutospacing="0" w:after="0" w:afterAutospacing="0" w:line="221" w:lineRule="auto"/>
              <w:ind w:left="358" w:right="0"/>
              <w:rPr>
                <w:rFonts w:hint="default"/>
                <w:color w:val="auto"/>
                <w:spacing w:val="0"/>
                <w:w w:val="100"/>
                <w:position w:val="0"/>
                <w:highlight w:val="none"/>
              </w:rPr>
            </w:pPr>
            <w:r>
              <w:rPr>
                <w:rFonts w:hint="default"/>
                <w:color w:val="auto"/>
                <w:spacing w:val="0"/>
                <w:w w:val="100"/>
                <w:position w:val="0"/>
                <w:highlight w:val="none"/>
              </w:rPr>
              <w:t>担任职务</w:t>
            </w:r>
          </w:p>
        </w:tc>
        <w:tc>
          <w:tcPr>
            <w:tcW w:w="1925" w:type="dxa"/>
            <w:vAlign w:val="top"/>
          </w:tcPr>
          <w:p w14:paraId="41CFE359">
            <w:pPr>
              <w:pStyle w:val="19"/>
              <w:keepNext w:val="0"/>
              <w:keepLines w:val="0"/>
              <w:widowControl/>
              <w:suppressLineNumbers w:val="0"/>
              <w:spacing w:before="81" w:beforeAutospacing="0" w:after="0" w:afterAutospacing="0" w:line="221" w:lineRule="auto"/>
              <w:ind w:left="88" w:right="0"/>
              <w:rPr>
                <w:rFonts w:hint="default"/>
                <w:color w:val="auto"/>
                <w:spacing w:val="0"/>
                <w:w w:val="100"/>
                <w:position w:val="0"/>
                <w:highlight w:val="none"/>
              </w:rPr>
            </w:pPr>
            <w:r>
              <w:rPr>
                <w:rFonts w:hint="default"/>
                <w:color w:val="auto"/>
                <w:spacing w:val="0"/>
                <w:w w:val="100"/>
                <w:position w:val="0"/>
                <w:highlight w:val="none"/>
              </w:rPr>
              <w:t>发包人及联系</w:t>
            </w:r>
          </w:p>
          <w:p w14:paraId="7C5144B4">
            <w:pPr>
              <w:pStyle w:val="19"/>
              <w:keepNext w:val="0"/>
              <w:keepLines w:val="0"/>
              <w:widowControl/>
              <w:suppressLineNumbers w:val="0"/>
              <w:spacing w:before="21" w:beforeAutospacing="0" w:after="0" w:afterAutospacing="0" w:line="223" w:lineRule="auto"/>
              <w:ind w:left="530" w:right="0"/>
              <w:rPr>
                <w:rFonts w:hint="default"/>
                <w:color w:val="auto"/>
                <w:spacing w:val="0"/>
                <w:w w:val="100"/>
                <w:position w:val="0"/>
                <w:highlight w:val="none"/>
              </w:rPr>
            </w:pPr>
            <w:r>
              <w:rPr>
                <w:rFonts w:hint="default"/>
                <w:color w:val="auto"/>
                <w:spacing w:val="0"/>
                <w:w w:val="100"/>
                <w:position w:val="0"/>
                <w:highlight w:val="none"/>
              </w:rPr>
              <w:t>电话</w:t>
            </w:r>
          </w:p>
        </w:tc>
      </w:tr>
      <w:tr w14:paraId="77429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257" w:type="dxa"/>
            <w:vAlign w:val="top"/>
          </w:tcPr>
          <w:p w14:paraId="187D330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465F212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6AD5D56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25" w:type="dxa"/>
            <w:vAlign w:val="top"/>
          </w:tcPr>
          <w:p w14:paraId="361DC93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5135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1257" w:type="dxa"/>
            <w:vAlign w:val="top"/>
          </w:tcPr>
          <w:p w14:paraId="42A3C04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18C56B4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52E3744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25" w:type="dxa"/>
            <w:vAlign w:val="top"/>
          </w:tcPr>
          <w:p w14:paraId="723165C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52ED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257" w:type="dxa"/>
            <w:vAlign w:val="top"/>
          </w:tcPr>
          <w:p w14:paraId="26479CD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642E7D0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653F87F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25" w:type="dxa"/>
            <w:vAlign w:val="top"/>
          </w:tcPr>
          <w:p w14:paraId="3FD8974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531A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257" w:type="dxa"/>
            <w:vAlign w:val="top"/>
          </w:tcPr>
          <w:p w14:paraId="01205A2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16169A1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523E88B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25" w:type="dxa"/>
            <w:vAlign w:val="top"/>
          </w:tcPr>
          <w:p w14:paraId="0FC5E21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0919F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257" w:type="dxa"/>
            <w:vAlign w:val="top"/>
          </w:tcPr>
          <w:p w14:paraId="1D4C9AA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000F770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6BCFB63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25" w:type="dxa"/>
            <w:vAlign w:val="top"/>
          </w:tcPr>
          <w:p w14:paraId="0ECADDB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3E69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257" w:type="dxa"/>
            <w:vAlign w:val="top"/>
          </w:tcPr>
          <w:p w14:paraId="3C25690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3DF12B0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03D64BD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25" w:type="dxa"/>
            <w:vAlign w:val="top"/>
          </w:tcPr>
          <w:p w14:paraId="7C7968A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AC83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2658" w:type="dxa"/>
            <w:gridSpan w:val="2"/>
            <w:vAlign w:val="top"/>
          </w:tcPr>
          <w:p w14:paraId="28ADF77D">
            <w:pPr>
              <w:pStyle w:val="19"/>
              <w:keepNext w:val="0"/>
              <w:keepLines w:val="0"/>
              <w:widowControl/>
              <w:suppressLineNumbers w:val="0"/>
              <w:spacing w:before="276" w:beforeAutospacing="0" w:after="0" w:afterAutospacing="0" w:line="221" w:lineRule="auto"/>
              <w:ind w:left="918" w:right="0"/>
              <w:rPr>
                <w:rFonts w:hint="default"/>
                <w:color w:val="auto"/>
                <w:spacing w:val="0"/>
                <w:w w:val="100"/>
                <w:position w:val="0"/>
                <w:highlight w:val="none"/>
              </w:rPr>
            </w:pPr>
            <w:r>
              <w:rPr>
                <w:rFonts w:hint="default"/>
                <w:color w:val="auto"/>
                <w:spacing w:val="0"/>
                <w:w w:val="100"/>
                <w:position w:val="0"/>
                <w:highlight w:val="none"/>
              </w:rPr>
              <w:t>获奖情况</w:t>
            </w:r>
          </w:p>
        </w:tc>
        <w:tc>
          <w:tcPr>
            <w:tcW w:w="6264" w:type="dxa"/>
            <w:gridSpan w:val="6"/>
            <w:vAlign w:val="top"/>
          </w:tcPr>
          <w:p w14:paraId="406C22B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4D81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2658" w:type="dxa"/>
            <w:gridSpan w:val="2"/>
            <w:vAlign w:val="top"/>
          </w:tcPr>
          <w:p w14:paraId="54A022BC">
            <w:pPr>
              <w:pStyle w:val="19"/>
              <w:keepNext w:val="0"/>
              <w:keepLines w:val="0"/>
              <w:widowControl/>
              <w:suppressLineNumbers w:val="0"/>
              <w:spacing w:before="245" w:beforeAutospacing="0" w:after="0" w:afterAutospacing="0" w:line="221" w:lineRule="auto"/>
              <w:ind w:left="638" w:right="0"/>
              <w:rPr>
                <w:rFonts w:hint="default"/>
                <w:color w:val="auto"/>
                <w:spacing w:val="0"/>
                <w:w w:val="100"/>
                <w:position w:val="0"/>
                <w:highlight w:val="none"/>
              </w:rPr>
            </w:pPr>
            <w:r>
              <w:rPr>
                <w:rFonts w:hint="default"/>
                <w:color w:val="auto"/>
                <w:spacing w:val="0"/>
                <w:w w:val="100"/>
                <w:position w:val="0"/>
                <w:highlight w:val="none"/>
              </w:rPr>
              <w:t>目前承担的任务</w:t>
            </w:r>
          </w:p>
        </w:tc>
        <w:tc>
          <w:tcPr>
            <w:tcW w:w="6264" w:type="dxa"/>
            <w:gridSpan w:val="6"/>
            <w:vAlign w:val="top"/>
          </w:tcPr>
          <w:p w14:paraId="0689C2F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FD08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658" w:type="dxa"/>
            <w:gridSpan w:val="2"/>
            <w:vAlign w:val="top"/>
          </w:tcPr>
          <w:p w14:paraId="411FBF2A">
            <w:pPr>
              <w:pStyle w:val="19"/>
              <w:keepNext w:val="0"/>
              <w:keepLines w:val="0"/>
              <w:widowControl/>
              <w:suppressLineNumbers w:val="0"/>
              <w:spacing w:before="251" w:beforeAutospacing="0" w:after="0" w:afterAutospacing="0" w:line="222" w:lineRule="auto"/>
              <w:ind w:left="970" w:right="0"/>
              <w:rPr>
                <w:rFonts w:hint="default"/>
                <w:color w:val="auto"/>
                <w:spacing w:val="0"/>
                <w:w w:val="100"/>
                <w:position w:val="0"/>
                <w:highlight w:val="none"/>
              </w:rPr>
            </w:pPr>
            <w:r>
              <w:rPr>
                <w:rFonts w:hint="default"/>
                <w:color w:val="auto"/>
                <w:spacing w:val="0"/>
                <w:w w:val="100"/>
                <w:position w:val="0"/>
                <w:highlight w:val="none"/>
              </w:rPr>
              <w:t>备   注</w:t>
            </w:r>
          </w:p>
        </w:tc>
        <w:tc>
          <w:tcPr>
            <w:tcW w:w="6264" w:type="dxa"/>
            <w:gridSpan w:val="6"/>
            <w:vAlign w:val="top"/>
          </w:tcPr>
          <w:p w14:paraId="4B5261E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5F36E428">
      <w:pPr>
        <w:rPr>
          <w:rFonts w:ascii="Arial"/>
          <w:color w:val="auto"/>
          <w:spacing w:val="0"/>
          <w:w w:val="100"/>
          <w:position w:val="0"/>
          <w:sz w:val="21"/>
          <w:highlight w:val="none"/>
        </w:rPr>
      </w:pPr>
    </w:p>
    <w:p w14:paraId="01B45E0B">
      <w:pPr>
        <w:rPr>
          <w:rFonts w:hint="eastAsia" w:ascii="Arial" w:hAnsi="Arial" w:eastAsia="Arial" w:cs="Arial"/>
          <w:color w:val="auto"/>
          <w:spacing w:val="0"/>
          <w:w w:val="100"/>
          <w:position w:val="0"/>
          <w:sz w:val="21"/>
          <w:szCs w:val="21"/>
          <w:highlight w:val="none"/>
        </w:rPr>
      </w:pPr>
      <w:r>
        <w:rPr>
          <w:rFonts w:hint="eastAsia" w:ascii="Arial" w:hAnsi="Arial" w:eastAsia="Arial" w:cs="Arial"/>
          <w:color w:val="auto"/>
          <w:spacing w:val="0"/>
          <w:w w:val="100"/>
          <w:position w:val="0"/>
          <w:sz w:val="21"/>
          <w:szCs w:val="21"/>
          <w:highlight w:val="none"/>
        </w:rPr>
        <w:t>注：1.本表应填写技术负责人相关情况。</w:t>
      </w:r>
    </w:p>
    <w:p w14:paraId="5C18FF57">
      <w:pPr>
        <w:rPr>
          <w:rFonts w:ascii="Arial" w:hAnsi="Arial" w:eastAsia="Arial" w:cs="Arial"/>
          <w:color w:val="auto"/>
          <w:spacing w:val="0"/>
          <w:w w:val="100"/>
          <w:position w:val="0"/>
          <w:sz w:val="21"/>
          <w:szCs w:val="21"/>
          <w:highlight w:val="none"/>
        </w:rPr>
        <w:sectPr>
          <w:footerReference r:id="rId78" w:type="default"/>
          <w:pgSz w:w="11900" w:h="16843"/>
          <w:pgMar w:top="1378" w:right="1417" w:bottom="1208" w:left="1417" w:header="1366" w:footer="1003" w:gutter="0"/>
          <w:pgNumType w:fmt="decimal"/>
          <w:cols w:space="0" w:num="1"/>
          <w:rtlGutter w:val="0"/>
          <w:docGrid w:linePitch="0" w:charSpace="0"/>
        </w:sectPr>
      </w:pPr>
      <w:r>
        <w:rPr>
          <w:rFonts w:hint="eastAsia" w:ascii="Arial" w:hAnsi="Arial" w:eastAsia="Arial" w:cs="Arial"/>
          <w:b/>
          <w:bCs/>
          <w:color w:val="auto"/>
          <w:spacing w:val="0"/>
          <w:w w:val="100"/>
          <w:position w:val="0"/>
          <w:sz w:val="21"/>
          <w:szCs w:val="21"/>
          <w:highlight w:val="none"/>
        </w:rPr>
        <w:t>2.投标人应根据招标文件第二章“投标人须知”附录4的要求在本表后附相关证明材料。</w:t>
      </w:r>
    </w:p>
    <w:p w14:paraId="056CAE91">
      <w:pPr>
        <w:pStyle w:val="6"/>
        <w:spacing w:before="107" w:line="232" w:lineRule="auto"/>
        <w:jc w:val="center"/>
        <w:outlineLvl w:val="3"/>
        <w:rPr>
          <w:color w:val="auto"/>
          <w:spacing w:val="0"/>
          <w:w w:val="100"/>
          <w:position w:val="0"/>
          <w:sz w:val="30"/>
          <w:szCs w:val="30"/>
          <w:highlight w:val="none"/>
        </w:rPr>
      </w:pPr>
      <w:r>
        <w:rPr>
          <w:b/>
          <w:bCs/>
          <w:color w:val="auto"/>
          <w:spacing w:val="0"/>
          <w:w w:val="100"/>
          <w:position w:val="0"/>
          <w:sz w:val="30"/>
          <w:szCs w:val="30"/>
          <w:highlight w:val="none"/>
        </w:rPr>
        <w:t>（七）拟委任的地勘监理负责人资历表（本项目无需填写）</w:t>
      </w:r>
    </w:p>
    <w:p w14:paraId="3E286511">
      <w:pPr>
        <w:spacing w:line="161" w:lineRule="exact"/>
        <w:rPr>
          <w:color w:val="auto"/>
          <w:spacing w:val="0"/>
          <w:w w:val="100"/>
          <w:position w:val="0"/>
          <w:highlight w:val="none"/>
        </w:rPr>
      </w:pPr>
    </w:p>
    <w:tbl>
      <w:tblPr>
        <w:tblStyle w:val="18"/>
        <w:tblW w:w="90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7"/>
        <w:gridCol w:w="1401"/>
        <w:gridCol w:w="1103"/>
        <w:gridCol w:w="1363"/>
        <w:gridCol w:w="331"/>
        <w:gridCol w:w="1259"/>
        <w:gridCol w:w="283"/>
        <w:gridCol w:w="2020"/>
      </w:tblGrid>
      <w:tr w14:paraId="15E11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257" w:type="dxa"/>
            <w:vAlign w:val="top"/>
          </w:tcPr>
          <w:p w14:paraId="14D819B5">
            <w:pPr>
              <w:pStyle w:val="19"/>
              <w:keepNext w:val="0"/>
              <w:keepLines w:val="0"/>
              <w:widowControl/>
              <w:suppressLineNumbers w:val="0"/>
              <w:spacing w:before="221" w:beforeAutospacing="0" w:after="0" w:afterAutospacing="0" w:line="221" w:lineRule="auto"/>
              <w:ind w:left="267" w:right="0"/>
              <w:rPr>
                <w:rFonts w:hint="default"/>
                <w:color w:val="auto"/>
                <w:spacing w:val="0"/>
                <w:w w:val="100"/>
                <w:position w:val="0"/>
                <w:highlight w:val="none"/>
              </w:rPr>
            </w:pPr>
            <w:r>
              <w:rPr>
                <w:rFonts w:hint="default"/>
                <w:color w:val="auto"/>
                <w:spacing w:val="0"/>
                <w:w w:val="100"/>
                <w:position w:val="0"/>
                <w:highlight w:val="none"/>
              </w:rPr>
              <w:t>姓   名</w:t>
            </w:r>
          </w:p>
        </w:tc>
        <w:tc>
          <w:tcPr>
            <w:tcW w:w="1401" w:type="dxa"/>
            <w:vAlign w:val="top"/>
          </w:tcPr>
          <w:p w14:paraId="1A3B9AB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3" w:type="dxa"/>
            <w:vAlign w:val="top"/>
          </w:tcPr>
          <w:p w14:paraId="2551B4A0">
            <w:pPr>
              <w:pStyle w:val="19"/>
              <w:keepNext w:val="0"/>
              <w:keepLines w:val="0"/>
              <w:widowControl/>
              <w:suppressLineNumbers w:val="0"/>
              <w:spacing w:before="221" w:beforeAutospacing="0" w:after="0" w:afterAutospacing="0" w:line="221" w:lineRule="auto"/>
              <w:ind w:left="190" w:right="0"/>
              <w:rPr>
                <w:rFonts w:hint="default"/>
                <w:color w:val="auto"/>
                <w:spacing w:val="0"/>
                <w:w w:val="100"/>
                <w:position w:val="0"/>
                <w:highlight w:val="none"/>
              </w:rPr>
            </w:pPr>
            <w:r>
              <w:rPr>
                <w:rFonts w:hint="default"/>
                <w:color w:val="auto"/>
                <w:spacing w:val="0"/>
                <w:w w:val="100"/>
                <w:position w:val="0"/>
                <w:highlight w:val="none"/>
              </w:rPr>
              <w:t>年   龄</w:t>
            </w:r>
          </w:p>
        </w:tc>
        <w:tc>
          <w:tcPr>
            <w:tcW w:w="1363" w:type="dxa"/>
            <w:vAlign w:val="top"/>
          </w:tcPr>
          <w:p w14:paraId="77A399B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90" w:type="dxa"/>
            <w:gridSpan w:val="2"/>
            <w:vAlign w:val="top"/>
          </w:tcPr>
          <w:p w14:paraId="5B15BD9F">
            <w:pPr>
              <w:pStyle w:val="19"/>
              <w:keepNext w:val="0"/>
              <w:keepLines w:val="0"/>
              <w:widowControl/>
              <w:suppressLineNumbers w:val="0"/>
              <w:spacing w:before="87" w:beforeAutospacing="0" w:after="0" w:afterAutospacing="0"/>
              <w:ind w:left="0" w:right="52"/>
              <w:jc w:val="center"/>
              <w:rPr>
                <w:rFonts w:hint="default"/>
                <w:color w:val="auto"/>
                <w:spacing w:val="0"/>
                <w:w w:val="100"/>
                <w:position w:val="0"/>
                <w:highlight w:val="none"/>
              </w:rPr>
            </w:pPr>
            <w:r>
              <w:rPr>
                <w:rFonts w:hint="default"/>
                <w:color w:val="auto"/>
                <w:spacing w:val="0"/>
                <w:w w:val="100"/>
                <w:position w:val="0"/>
                <w:highlight w:val="none"/>
              </w:rPr>
              <w:t>执业或职业资格证书名称</w:t>
            </w:r>
          </w:p>
        </w:tc>
        <w:tc>
          <w:tcPr>
            <w:tcW w:w="2303" w:type="dxa"/>
            <w:gridSpan w:val="2"/>
            <w:vAlign w:val="top"/>
          </w:tcPr>
          <w:p w14:paraId="6D9C187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83E2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257" w:type="dxa"/>
            <w:vAlign w:val="top"/>
          </w:tcPr>
          <w:p w14:paraId="48E967F8">
            <w:pPr>
              <w:pStyle w:val="19"/>
              <w:keepNext w:val="0"/>
              <w:keepLines w:val="0"/>
              <w:widowControl/>
              <w:suppressLineNumbers w:val="0"/>
              <w:spacing w:before="216" w:beforeAutospacing="0" w:after="0" w:afterAutospacing="0" w:line="221" w:lineRule="auto"/>
              <w:ind w:left="215" w:right="0"/>
              <w:rPr>
                <w:rFonts w:hint="default"/>
                <w:color w:val="auto"/>
                <w:spacing w:val="0"/>
                <w:w w:val="100"/>
                <w:position w:val="0"/>
                <w:highlight w:val="none"/>
              </w:rPr>
            </w:pPr>
            <w:r>
              <w:rPr>
                <w:rFonts w:hint="default"/>
                <w:color w:val="auto"/>
                <w:spacing w:val="0"/>
                <w:w w:val="100"/>
                <w:position w:val="0"/>
                <w:highlight w:val="none"/>
              </w:rPr>
              <w:t>技术职称</w:t>
            </w:r>
          </w:p>
        </w:tc>
        <w:tc>
          <w:tcPr>
            <w:tcW w:w="1401" w:type="dxa"/>
            <w:vAlign w:val="top"/>
          </w:tcPr>
          <w:p w14:paraId="3605745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3" w:type="dxa"/>
            <w:vAlign w:val="top"/>
          </w:tcPr>
          <w:p w14:paraId="1383D4DA">
            <w:pPr>
              <w:pStyle w:val="19"/>
              <w:keepNext w:val="0"/>
              <w:keepLines w:val="0"/>
              <w:widowControl/>
              <w:suppressLineNumbers w:val="0"/>
              <w:spacing w:before="217" w:beforeAutospacing="0" w:after="0" w:afterAutospacing="0" w:line="222" w:lineRule="auto"/>
              <w:ind w:left="193" w:right="0"/>
              <w:rPr>
                <w:rFonts w:hint="default"/>
                <w:color w:val="auto"/>
                <w:spacing w:val="0"/>
                <w:w w:val="100"/>
                <w:position w:val="0"/>
                <w:highlight w:val="none"/>
              </w:rPr>
            </w:pPr>
            <w:r>
              <w:rPr>
                <w:rFonts w:hint="default"/>
                <w:color w:val="auto"/>
                <w:spacing w:val="0"/>
                <w:w w:val="100"/>
                <w:position w:val="0"/>
                <w:highlight w:val="none"/>
              </w:rPr>
              <w:t>学   历</w:t>
            </w:r>
          </w:p>
        </w:tc>
        <w:tc>
          <w:tcPr>
            <w:tcW w:w="1363" w:type="dxa"/>
            <w:vAlign w:val="top"/>
          </w:tcPr>
          <w:p w14:paraId="35ED14F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90" w:type="dxa"/>
            <w:gridSpan w:val="2"/>
            <w:vAlign w:val="top"/>
          </w:tcPr>
          <w:p w14:paraId="2D2D8300">
            <w:pPr>
              <w:pStyle w:val="19"/>
              <w:keepNext w:val="0"/>
              <w:keepLines w:val="0"/>
              <w:widowControl/>
              <w:suppressLineNumbers w:val="0"/>
              <w:spacing w:before="79" w:beforeAutospacing="0" w:after="0" w:afterAutospacing="0" w:line="243" w:lineRule="auto"/>
              <w:ind w:left="0" w:right="52"/>
              <w:jc w:val="center"/>
              <w:rPr>
                <w:rFonts w:hint="default"/>
                <w:color w:val="auto"/>
                <w:spacing w:val="0"/>
                <w:w w:val="100"/>
                <w:position w:val="0"/>
                <w:highlight w:val="none"/>
              </w:rPr>
            </w:pPr>
            <w:r>
              <w:rPr>
                <w:rFonts w:hint="default"/>
                <w:color w:val="auto"/>
                <w:spacing w:val="0"/>
                <w:w w:val="100"/>
                <w:position w:val="0"/>
                <w:highlight w:val="none"/>
              </w:rPr>
              <w:t>拟在本标段工程任职</w:t>
            </w:r>
          </w:p>
        </w:tc>
        <w:tc>
          <w:tcPr>
            <w:tcW w:w="2303" w:type="dxa"/>
            <w:gridSpan w:val="2"/>
            <w:vAlign w:val="top"/>
          </w:tcPr>
          <w:p w14:paraId="66436DF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01F9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257" w:type="dxa"/>
            <w:vAlign w:val="top"/>
          </w:tcPr>
          <w:p w14:paraId="3159C8B2">
            <w:pPr>
              <w:pStyle w:val="19"/>
              <w:keepNext w:val="0"/>
              <w:keepLines w:val="0"/>
              <w:widowControl/>
              <w:suppressLineNumbers w:val="0"/>
              <w:spacing w:before="219" w:beforeAutospacing="0" w:after="0" w:afterAutospacing="0" w:line="221" w:lineRule="auto"/>
              <w:ind w:left="216" w:right="0"/>
              <w:rPr>
                <w:rFonts w:hint="default"/>
                <w:color w:val="auto"/>
                <w:spacing w:val="0"/>
                <w:w w:val="100"/>
                <w:position w:val="0"/>
                <w:highlight w:val="none"/>
              </w:rPr>
            </w:pPr>
            <w:r>
              <w:rPr>
                <w:rFonts w:hint="default"/>
                <w:color w:val="auto"/>
                <w:spacing w:val="0"/>
                <w:w w:val="100"/>
                <w:position w:val="0"/>
                <w:highlight w:val="none"/>
              </w:rPr>
              <w:t>工作年限</w:t>
            </w:r>
          </w:p>
        </w:tc>
        <w:tc>
          <w:tcPr>
            <w:tcW w:w="3867" w:type="dxa"/>
            <w:gridSpan w:val="3"/>
            <w:vAlign w:val="top"/>
          </w:tcPr>
          <w:p w14:paraId="55776C0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90" w:type="dxa"/>
            <w:gridSpan w:val="2"/>
            <w:vAlign w:val="top"/>
          </w:tcPr>
          <w:p w14:paraId="37DF4824">
            <w:pPr>
              <w:pStyle w:val="19"/>
              <w:keepNext w:val="0"/>
              <w:keepLines w:val="0"/>
              <w:widowControl/>
              <w:suppressLineNumbers w:val="0"/>
              <w:spacing w:before="83" w:beforeAutospacing="0" w:after="0" w:afterAutospacing="0"/>
              <w:ind w:left="0" w:right="52"/>
              <w:jc w:val="center"/>
              <w:rPr>
                <w:rFonts w:hint="default"/>
                <w:color w:val="auto"/>
                <w:spacing w:val="0"/>
                <w:w w:val="100"/>
                <w:position w:val="0"/>
                <w:highlight w:val="none"/>
              </w:rPr>
            </w:pPr>
            <w:r>
              <w:rPr>
                <w:rFonts w:hint="default"/>
                <w:color w:val="auto"/>
                <w:spacing w:val="0"/>
                <w:w w:val="100"/>
                <w:position w:val="0"/>
                <w:highlight w:val="none"/>
              </w:rPr>
              <w:t>从事勘察设计工作年限</w:t>
            </w:r>
          </w:p>
        </w:tc>
        <w:tc>
          <w:tcPr>
            <w:tcW w:w="2303" w:type="dxa"/>
            <w:gridSpan w:val="2"/>
            <w:vAlign w:val="top"/>
          </w:tcPr>
          <w:p w14:paraId="5570B7A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ABFE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257" w:type="dxa"/>
            <w:vAlign w:val="top"/>
          </w:tcPr>
          <w:p w14:paraId="754ED151">
            <w:pPr>
              <w:pStyle w:val="19"/>
              <w:keepNext w:val="0"/>
              <w:keepLines w:val="0"/>
              <w:widowControl/>
              <w:suppressLineNumbers w:val="0"/>
              <w:spacing w:before="224" w:beforeAutospacing="0" w:after="0" w:afterAutospacing="0" w:line="221" w:lineRule="auto"/>
              <w:ind w:left="218" w:right="0"/>
              <w:rPr>
                <w:rFonts w:hint="default"/>
                <w:color w:val="auto"/>
                <w:spacing w:val="0"/>
                <w:w w:val="100"/>
                <w:position w:val="0"/>
                <w:highlight w:val="none"/>
              </w:rPr>
            </w:pPr>
            <w:r>
              <w:rPr>
                <w:rFonts w:hint="default"/>
                <w:color w:val="auto"/>
                <w:spacing w:val="0"/>
                <w:w w:val="100"/>
                <w:position w:val="0"/>
                <w:highlight w:val="none"/>
              </w:rPr>
              <w:t>毕业学校</w:t>
            </w:r>
          </w:p>
        </w:tc>
        <w:tc>
          <w:tcPr>
            <w:tcW w:w="7760" w:type="dxa"/>
            <w:gridSpan w:val="7"/>
            <w:vAlign w:val="top"/>
          </w:tcPr>
          <w:p w14:paraId="609DC50E">
            <w:pPr>
              <w:pStyle w:val="19"/>
              <w:keepNext w:val="0"/>
              <w:keepLines w:val="0"/>
              <w:widowControl/>
              <w:suppressLineNumbers w:val="0"/>
              <w:tabs>
                <w:tab w:val="left" w:pos="1368"/>
              </w:tabs>
              <w:spacing w:before="87" w:beforeAutospacing="0" w:after="0" w:afterAutospacing="0" w:line="243" w:lineRule="auto"/>
              <w:ind w:left="57" w:right="49" w:hanging="12"/>
              <w:rPr>
                <w:rFonts w:hint="default"/>
                <w:color w:val="auto"/>
                <w:spacing w:val="0"/>
                <w:w w:val="100"/>
                <w:position w:val="0"/>
                <w:highlight w:val="none"/>
              </w:rPr>
            </w:pPr>
            <w:r>
              <w:rPr>
                <w:rFonts w:hint="default"/>
                <w:color w:val="auto"/>
                <w:spacing w:val="0"/>
                <w:w w:val="100"/>
                <w:position w:val="0"/>
                <w:highlight w:val="none"/>
                <w:u w:val="single" w:color="auto"/>
              </w:rPr>
              <w:tab/>
            </w:r>
            <w:r>
              <w:rPr>
                <w:rFonts w:hint="default"/>
                <w:color w:val="auto"/>
                <w:spacing w:val="0"/>
                <w:w w:val="100"/>
                <w:position w:val="0"/>
                <w:highlight w:val="none"/>
                <w:u w:val="single" w:color="auto"/>
              </w:rPr>
              <w:tab/>
            </w:r>
            <w:r>
              <w:rPr>
                <w:rFonts w:hint="default"/>
                <w:color w:val="auto"/>
                <w:spacing w:val="0"/>
                <w:w w:val="100"/>
                <w:position w:val="0"/>
                <w:highlight w:val="none"/>
              </w:rPr>
              <w:t xml:space="preserve"> 年 </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月 毕 业 于 </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学校 </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专业，学制</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年</w:t>
            </w:r>
          </w:p>
        </w:tc>
      </w:tr>
      <w:tr w14:paraId="1DE3D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9017" w:type="dxa"/>
            <w:gridSpan w:val="8"/>
            <w:vAlign w:val="top"/>
          </w:tcPr>
          <w:p w14:paraId="1EE4CF59">
            <w:pPr>
              <w:pStyle w:val="19"/>
              <w:keepNext w:val="0"/>
              <w:keepLines w:val="0"/>
              <w:widowControl/>
              <w:suppressLineNumbers w:val="0"/>
              <w:spacing w:before="170" w:beforeAutospacing="0" w:after="0" w:afterAutospacing="0" w:line="223" w:lineRule="auto"/>
              <w:ind w:left="3430" w:right="0"/>
              <w:rPr>
                <w:rFonts w:hint="default"/>
                <w:color w:val="auto"/>
                <w:spacing w:val="0"/>
                <w:w w:val="100"/>
                <w:position w:val="0"/>
                <w:highlight w:val="none"/>
              </w:rPr>
            </w:pPr>
            <w:r>
              <w:rPr>
                <w:rFonts w:hint="default"/>
                <w:color w:val="auto"/>
                <w:spacing w:val="0"/>
                <w:w w:val="100"/>
                <w:position w:val="0"/>
                <w:highlight w:val="none"/>
              </w:rPr>
              <w:t>经           历</w:t>
            </w:r>
          </w:p>
        </w:tc>
      </w:tr>
      <w:tr w14:paraId="09F63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257" w:type="dxa"/>
            <w:vAlign w:val="top"/>
          </w:tcPr>
          <w:p w14:paraId="241D991E">
            <w:pPr>
              <w:pStyle w:val="19"/>
              <w:keepNext w:val="0"/>
              <w:keepLines w:val="0"/>
              <w:widowControl/>
              <w:suppressLineNumbers w:val="0"/>
              <w:spacing w:before="218" w:beforeAutospacing="0" w:after="0" w:afterAutospacing="0" w:line="223" w:lineRule="auto"/>
              <w:ind w:left="433" w:right="0"/>
              <w:rPr>
                <w:rFonts w:hint="default"/>
                <w:color w:val="auto"/>
                <w:spacing w:val="0"/>
                <w:w w:val="100"/>
                <w:position w:val="0"/>
                <w:highlight w:val="none"/>
              </w:rPr>
            </w:pPr>
            <w:r>
              <w:rPr>
                <w:rFonts w:hint="default"/>
                <w:color w:val="auto"/>
                <w:spacing w:val="0"/>
                <w:w w:val="100"/>
                <w:position w:val="0"/>
                <w:highlight w:val="none"/>
              </w:rPr>
              <w:t>时间</w:t>
            </w:r>
          </w:p>
        </w:tc>
        <w:tc>
          <w:tcPr>
            <w:tcW w:w="4198" w:type="dxa"/>
            <w:gridSpan w:val="4"/>
            <w:vAlign w:val="top"/>
          </w:tcPr>
          <w:p w14:paraId="6A823E70">
            <w:pPr>
              <w:pStyle w:val="19"/>
              <w:keepNext w:val="0"/>
              <w:keepLines w:val="0"/>
              <w:widowControl/>
              <w:suppressLineNumbers w:val="0"/>
              <w:spacing w:before="217" w:beforeAutospacing="0" w:after="0" w:afterAutospacing="0" w:line="221" w:lineRule="auto"/>
              <w:ind w:left="843" w:right="0"/>
              <w:rPr>
                <w:rFonts w:hint="default"/>
                <w:color w:val="auto"/>
                <w:spacing w:val="0"/>
                <w:w w:val="100"/>
                <w:position w:val="0"/>
                <w:highlight w:val="none"/>
              </w:rPr>
            </w:pPr>
            <w:r>
              <w:rPr>
                <w:rFonts w:hint="default"/>
                <w:color w:val="auto"/>
                <w:spacing w:val="0"/>
                <w:w w:val="100"/>
                <w:position w:val="0"/>
                <w:highlight w:val="none"/>
              </w:rPr>
              <w:t>参加过的类似工程项目名称</w:t>
            </w:r>
          </w:p>
        </w:tc>
        <w:tc>
          <w:tcPr>
            <w:tcW w:w="1542" w:type="dxa"/>
            <w:gridSpan w:val="2"/>
            <w:vAlign w:val="top"/>
          </w:tcPr>
          <w:p w14:paraId="0C8E673B">
            <w:pPr>
              <w:pStyle w:val="19"/>
              <w:keepNext w:val="0"/>
              <w:keepLines w:val="0"/>
              <w:widowControl/>
              <w:suppressLineNumbers w:val="0"/>
              <w:spacing w:before="217" w:beforeAutospacing="0" w:after="0" w:afterAutospacing="0" w:line="221" w:lineRule="auto"/>
              <w:ind w:left="358" w:right="0"/>
              <w:rPr>
                <w:rFonts w:hint="default"/>
                <w:color w:val="auto"/>
                <w:spacing w:val="0"/>
                <w:w w:val="100"/>
                <w:position w:val="0"/>
                <w:highlight w:val="none"/>
              </w:rPr>
            </w:pPr>
            <w:r>
              <w:rPr>
                <w:rFonts w:hint="default"/>
                <w:color w:val="auto"/>
                <w:spacing w:val="0"/>
                <w:w w:val="100"/>
                <w:position w:val="0"/>
                <w:highlight w:val="none"/>
              </w:rPr>
              <w:t>担任职务</w:t>
            </w:r>
          </w:p>
        </w:tc>
        <w:tc>
          <w:tcPr>
            <w:tcW w:w="2020" w:type="dxa"/>
            <w:vAlign w:val="top"/>
          </w:tcPr>
          <w:p w14:paraId="4B8A2462">
            <w:pPr>
              <w:pStyle w:val="19"/>
              <w:keepNext w:val="0"/>
              <w:keepLines w:val="0"/>
              <w:widowControl/>
              <w:suppressLineNumbers w:val="0"/>
              <w:spacing w:before="84" w:beforeAutospacing="0" w:after="0" w:afterAutospacing="0" w:line="221" w:lineRule="auto"/>
              <w:ind w:left="88" w:right="0"/>
              <w:rPr>
                <w:rFonts w:hint="default"/>
                <w:color w:val="auto"/>
                <w:spacing w:val="0"/>
                <w:w w:val="100"/>
                <w:position w:val="0"/>
                <w:highlight w:val="none"/>
              </w:rPr>
            </w:pPr>
            <w:r>
              <w:rPr>
                <w:rFonts w:hint="default"/>
                <w:color w:val="auto"/>
                <w:spacing w:val="0"/>
                <w:w w:val="100"/>
                <w:position w:val="0"/>
                <w:highlight w:val="none"/>
              </w:rPr>
              <w:t>发包人及联系</w:t>
            </w:r>
          </w:p>
          <w:p w14:paraId="3B0A5BB2">
            <w:pPr>
              <w:pStyle w:val="19"/>
              <w:keepNext w:val="0"/>
              <w:keepLines w:val="0"/>
              <w:widowControl/>
              <w:suppressLineNumbers w:val="0"/>
              <w:spacing w:before="19" w:beforeAutospacing="0" w:after="0" w:afterAutospacing="0" w:line="223" w:lineRule="auto"/>
              <w:ind w:left="530" w:right="0"/>
              <w:rPr>
                <w:rFonts w:hint="default"/>
                <w:color w:val="auto"/>
                <w:spacing w:val="0"/>
                <w:w w:val="100"/>
                <w:position w:val="0"/>
                <w:highlight w:val="none"/>
              </w:rPr>
            </w:pPr>
            <w:r>
              <w:rPr>
                <w:rFonts w:hint="default"/>
                <w:color w:val="auto"/>
                <w:spacing w:val="0"/>
                <w:w w:val="100"/>
                <w:position w:val="0"/>
                <w:highlight w:val="none"/>
              </w:rPr>
              <w:t>电话</w:t>
            </w:r>
          </w:p>
        </w:tc>
      </w:tr>
      <w:tr w14:paraId="20D34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257" w:type="dxa"/>
            <w:vAlign w:val="top"/>
          </w:tcPr>
          <w:p w14:paraId="5458F75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19B265C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4CC18CD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20" w:type="dxa"/>
            <w:vAlign w:val="top"/>
          </w:tcPr>
          <w:p w14:paraId="75FDF2E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DC2E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1257" w:type="dxa"/>
            <w:vAlign w:val="top"/>
          </w:tcPr>
          <w:p w14:paraId="257C7C4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01A2E42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1B61E1F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20" w:type="dxa"/>
            <w:vAlign w:val="top"/>
          </w:tcPr>
          <w:p w14:paraId="15306C1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7D55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257" w:type="dxa"/>
            <w:vAlign w:val="top"/>
          </w:tcPr>
          <w:p w14:paraId="0DA1FF3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62C9566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1F8AF49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20" w:type="dxa"/>
            <w:vAlign w:val="top"/>
          </w:tcPr>
          <w:p w14:paraId="369B0C5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248A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1257" w:type="dxa"/>
            <w:vAlign w:val="top"/>
          </w:tcPr>
          <w:p w14:paraId="4FD88C5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2F97E84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66511FC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20" w:type="dxa"/>
            <w:vAlign w:val="top"/>
          </w:tcPr>
          <w:p w14:paraId="6FB830E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8146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257" w:type="dxa"/>
            <w:vAlign w:val="top"/>
          </w:tcPr>
          <w:p w14:paraId="5615775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289CD2B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74FA30B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20" w:type="dxa"/>
            <w:vAlign w:val="top"/>
          </w:tcPr>
          <w:p w14:paraId="4B23018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4A4F9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257" w:type="dxa"/>
            <w:vAlign w:val="top"/>
          </w:tcPr>
          <w:p w14:paraId="240FA8D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568910C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542" w:type="dxa"/>
            <w:gridSpan w:val="2"/>
            <w:vAlign w:val="top"/>
          </w:tcPr>
          <w:p w14:paraId="77416D1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020" w:type="dxa"/>
            <w:vAlign w:val="top"/>
          </w:tcPr>
          <w:p w14:paraId="29B9DCD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F234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8" w:hRule="atLeast"/>
        </w:trPr>
        <w:tc>
          <w:tcPr>
            <w:tcW w:w="2658" w:type="dxa"/>
            <w:gridSpan w:val="2"/>
            <w:vAlign w:val="top"/>
          </w:tcPr>
          <w:p w14:paraId="221822E1">
            <w:pPr>
              <w:pStyle w:val="19"/>
              <w:keepNext w:val="0"/>
              <w:keepLines w:val="0"/>
              <w:widowControl/>
              <w:suppressLineNumbers w:val="0"/>
              <w:spacing w:before="276" w:beforeAutospacing="0" w:after="0" w:afterAutospacing="0" w:line="221" w:lineRule="auto"/>
              <w:ind w:left="918" w:right="0"/>
              <w:rPr>
                <w:rFonts w:hint="default"/>
                <w:color w:val="auto"/>
                <w:spacing w:val="0"/>
                <w:w w:val="100"/>
                <w:position w:val="0"/>
                <w:highlight w:val="none"/>
              </w:rPr>
            </w:pPr>
            <w:r>
              <w:rPr>
                <w:rFonts w:hint="default"/>
                <w:color w:val="auto"/>
                <w:spacing w:val="0"/>
                <w:w w:val="100"/>
                <w:position w:val="0"/>
                <w:highlight w:val="none"/>
              </w:rPr>
              <w:t>获奖情况</w:t>
            </w:r>
          </w:p>
        </w:tc>
        <w:tc>
          <w:tcPr>
            <w:tcW w:w="6359" w:type="dxa"/>
            <w:gridSpan w:val="6"/>
            <w:vAlign w:val="top"/>
          </w:tcPr>
          <w:p w14:paraId="7FE2C36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0254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8" w:hRule="atLeast"/>
        </w:trPr>
        <w:tc>
          <w:tcPr>
            <w:tcW w:w="2658" w:type="dxa"/>
            <w:gridSpan w:val="2"/>
            <w:vAlign w:val="top"/>
          </w:tcPr>
          <w:p w14:paraId="0C390D74">
            <w:pPr>
              <w:pStyle w:val="19"/>
              <w:keepNext w:val="0"/>
              <w:keepLines w:val="0"/>
              <w:widowControl/>
              <w:suppressLineNumbers w:val="0"/>
              <w:spacing w:before="245" w:beforeAutospacing="0" w:after="0" w:afterAutospacing="0" w:line="221" w:lineRule="auto"/>
              <w:ind w:left="638" w:right="0"/>
              <w:rPr>
                <w:rFonts w:hint="default"/>
                <w:color w:val="auto"/>
                <w:spacing w:val="0"/>
                <w:w w:val="100"/>
                <w:position w:val="0"/>
                <w:highlight w:val="none"/>
              </w:rPr>
            </w:pPr>
            <w:r>
              <w:rPr>
                <w:rFonts w:hint="default"/>
                <w:color w:val="auto"/>
                <w:spacing w:val="0"/>
                <w:w w:val="100"/>
                <w:position w:val="0"/>
                <w:highlight w:val="none"/>
              </w:rPr>
              <w:t>目前承担的任务</w:t>
            </w:r>
          </w:p>
        </w:tc>
        <w:tc>
          <w:tcPr>
            <w:tcW w:w="6359" w:type="dxa"/>
            <w:gridSpan w:val="6"/>
            <w:vAlign w:val="top"/>
          </w:tcPr>
          <w:p w14:paraId="1B70DA0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A28D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658" w:type="dxa"/>
            <w:gridSpan w:val="2"/>
            <w:vAlign w:val="top"/>
          </w:tcPr>
          <w:p w14:paraId="061BEA3E">
            <w:pPr>
              <w:pStyle w:val="19"/>
              <w:keepNext w:val="0"/>
              <w:keepLines w:val="0"/>
              <w:widowControl/>
              <w:suppressLineNumbers w:val="0"/>
              <w:spacing w:before="251" w:beforeAutospacing="0" w:after="0" w:afterAutospacing="0" w:line="222" w:lineRule="auto"/>
              <w:ind w:left="970" w:right="0"/>
              <w:rPr>
                <w:rFonts w:hint="default"/>
                <w:color w:val="auto"/>
                <w:spacing w:val="0"/>
                <w:w w:val="100"/>
                <w:position w:val="0"/>
                <w:highlight w:val="none"/>
              </w:rPr>
            </w:pPr>
            <w:r>
              <w:rPr>
                <w:rFonts w:hint="default"/>
                <w:color w:val="auto"/>
                <w:spacing w:val="0"/>
                <w:w w:val="100"/>
                <w:position w:val="0"/>
                <w:highlight w:val="none"/>
              </w:rPr>
              <w:t>备   注</w:t>
            </w:r>
          </w:p>
        </w:tc>
        <w:tc>
          <w:tcPr>
            <w:tcW w:w="6359" w:type="dxa"/>
            <w:gridSpan w:val="6"/>
            <w:vAlign w:val="top"/>
          </w:tcPr>
          <w:p w14:paraId="69C46D1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186A95E5">
      <w:pPr>
        <w:rPr>
          <w:rFonts w:ascii="Arial"/>
          <w:color w:val="auto"/>
          <w:spacing w:val="0"/>
          <w:w w:val="100"/>
          <w:position w:val="0"/>
          <w:sz w:val="21"/>
          <w:highlight w:val="none"/>
        </w:rPr>
      </w:pPr>
    </w:p>
    <w:p w14:paraId="283BD892">
      <w:pPr>
        <w:rPr>
          <w:rFonts w:ascii="Arial" w:hAnsi="Arial" w:eastAsia="Arial" w:cs="Arial"/>
          <w:color w:val="auto"/>
          <w:spacing w:val="0"/>
          <w:w w:val="100"/>
          <w:position w:val="0"/>
          <w:sz w:val="21"/>
          <w:szCs w:val="21"/>
          <w:highlight w:val="none"/>
        </w:rPr>
        <w:sectPr>
          <w:footerReference r:id="rId79" w:type="default"/>
          <w:pgSz w:w="11900" w:h="16843"/>
          <w:pgMar w:top="1378" w:right="1417" w:bottom="1208" w:left="1417" w:header="1366" w:footer="1003" w:gutter="0"/>
          <w:pgNumType w:fmt="decimal"/>
          <w:cols w:space="0" w:num="1"/>
          <w:rtlGutter w:val="0"/>
          <w:docGrid w:linePitch="0" w:charSpace="0"/>
        </w:sectPr>
      </w:pPr>
    </w:p>
    <w:p w14:paraId="2B882311">
      <w:pPr>
        <w:pStyle w:val="6"/>
        <w:spacing w:before="107" w:line="218" w:lineRule="auto"/>
        <w:ind w:left="624"/>
        <w:outlineLvl w:val="3"/>
        <w:rPr>
          <w:color w:val="auto"/>
          <w:spacing w:val="0"/>
          <w:w w:val="100"/>
          <w:position w:val="0"/>
          <w:sz w:val="30"/>
          <w:szCs w:val="30"/>
          <w:highlight w:val="none"/>
        </w:rPr>
      </w:pPr>
      <w:r>
        <w:rPr>
          <w:b/>
          <w:bCs/>
          <w:color w:val="auto"/>
          <w:spacing w:val="0"/>
          <w:w w:val="100"/>
          <w:position w:val="0"/>
          <w:sz w:val="30"/>
          <w:szCs w:val="30"/>
          <w:highlight w:val="none"/>
        </w:rPr>
        <w:t>（八）拟委任的分项负责人汇总表（本项目无需填写）</w:t>
      </w:r>
    </w:p>
    <w:p w14:paraId="49BFC173">
      <w:pPr>
        <w:spacing w:line="184" w:lineRule="exact"/>
        <w:rPr>
          <w:color w:val="auto"/>
          <w:spacing w:val="0"/>
          <w:w w:val="100"/>
          <w:position w:val="0"/>
          <w:highlight w:val="none"/>
        </w:rPr>
      </w:pPr>
    </w:p>
    <w:tbl>
      <w:tblPr>
        <w:tblStyle w:val="18"/>
        <w:tblW w:w="90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5"/>
        <w:gridCol w:w="1214"/>
        <w:gridCol w:w="710"/>
        <w:gridCol w:w="945"/>
        <w:gridCol w:w="489"/>
        <w:gridCol w:w="1133"/>
        <w:gridCol w:w="933"/>
        <w:gridCol w:w="890"/>
        <w:gridCol w:w="1905"/>
      </w:tblGrid>
      <w:tr w14:paraId="7058CA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825" w:type="dxa"/>
            <w:vMerge w:val="restart"/>
            <w:tcBorders>
              <w:bottom w:val="nil"/>
            </w:tcBorders>
            <w:vAlign w:val="top"/>
          </w:tcPr>
          <w:p w14:paraId="3CA6DA87">
            <w:pPr>
              <w:pStyle w:val="19"/>
              <w:keepNext w:val="0"/>
              <w:keepLines w:val="0"/>
              <w:widowControl/>
              <w:suppressLineNumbers w:val="0"/>
              <w:spacing w:before="279" w:beforeAutospacing="0" w:after="0" w:afterAutospacing="0" w:line="222" w:lineRule="auto"/>
              <w:ind w:left="206" w:right="0"/>
              <w:rPr>
                <w:rFonts w:hint="default"/>
                <w:color w:val="auto"/>
                <w:spacing w:val="0"/>
                <w:w w:val="100"/>
                <w:position w:val="0"/>
                <w:highlight w:val="none"/>
              </w:rPr>
            </w:pPr>
            <w:r>
              <w:rPr>
                <w:rFonts w:hint="default"/>
                <w:color w:val="auto"/>
                <w:spacing w:val="0"/>
                <w:w w:val="100"/>
                <w:position w:val="0"/>
                <w:highlight w:val="none"/>
              </w:rPr>
              <w:t>序号</w:t>
            </w:r>
          </w:p>
        </w:tc>
        <w:tc>
          <w:tcPr>
            <w:tcW w:w="1214" w:type="dxa"/>
            <w:vMerge w:val="restart"/>
            <w:tcBorders>
              <w:bottom w:val="nil"/>
            </w:tcBorders>
            <w:vAlign w:val="top"/>
          </w:tcPr>
          <w:p w14:paraId="7893862C">
            <w:pPr>
              <w:pStyle w:val="19"/>
              <w:keepNext w:val="0"/>
              <w:keepLines w:val="0"/>
              <w:widowControl/>
              <w:suppressLineNumbers w:val="0"/>
              <w:spacing w:before="279" w:beforeAutospacing="0" w:after="0" w:afterAutospacing="0" w:line="220" w:lineRule="auto"/>
              <w:ind w:left="86" w:right="0"/>
              <w:rPr>
                <w:rFonts w:hint="default"/>
                <w:color w:val="auto"/>
                <w:spacing w:val="0"/>
                <w:w w:val="100"/>
                <w:position w:val="0"/>
                <w:highlight w:val="none"/>
              </w:rPr>
            </w:pPr>
            <w:r>
              <w:rPr>
                <w:rFonts w:hint="default"/>
                <w:color w:val="auto"/>
                <w:spacing w:val="0"/>
                <w:w w:val="100"/>
                <w:position w:val="0"/>
                <w:highlight w:val="none"/>
              </w:rPr>
              <w:t>本标段任职</w:t>
            </w:r>
          </w:p>
        </w:tc>
        <w:tc>
          <w:tcPr>
            <w:tcW w:w="710" w:type="dxa"/>
            <w:vMerge w:val="restart"/>
            <w:tcBorders>
              <w:bottom w:val="nil"/>
            </w:tcBorders>
            <w:vAlign w:val="top"/>
          </w:tcPr>
          <w:p w14:paraId="3CFA233C">
            <w:pPr>
              <w:pStyle w:val="19"/>
              <w:keepNext w:val="0"/>
              <w:keepLines w:val="0"/>
              <w:widowControl/>
              <w:suppressLineNumbers w:val="0"/>
              <w:spacing w:before="278" w:beforeAutospacing="0" w:after="0" w:afterAutospacing="0" w:line="221" w:lineRule="auto"/>
              <w:ind w:left="148" w:right="0"/>
              <w:rPr>
                <w:rFonts w:hint="default"/>
                <w:color w:val="auto"/>
                <w:spacing w:val="0"/>
                <w:w w:val="100"/>
                <w:position w:val="0"/>
                <w:highlight w:val="none"/>
              </w:rPr>
            </w:pPr>
            <w:r>
              <w:rPr>
                <w:rFonts w:hint="default"/>
                <w:color w:val="auto"/>
                <w:spacing w:val="0"/>
                <w:w w:val="100"/>
                <w:position w:val="0"/>
                <w:highlight w:val="none"/>
              </w:rPr>
              <w:t>姓名</w:t>
            </w:r>
          </w:p>
        </w:tc>
        <w:tc>
          <w:tcPr>
            <w:tcW w:w="945" w:type="dxa"/>
            <w:vMerge w:val="restart"/>
            <w:tcBorders>
              <w:bottom w:val="nil"/>
            </w:tcBorders>
            <w:vAlign w:val="top"/>
          </w:tcPr>
          <w:p w14:paraId="331EBAFA">
            <w:pPr>
              <w:pStyle w:val="19"/>
              <w:keepNext w:val="0"/>
              <w:keepLines w:val="0"/>
              <w:widowControl/>
              <w:suppressLineNumbers w:val="0"/>
              <w:spacing w:before="278" w:beforeAutospacing="0" w:after="0" w:afterAutospacing="0" w:line="221" w:lineRule="auto"/>
              <w:ind w:left="58" w:right="0"/>
              <w:rPr>
                <w:rFonts w:hint="default"/>
                <w:color w:val="auto"/>
                <w:spacing w:val="0"/>
                <w:w w:val="100"/>
                <w:position w:val="0"/>
                <w:highlight w:val="none"/>
              </w:rPr>
            </w:pPr>
            <w:r>
              <w:rPr>
                <w:rFonts w:hint="default"/>
                <w:color w:val="auto"/>
                <w:spacing w:val="0"/>
                <w:w w:val="100"/>
                <w:position w:val="0"/>
                <w:highlight w:val="none"/>
              </w:rPr>
              <w:t>技术职称</w:t>
            </w:r>
          </w:p>
        </w:tc>
        <w:tc>
          <w:tcPr>
            <w:tcW w:w="489" w:type="dxa"/>
            <w:vMerge w:val="restart"/>
            <w:tcBorders>
              <w:bottom w:val="nil"/>
            </w:tcBorders>
            <w:textDirection w:val="tbRlV"/>
            <w:vAlign w:val="top"/>
          </w:tcPr>
          <w:p w14:paraId="2D40A562">
            <w:pPr>
              <w:pStyle w:val="19"/>
              <w:keepNext w:val="0"/>
              <w:keepLines w:val="0"/>
              <w:widowControl/>
              <w:suppressLineNumbers w:val="0"/>
              <w:spacing w:before="136" w:beforeAutospacing="0" w:after="0" w:afterAutospacing="0" w:line="210" w:lineRule="auto"/>
              <w:ind w:left="142" w:right="0"/>
              <w:rPr>
                <w:rFonts w:hint="default"/>
                <w:color w:val="auto"/>
                <w:spacing w:val="0"/>
                <w:w w:val="100"/>
                <w:position w:val="0"/>
                <w:highlight w:val="none"/>
              </w:rPr>
            </w:pPr>
            <w:r>
              <w:rPr>
                <w:rFonts w:hint="default"/>
                <w:color w:val="auto"/>
                <w:spacing w:val="0"/>
                <w:w w:val="100"/>
                <w:position w:val="0"/>
                <w:highlight w:val="none"/>
              </w:rPr>
              <w:t>专业</w:t>
            </w:r>
          </w:p>
        </w:tc>
        <w:tc>
          <w:tcPr>
            <w:tcW w:w="2956" w:type="dxa"/>
            <w:gridSpan w:val="3"/>
            <w:vAlign w:val="top"/>
          </w:tcPr>
          <w:p w14:paraId="56CE777B">
            <w:pPr>
              <w:pStyle w:val="19"/>
              <w:keepNext w:val="0"/>
              <w:keepLines w:val="0"/>
              <w:widowControl/>
              <w:suppressLineNumbers w:val="0"/>
              <w:spacing w:before="86" w:beforeAutospacing="0" w:after="0" w:afterAutospacing="0" w:line="221" w:lineRule="auto"/>
              <w:ind w:left="539" w:right="0"/>
              <w:rPr>
                <w:rFonts w:hint="default"/>
                <w:color w:val="auto"/>
                <w:spacing w:val="0"/>
                <w:w w:val="100"/>
                <w:position w:val="0"/>
                <w:highlight w:val="none"/>
              </w:rPr>
            </w:pPr>
            <w:r>
              <w:rPr>
                <w:rFonts w:hint="default"/>
                <w:color w:val="auto"/>
                <w:spacing w:val="0"/>
                <w:w w:val="100"/>
                <w:position w:val="0"/>
                <w:highlight w:val="none"/>
              </w:rPr>
              <w:t>执业或职业资格证明</w:t>
            </w:r>
          </w:p>
        </w:tc>
        <w:tc>
          <w:tcPr>
            <w:tcW w:w="1905" w:type="dxa"/>
            <w:vMerge w:val="restart"/>
            <w:tcBorders>
              <w:bottom w:val="nil"/>
            </w:tcBorders>
            <w:vAlign w:val="top"/>
          </w:tcPr>
          <w:p w14:paraId="74A689F7">
            <w:pPr>
              <w:pStyle w:val="19"/>
              <w:keepNext w:val="0"/>
              <w:keepLines w:val="0"/>
              <w:widowControl/>
              <w:suppressLineNumbers w:val="0"/>
              <w:spacing w:before="279" w:beforeAutospacing="0" w:after="0" w:afterAutospacing="0" w:line="222" w:lineRule="auto"/>
              <w:ind w:left="437" w:right="0"/>
              <w:rPr>
                <w:rFonts w:hint="default"/>
                <w:color w:val="auto"/>
                <w:spacing w:val="0"/>
                <w:w w:val="100"/>
                <w:position w:val="0"/>
                <w:highlight w:val="none"/>
              </w:rPr>
            </w:pPr>
            <w:r>
              <w:rPr>
                <w:rFonts w:hint="default"/>
                <w:color w:val="auto"/>
                <w:spacing w:val="0"/>
                <w:w w:val="100"/>
                <w:position w:val="0"/>
                <w:highlight w:val="none"/>
              </w:rPr>
              <w:t>备注</w:t>
            </w:r>
          </w:p>
        </w:tc>
      </w:tr>
      <w:tr w14:paraId="4D69D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825" w:type="dxa"/>
            <w:vMerge w:val="continue"/>
            <w:tcBorders>
              <w:top w:val="nil"/>
            </w:tcBorders>
            <w:vAlign w:val="top"/>
          </w:tcPr>
          <w:p w14:paraId="50612DB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Merge w:val="continue"/>
            <w:tcBorders>
              <w:top w:val="nil"/>
            </w:tcBorders>
            <w:vAlign w:val="top"/>
          </w:tcPr>
          <w:p w14:paraId="1223595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Merge w:val="continue"/>
            <w:tcBorders>
              <w:top w:val="nil"/>
            </w:tcBorders>
            <w:vAlign w:val="top"/>
          </w:tcPr>
          <w:p w14:paraId="3E34CDE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Merge w:val="continue"/>
            <w:tcBorders>
              <w:top w:val="nil"/>
            </w:tcBorders>
            <w:vAlign w:val="top"/>
          </w:tcPr>
          <w:p w14:paraId="2C5534F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Merge w:val="continue"/>
            <w:tcBorders>
              <w:top w:val="nil"/>
            </w:tcBorders>
            <w:textDirection w:val="tbRlV"/>
            <w:vAlign w:val="top"/>
          </w:tcPr>
          <w:p w14:paraId="5BCFC20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7158B55A">
            <w:pPr>
              <w:pStyle w:val="19"/>
              <w:keepNext w:val="0"/>
              <w:keepLines w:val="0"/>
              <w:widowControl/>
              <w:suppressLineNumbers w:val="0"/>
              <w:spacing w:before="82" w:beforeAutospacing="0" w:after="0" w:afterAutospacing="0" w:line="220" w:lineRule="auto"/>
              <w:ind w:left="152" w:right="0"/>
              <w:rPr>
                <w:rFonts w:hint="default"/>
                <w:color w:val="auto"/>
                <w:spacing w:val="0"/>
                <w:w w:val="100"/>
                <w:position w:val="0"/>
                <w:highlight w:val="none"/>
              </w:rPr>
            </w:pPr>
            <w:r>
              <w:rPr>
                <w:rFonts w:hint="default"/>
                <w:color w:val="auto"/>
                <w:spacing w:val="0"/>
                <w:w w:val="100"/>
                <w:position w:val="0"/>
                <w:highlight w:val="none"/>
              </w:rPr>
              <w:t>证书名称</w:t>
            </w:r>
          </w:p>
        </w:tc>
        <w:tc>
          <w:tcPr>
            <w:tcW w:w="933" w:type="dxa"/>
            <w:vAlign w:val="top"/>
          </w:tcPr>
          <w:p w14:paraId="733958D0">
            <w:pPr>
              <w:pStyle w:val="19"/>
              <w:keepNext w:val="0"/>
              <w:keepLines w:val="0"/>
              <w:widowControl/>
              <w:suppressLineNumbers w:val="0"/>
              <w:spacing w:before="82" w:beforeAutospacing="0" w:after="0" w:afterAutospacing="0" w:line="221" w:lineRule="auto"/>
              <w:ind w:left="264" w:right="0"/>
              <w:rPr>
                <w:rFonts w:hint="default"/>
                <w:color w:val="auto"/>
                <w:spacing w:val="0"/>
                <w:w w:val="100"/>
                <w:position w:val="0"/>
                <w:highlight w:val="none"/>
              </w:rPr>
            </w:pPr>
            <w:r>
              <w:rPr>
                <w:rFonts w:hint="default"/>
                <w:color w:val="auto"/>
                <w:spacing w:val="0"/>
                <w:w w:val="100"/>
                <w:position w:val="0"/>
                <w:highlight w:val="none"/>
              </w:rPr>
              <w:t>级别</w:t>
            </w:r>
          </w:p>
        </w:tc>
        <w:tc>
          <w:tcPr>
            <w:tcW w:w="890" w:type="dxa"/>
            <w:vAlign w:val="top"/>
          </w:tcPr>
          <w:p w14:paraId="76428DFE">
            <w:pPr>
              <w:pStyle w:val="19"/>
              <w:keepNext w:val="0"/>
              <w:keepLines w:val="0"/>
              <w:widowControl/>
              <w:suppressLineNumbers w:val="0"/>
              <w:spacing w:before="82" w:beforeAutospacing="0" w:after="0" w:afterAutospacing="0" w:line="222" w:lineRule="auto"/>
              <w:ind w:left="242" w:right="0"/>
              <w:rPr>
                <w:rFonts w:hint="default"/>
                <w:color w:val="auto"/>
                <w:spacing w:val="0"/>
                <w:w w:val="100"/>
                <w:position w:val="0"/>
                <w:highlight w:val="none"/>
              </w:rPr>
            </w:pPr>
            <w:r>
              <w:rPr>
                <w:rFonts w:hint="default"/>
                <w:color w:val="auto"/>
                <w:spacing w:val="0"/>
                <w:w w:val="100"/>
                <w:position w:val="0"/>
                <w:highlight w:val="none"/>
              </w:rPr>
              <w:t>证号</w:t>
            </w:r>
          </w:p>
        </w:tc>
        <w:tc>
          <w:tcPr>
            <w:tcW w:w="1905" w:type="dxa"/>
            <w:vMerge w:val="continue"/>
            <w:tcBorders>
              <w:top w:val="nil"/>
            </w:tcBorders>
            <w:vAlign w:val="top"/>
          </w:tcPr>
          <w:p w14:paraId="1FF80BF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52B27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825" w:type="dxa"/>
            <w:vAlign w:val="top"/>
          </w:tcPr>
          <w:p w14:paraId="096A385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12A1846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5CA9DC3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03C6C0B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45C3A4B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390E274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4A90E51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6E45626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247D874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4CDA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25" w:type="dxa"/>
            <w:vAlign w:val="top"/>
          </w:tcPr>
          <w:p w14:paraId="10FE1E5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542360A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05B8056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7FA4732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45FAFE8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6752AD9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6ADCB17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5ACE355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68D397B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3528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825" w:type="dxa"/>
            <w:vAlign w:val="top"/>
          </w:tcPr>
          <w:p w14:paraId="6EF23EF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4C70AFB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031779E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748F6D8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1C42832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20D42C4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4096855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47F977E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6D5C8B9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869B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25" w:type="dxa"/>
            <w:vAlign w:val="top"/>
          </w:tcPr>
          <w:p w14:paraId="3AACC2D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568C17F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1C820D6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0FE2D37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0D27C8D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7AA8E8C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636B19A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27FE0B7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631D1A0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61AC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25" w:type="dxa"/>
            <w:vAlign w:val="top"/>
          </w:tcPr>
          <w:p w14:paraId="182AECB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5A277FC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671F215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6DC9BB7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27CC046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024C195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36DC434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33332FC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75020AF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2014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825" w:type="dxa"/>
            <w:vAlign w:val="top"/>
          </w:tcPr>
          <w:p w14:paraId="6FFFB4C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05091D4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4E1FCC7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53C6313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0174145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51BD8A8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2EAB3AD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16239FA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3CC1762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7109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825" w:type="dxa"/>
            <w:vAlign w:val="top"/>
          </w:tcPr>
          <w:p w14:paraId="372511E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0941553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189ABF3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37F2626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080681E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1288A63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7A764ED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54F4082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0E1D101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0D92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25" w:type="dxa"/>
            <w:vAlign w:val="top"/>
          </w:tcPr>
          <w:p w14:paraId="173C150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7E12E42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6C75206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0E25BCF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630B8AA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5698645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72CDA98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32E1ED1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0C287DC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1E33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825" w:type="dxa"/>
            <w:vAlign w:val="top"/>
          </w:tcPr>
          <w:p w14:paraId="6FF3943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7B40448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348B5AE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31ADCF3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3B529E0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345DEA8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2E5DFB7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79BE894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073E935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D4BE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25" w:type="dxa"/>
            <w:vAlign w:val="top"/>
          </w:tcPr>
          <w:p w14:paraId="3F872B0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6BD1F87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1837C9C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6769E9C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70B66A7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0498498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4F5E362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1FFBBC3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0309196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5949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25" w:type="dxa"/>
            <w:vAlign w:val="top"/>
          </w:tcPr>
          <w:p w14:paraId="6D2AF5C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1725FB1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003476C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49D98DC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4797351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364B5CF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01DFE52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05483E9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4AFB9F7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3D55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25" w:type="dxa"/>
            <w:vAlign w:val="top"/>
          </w:tcPr>
          <w:p w14:paraId="0203DEB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7899E80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11E62CB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6D65E9B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18CABE6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4E9250B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57FFBF8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42C80B7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1733B64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63FB8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825" w:type="dxa"/>
            <w:vAlign w:val="top"/>
          </w:tcPr>
          <w:p w14:paraId="6D95FAD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1CF2879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26C3FDA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6D589C1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53B5BF5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67CF712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6E7F1E1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08E3EE4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6AACDFB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9641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825" w:type="dxa"/>
            <w:vAlign w:val="top"/>
          </w:tcPr>
          <w:p w14:paraId="5CE3ED8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47E9759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63C6A33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77200FB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0A14821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4EC8F8A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5BE9CF3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50C40F9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53FBCC3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4D2F7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25" w:type="dxa"/>
            <w:vAlign w:val="top"/>
          </w:tcPr>
          <w:p w14:paraId="1F66FF2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30CB908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077E163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11FB361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62E592E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4EAA1B8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3DCB2A6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1AA73BE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6464DCB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686D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825" w:type="dxa"/>
            <w:vAlign w:val="top"/>
          </w:tcPr>
          <w:p w14:paraId="0775036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5A426AC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480A527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71D4883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417DBC3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72C5B56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7AB31D2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181AF60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5FADBB4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11F5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825" w:type="dxa"/>
            <w:vAlign w:val="top"/>
          </w:tcPr>
          <w:p w14:paraId="68DE4D5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14" w:type="dxa"/>
            <w:vAlign w:val="top"/>
          </w:tcPr>
          <w:p w14:paraId="79725E8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710" w:type="dxa"/>
            <w:vAlign w:val="top"/>
          </w:tcPr>
          <w:p w14:paraId="1657F64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45" w:type="dxa"/>
            <w:vAlign w:val="top"/>
          </w:tcPr>
          <w:p w14:paraId="22D11AF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89" w:type="dxa"/>
            <w:vAlign w:val="top"/>
          </w:tcPr>
          <w:p w14:paraId="0B16BE4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3" w:type="dxa"/>
            <w:vAlign w:val="top"/>
          </w:tcPr>
          <w:p w14:paraId="4722F87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33" w:type="dxa"/>
            <w:vAlign w:val="top"/>
          </w:tcPr>
          <w:p w14:paraId="273734E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890" w:type="dxa"/>
            <w:vAlign w:val="top"/>
          </w:tcPr>
          <w:p w14:paraId="38A7B52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05" w:type="dxa"/>
            <w:vAlign w:val="top"/>
          </w:tcPr>
          <w:p w14:paraId="16EC12C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75371F51">
      <w:pPr>
        <w:rPr>
          <w:rFonts w:ascii="Arial"/>
          <w:color w:val="auto"/>
          <w:spacing w:val="0"/>
          <w:w w:val="100"/>
          <w:position w:val="0"/>
          <w:sz w:val="21"/>
          <w:highlight w:val="none"/>
        </w:rPr>
      </w:pPr>
    </w:p>
    <w:p w14:paraId="4CD3B1E7">
      <w:pPr>
        <w:rPr>
          <w:rFonts w:ascii="Arial" w:hAnsi="Arial" w:eastAsia="Arial" w:cs="Arial"/>
          <w:color w:val="auto"/>
          <w:spacing w:val="0"/>
          <w:w w:val="100"/>
          <w:position w:val="0"/>
          <w:sz w:val="21"/>
          <w:szCs w:val="21"/>
          <w:highlight w:val="none"/>
        </w:rPr>
        <w:sectPr>
          <w:footerReference r:id="rId80" w:type="default"/>
          <w:pgSz w:w="11900" w:h="16843"/>
          <w:pgMar w:top="1378" w:right="1417" w:bottom="1208" w:left="1417" w:header="1366" w:footer="1003" w:gutter="0"/>
          <w:pgNumType w:fmt="decimal"/>
          <w:cols w:space="0" w:num="1"/>
          <w:rtlGutter w:val="0"/>
          <w:docGrid w:linePitch="0" w:charSpace="0"/>
        </w:sectPr>
      </w:pPr>
    </w:p>
    <w:p w14:paraId="7F771323">
      <w:pPr>
        <w:pStyle w:val="6"/>
        <w:spacing w:before="107" w:line="218" w:lineRule="auto"/>
        <w:ind w:left="624"/>
        <w:outlineLvl w:val="3"/>
        <w:rPr>
          <w:color w:val="auto"/>
          <w:spacing w:val="0"/>
          <w:w w:val="100"/>
          <w:position w:val="0"/>
          <w:sz w:val="30"/>
          <w:szCs w:val="30"/>
          <w:highlight w:val="none"/>
        </w:rPr>
      </w:pPr>
      <w:r>
        <w:rPr>
          <w:b/>
          <w:bCs/>
          <w:color w:val="auto"/>
          <w:spacing w:val="0"/>
          <w:w w:val="100"/>
          <w:position w:val="0"/>
          <w:sz w:val="30"/>
          <w:szCs w:val="30"/>
          <w:highlight w:val="none"/>
        </w:rPr>
        <w:t>（九）拟委任的分项负责人资历表（本项目无需填写）</w:t>
      </w:r>
    </w:p>
    <w:p w14:paraId="4220BA3F">
      <w:pPr>
        <w:spacing w:line="184" w:lineRule="exact"/>
        <w:rPr>
          <w:color w:val="auto"/>
          <w:spacing w:val="0"/>
          <w:w w:val="100"/>
          <w:position w:val="0"/>
          <w:highlight w:val="none"/>
        </w:rPr>
      </w:pPr>
    </w:p>
    <w:tbl>
      <w:tblPr>
        <w:tblStyle w:val="18"/>
        <w:tblW w:w="91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57"/>
        <w:gridCol w:w="1401"/>
        <w:gridCol w:w="1103"/>
        <w:gridCol w:w="1363"/>
        <w:gridCol w:w="331"/>
        <w:gridCol w:w="1520"/>
        <w:gridCol w:w="164"/>
        <w:gridCol w:w="1973"/>
      </w:tblGrid>
      <w:tr w14:paraId="107FF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257" w:type="dxa"/>
            <w:vAlign w:val="top"/>
          </w:tcPr>
          <w:p w14:paraId="46C349E7">
            <w:pPr>
              <w:pStyle w:val="19"/>
              <w:keepNext w:val="0"/>
              <w:keepLines w:val="0"/>
              <w:widowControl/>
              <w:suppressLineNumbers w:val="0"/>
              <w:spacing w:before="221" w:beforeAutospacing="0" w:after="0" w:afterAutospacing="0" w:line="221" w:lineRule="auto"/>
              <w:ind w:left="214" w:right="0"/>
              <w:rPr>
                <w:rFonts w:hint="default"/>
                <w:color w:val="auto"/>
                <w:spacing w:val="0"/>
                <w:w w:val="100"/>
                <w:position w:val="0"/>
                <w:highlight w:val="none"/>
              </w:rPr>
            </w:pPr>
            <w:r>
              <w:rPr>
                <w:rFonts w:hint="default"/>
                <w:color w:val="auto"/>
                <w:spacing w:val="0"/>
                <w:w w:val="100"/>
                <w:position w:val="0"/>
                <w:highlight w:val="none"/>
              </w:rPr>
              <w:t>姓    名</w:t>
            </w:r>
          </w:p>
        </w:tc>
        <w:tc>
          <w:tcPr>
            <w:tcW w:w="1401" w:type="dxa"/>
            <w:vAlign w:val="top"/>
          </w:tcPr>
          <w:p w14:paraId="30B9311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3" w:type="dxa"/>
            <w:vAlign w:val="top"/>
          </w:tcPr>
          <w:p w14:paraId="5C8C50E7">
            <w:pPr>
              <w:pStyle w:val="19"/>
              <w:keepNext w:val="0"/>
              <w:keepLines w:val="0"/>
              <w:widowControl/>
              <w:suppressLineNumbers w:val="0"/>
              <w:spacing w:before="221" w:beforeAutospacing="0" w:after="0" w:afterAutospacing="0" w:line="221" w:lineRule="auto"/>
              <w:ind w:left="137" w:right="0"/>
              <w:rPr>
                <w:rFonts w:hint="default"/>
                <w:color w:val="auto"/>
                <w:spacing w:val="0"/>
                <w:w w:val="100"/>
                <w:position w:val="0"/>
                <w:highlight w:val="none"/>
              </w:rPr>
            </w:pPr>
            <w:r>
              <w:rPr>
                <w:rFonts w:hint="default"/>
                <w:color w:val="auto"/>
                <w:spacing w:val="0"/>
                <w:w w:val="100"/>
                <w:position w:val="0"/>
                <w:highlight w:val="none"/>
              </w:rPr>
              <w:t>年    龄</w:t>
            </w:r>
          </w:p>
        </w:tc>
        <w:tc>
          <w:tcPr>
            <w:tcW w:w="1363" w:type="dxa"/>
            <w:vAlign w:val="top"/>
          </w:tcPr>
          <w:p w14:paraId="28229B8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51" w:type="dxa"/>
            <w:gridSpan w:val="2"/>
            <w:vAlign w:val="top"/>
          </w:tcPr>
          <w:p w14:paraId="7F3AEAFC">
            <w:pPr>
              <w:pStyle w:val="19"/>
              <w:keepNext w:val="0"/>
              <w:keepLines w:val="0"/>
              <w:widowControl/>
              <w:suppressLineNumbers w:val="0"/>
              <w:spacing w:before="87" w:beforeAutospacing="0" w:after="0" w:afterAutospacing="0"/>
              <w:ind w:left="0" w:right="78"/>
              <w:jc w:val="center"/>
              <w:rPr>
                <w:rFonts w:hint="default"/>
                <w:color w:val="auto"/>
                <w:spacing w:val="0"/>
                <w:w w:val="100"/>
                <w:position w:val="0"/>
                <w:highlight w:val="none"/>
              </w:rPr>
            </w:pPr>
            <w:r>
              <w:rPr>
                <w:rFonts w:hint="default"/>
                <w:color w:val="auto"/>
                <w:spacing w:val="0"/>
                <w:w w:val="100"/>
                <w:position w:val="0"/>
                <w:highlight w:val="none"/>
              </w:rPr>
              <w:t>执业或职业资格证书名称</w:t>
            </w:r>
          </w:p>
        </w:tc>
        <w:tc>
          <w:tcPr>
            <w:tcW w:w="2137" w:type="dxa"/>
            <w:gridSpan w:val="2"/>
            <w:vAlign w:val="top"/>
          </w:tcPr>
          <w:p w14:paraId="22D5967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7584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257" w:type="dxa"/>
            <w:vAlign w:val="top"/>
          </w:tcPr>
          <w:p w14:paraId="0FC3026A">
            <w:pPr>
              <w:pStyle w:val="19"/>
              <w:keepNext w:val="0"/>
              <w:keepLines w:val="0"/>
              <w:widowControl/>
              <w:suppressLineNumbers w:val="0"/>
              <w:spacing w:before="216" w:beforeAutospacing="0" w:after="0" w:afterAutospacing="0" w:line="221" w:lineRule="auto"/>
              <w:ind w:left="215" w:right="0"/>
              <w:rPr>
                <w:rFonts w:hint="default"/>
                <w:color w:val="auto"/>
                <w:spacing w:val="0"/>
                <w:w w:val="100"/>
                <w:position w:val="0"/>
                <w:highlight w:val="none"/>
              </w:rPr>
            </w:pPr>
            <w:r>
              <w:rPr>
                <w:rFonts w:hint="default"/>
                <w:color w:val="auto"/>
                <w:spacing w:val="0"/>
                <w:w w:val="100"/>
                <w:position w:val="0"/>
                <w:highlight w:val="none"/>
              </w:rPr>
              <w:t>技术职称</w:t>
            </w:r>
          </w:p>
        </w:tc>
        <w:tc>
          <w:tcPr>
            <w:tcW w:w="1401" w:type="dxa"/>
            <w:vAlign w:val="top"/>
          </w:tcPr>
          <w:p w14:paraId="518BFBE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3" w:type="dxa"/>
            <w:vAlign w:val="top"/>
          </w:tcPr>
          <w:p w14:paraId="46702B2C">
            <w:pPr>
              <w:pStyle w:val="19"/>
              <w:keepNext w:val="0"/>
              <w:keepLines w:val="0"/>
              <w:widowControl/>
              <w:suppressLineNumbers w:val="0"/>
              <w:spacing w:before="217" w:beforeAutospacing="0" w:after="0" w:afterAutospacing="0" w:line="222" w:lineRule="auto"/>
              <w:ind w:left="141" w:right="0"/>
              <w:rPr>
                <w:rFonts w:hint="default"/>
                <w:color w:val="auto"/>
                <w:spacing w:val="0"/>
                <w:w w:val="100"/>
                <w:position w:val="0"/>
                <w:highlight w:val="none"/>
              </w:rPr>
            </w:pPr>
            <w:r>
              <w:rPr>
                <w:rFonts w:hint="default"/>
                <w:color w:val="auto"/>
                <w:spacing w:val="0"/>
                <w:w w:val="100"/>
                <w:position w:val="0"/>
                <w:highlight w:val="none"/>
              </w:rPr>
              <w:t>学    历</w:t>
            </w:r>
          </w:p>
        </w:tc>
        <w:tc>
          <w:tcPr>
            <w:tcW w:w="1363" w:type="dxa"/>
            <w:vAlign w:val="top"/>
          </w:tcPr>
          <w:p w14:paraId="0C4EB70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51" w:type="dxa"/>
            <w:gridSpan w:val="2"/>
            <w:vAlign w:val="top"/>
          </w:tcPr>
          <w:p w14:paraId="7CB311E8">
            <w:pPr>
              <w:pStyle w:val="19"/>
              <w:keepNext w:val="0"/>
              <w:keepLines w:val="0"/>
              <w:widowControl/>
              <w:suppressLineNumbers w:val="0"/>
              <w:spacing w:before="81" w:beforeAutospacing="0" w:after="0" w:afterAutospacing="0" w:line="244" w:lineRule="auto"/>
              <w:ind w:left="0" w:right="78"/>
              <w:jc w:val="center"/>
              <w:rPr>
                <w:rFonts w:hint="default"/>
                <w:color w:val="auto"/>
                <w:spacing w:val="0"/>
                <w:w w:val="100"/>
                <w:position w:val="0"/>
                <w:highlight w:val="none"/>
              </w:rPr>
            </w:pPr>
            <w:r>
              <w:rPr>
                <w:rFonts w:hint="default"/>
                <w:color w:val="auto"/>
                <w:spacing w:val="0"/>
                <w:w w:val="100"/>
                <w:position w:val="0"/>
                <w:highlight w:val="none"/>
              </w:rPr>
              <w:t>拟在本标段工程任职</w:t>
            </w:r>
          </w:p>
        </w:tc>
        <w:tc>
          <w:tcPr>
            <w:tcW w:w="2137" w:type="dxa"/>
            <w:gridSpan w:val="2"/>
            <w:vAlign w:val="top"/>
          </w:tcPr>
          <w:p w14:paraId="74FD793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31B9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257" w:type="dxa"/>
            <w:vAlign w:val="top"/>
          </w:tcPr>
          <w:p w14:paraId="4ADC3FEA">
            <w:pPr>
              <w:pStyle w:val="19"/>
              <w:keepNext w:val="0"/>
              <w:keepLines w:val="0"/>
              <w:widowControl/>
              <w:suppressLineNumbers w:val="0"/>
              <w:spacing w:before="219" w:beforeAutospacing="0" w:after="0" w:afterAutospacing="0" w:line="221" w:lineRule="auto"/>
              <w:ind w:left="216" w:right="0"/>
              <w:rPr>
                <w:rFonts w:hint="default"/>
                <w:color w:val="auto"/>
                <w:spacing w:val="0"/>
                <w:w w:val="100"/>
                <w:position w:val="0"/>
                <w:highlight w:val="none"/>
              </w:rPr>
            </w:pPr>
            <w:r>
              <w:rPr>
                <w:rFonts w:hint="default"/>
                <w:color w:val="auto"/>
                <w:spacing w:val="0"/>
                <w:w w:val="100"/>
                <w:position w:val="0"/>
                <w:highlight w:val="none"/>
              </w:rPr>
              <w:t>工作年限</w:t>
            </w:r>
          </w:p>
        </w:tc>
        <w:tc>
          <w:tcPr>
            <w:tcW w:w="3867" w:type="dxa"/>
            <w:gridSpan w:val="3"/>
            <w:vAlign w:val="top"/>
          </w:tcPr>
          <w:p w14:paraId="34B4C8E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51" w:type="dxa"/>
            <w:gridSpan w:val="2"/>
            <w:vAlign w:val="top"/>
          </w:tcPr>
          <w:p w14:paraId="46A81C07">
            <w:pPr>
              <w:pStyle w:val="19"/>
              <w:keepNext w:val="0"/>
              <w:keepLines w:val="0"/>
              <w:widowControl/>
              <w:suppressLineNumbers w:val="0"/>
              <w:spacing w:before="83" w:beforeAutospacing="0" w:after="0" w:afterAutospacing="0"/>
              <w:ind w:left="0" w:right="78"/>
              <w:jc w:val="center"/>
              <w:rPr>
                <w:rFonts w:hint="default"/>
                <w:color w:val="auto"/>
                <w:spacing w:val="0"/>
                <w:w w:val="100"/>
                <w:position w:val="0"/>
                <w:highlight w:val="none"/>
              </w:rPr>
            </w:pPr>
            <w:r>
              <w:rPr>
                <w:rFonts w:hint="default"/>
                <w:color w:val="auto"/>
                <w:spacing w:val="0"/>
                <w:w w:val="100"/>
                <w:position w:val="0"/>
                <w:highlight w:val="none"/>
              </w:rPr>
              <w:t>类似勘察设计工作年限</w:t>
            </w:r>
          </w:p>
        </w:tc>
        <w:tc>
          <w:tcPr>
            <w:tcW w:w="2137" w:type="dxa"/>
            <w:gridSpan w:val="2"/>
            <w:vAlign w:val="top"/>
          </w:tcPr>
          <w:p w14:paraId="1937B24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7019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257" w:type="dxa"/>
            <w:vAlign w:val="top"/>
          </w:tcPr>
          <w:p w14:paraId="7B95F76E">
            <w:pPr>
              <w:pStyle w:val="19"/>
              <w:keepNext w:val="0"/>
              <w:keepLines w:val="0"/>
              <w:widowControl/>
              <w:suppressLineNumbers w:val="0"/>
              <w:spacing w:before="157" w:beforeAutospacing="0" w:after="0" w:afterAutospacing="0" w:line="221" w:lineRule="auto"/>
              <w:ind w:left="218" w:right="0"/>
              <w:rPr>
                <w:rFonts w:hint="default"/>
                <w:color w:val="auto"/>
                <w:spacing w:val="0"/>
                <w:w w:val="100"/>
                <w:position w:val="0"/>
                <w:highlight w:val="none"/>
              </w:rPr>
            </w:pPr>
            <w:r>
              <w:rPr>
                <w:rFonts w:hint="default"/>
                <w:color w:val="auto"/>
                <w:spacing w:val="0"/>
                <w:w w:val="100"/>
                <w:position w:val="0"/>
                <w:highlight w:val="none"/>
              </w:rPr>
              <w:t>毕业学校</w:t>
            </w:r>
          </w:p>
        </w:tc>
        <w:tc>
          <w:tcPr>
            <w:tcW w:w="7855" w:type="dxa"/>
            <w:gridSpan w:val="7"/>
            <w:vAlign w:val="top"/>
          </w:tcPr>
          <w:p w14:paraId="75A0CF2B">
            <w:pPr>
              <w:pStyle w:val="19"/>
              <w:keepNext w:val="0"/>
              <w:keepLines w:val="0"/>
              <w:widowControl/>
              <w:suppressLineNumbers w:val="0"/>
              <w:spacing w:before="157" w:beforeAutospacing="0" w:after="0" w:afterAutospacing="0" w:line="221" w:lineRule="auto"/>
              <w:ind w:left="434" w:right="0"/>
              <w:rPr>
                <w:rFonts w:hint="default"/>
                <w:color w:val="auto"/>
                <w:spacing w:val="0"/>
                <w:w w:val="100"/>
                <w:position w:val="0"/>
                <w:highlight w:val="none"/>
              </w:rPr>
            </w:pPr>
            <w:r>
              <w:rPr>
                <w:rFonts w:hint="default"/>
                <w:color w:val="auto"/>
                <w:spacing w:val="0"/>
                <w:w w:val="100"/>
                <w:position w:val="0"/>
                <w:highlight w:val="none"/>
              </w:rPr>
              <w:t>年</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月毕业于</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学校</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专业，学制 </w:t>
            </w:r>
            <w:r>
              <w:rPr>
                <w:rFonts w:hint="default"/>
                <w:color w:val="auto"/>
                <w:spacing w:val="0"/>
                <w:w w:val="100"/>
                <w:position w:val="0"/>
                <w:highlight w:val="none"/>
                <w:u w:val="single" w:color="auto"/>
              </w:rPr>
              <w:t xml:space="preserve">    </w:t>
            </w:r>
            <w:r>
              <w:rPr>
                <w:rFonts w:hint="default"/>
                <w:color w:val="auto"/>
                <w:spacing w:val="0"/>
                <w:w w:val="100"/>
                <w:position w:val="0"/>
                <w:highlight w:val="none"/>
              </w:rPr>
              <w:t xml:space="preserve"> 年</w:t>
            </w:r>
          </w:p>
        </w:tc>
      </w:tr>
      <w:tr w14:paraId="7031E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9112" w:type="dxa"/>
            <w:gridSpan w:val="8"/>
            <w:vAlign w:val="top"/>
          </w:tcPr>
          <w:p w14:paraId="73F29C7D">
            <w:pPr>
              <w:pStyle w:val="19"/>
              <w:keepNext w:val="0"/>
              <w:keepLines w:val="0"/>
              <w:widowControl/>
              <w:suppressLineNumbers w:val="0"/>
              <w:spacing w:before="231" w:beforeAutospacing="0" w:after="0" w:afterAutospacing="0" w:line="223" w:lineRule="auto"/>
              <w:ind w:left="3533" w:right="0"/>
              <w:rPr>
                <w:rFonts w:hint="default"/>
                <w:color w:val="auto"/>
                <w:spacing w:val="0"/>
                <w:w w:val="100"/>
                <w:position w:val="0"/>
                <w:highlight w:val="none"/>
              </w:rPr>
            </w:pPr>
            <w:r>
              <w:rPr>
                <w:rFonts w:hint="default"/>
                <w:color w:val="auto"/>
                <w:spacing w:val="0"/>
                <w:w w:val="100"/>
                <w:position w:val="0"/>
                <w:highlight w:val="none"/>
              </w:rPr>
              <w:t>经         历</w:t>
            </w:r>
          </w:p>
        </w:tc>
      </w:tr>
      <w:tr w14:paraId="6096A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1257" w:type="dxa"/>
            <w:vAlign w:val="top"/>
          </w:tcPr>
          <w:p w14:paraId="0D0B8D5D">
            <w:pPr>
              <w:pStyle w:val="19"/>
              <w:keepNext w:val="0"/>
              <w:keepLines w:val="0"/>
              <w:widowControl/>
              <w:suppressLineNumbers w:val="0"/>
              <w:spacing w:before="228" w:beforeAutospacing="0" w:after="0" w:afterAutospacing="0" w:line="223" w:lineRule="auto"/>
              <w:ind w:left="327" w:right="0"/>
              <w:rPr>
                <w:rFonts w:hint="default"/>
                <w:color w:val="auto"/>
                <w:spacing w:val="0"/>
                <w:w w:val="100"/>
                <w:position w:val="0"/>
                <w:highlight w:val="none"/>
              </w:rPr>
            </w:pPr>
            <w:r>
              <w:rPr>
                <w:rFonts w:hint="default"/>
                <w:color w:val="auto"/>
                <w:spacing w:val="0"/>
                <w:w w:val="100"/>
                <w:position w:val="0"/>
                <w:highlight w:val="none"/>
              </w:rPr>
              <w:t>时  间</w:t>
            </w:r>
          </w:p>
        </w:tc>
        <w:tc>
          <w:tcPr>
            <w:tcW w:w="4198" w:type="dxa"/>
            <w:gridSpan w:val="4"/>
            <w:vAlign w:val="top"/>
          </w:tcPr>
          <w:p w14:paraId="614980CC">
            <w:pPr>
              <w:pStyle w:val="19"/>
              <w:keepNext w:val="0"/>
              <w:keepLines w:val="0"/>
              <w:widowControl/>
              <w:suppressLineNumbers w:val="0"/>
              <w:spacing w:before="228" w:beforeAutospacing="0" w:after="0" w:afterAutospacing="0" w:line="221" w:lineRule="auto"/>
              <w:ind w:left="843" w:right="0"/>
              <w:rPr>
                <w:rFonts w:hint="default"/>
                <w:color w:val="auto"/>
                <w:spacing w:val="0"/>
                <w:w w:val="100"/>
                <w:position w:val="0"/>
                <w:highlight w:val="none"/>
              </w:rPr>
            </w:pPr>
            <w:r>
              <w:rPr>
                <w:rFonts w:hint="default"/>
                <w:color w:val="auto"/>
                <w:spacing w:val="0"/>
                <w:w w:val="100"/>
                <w:position w:val="0"/>
                <w:highlight w:val="none"/>
              </w:rPr>
              <w:t>参加过的类似工程项目名称</w:t>
            </w:r>
          </w:p>
        </w:tc>
        <w:tc>
          <w:tcPr>
            <w:tcW w:w="1684" w:type="dxa"/>
            <w:gridSpan w:val="2"/>
            <w:vAlign w:val="top"/>
          </w:tcPr>
          <w:p w14:paraId="077256C8">
            <w:pPr>
              <w:pStyle w:val="19"/>
              <w:keepNext w:val="0"/>
              <w:keepLines w:val="0"/>
              <w:widowControl/>
              <w:suppressLineNumbers w:val="0"/>
              <w:spacing w:before="228" w:beforeAutospacing="0" w:after="0" w:afterAutospacing="0" w:line="221" w:lineRule="auto"/>
              <w:ind w:left="430" w:right="0"/>
              <w:rPr>
                <w:rFonts w:hint="default"/>
                <w:color w:val="auto"/>
                <w:spacing w:val="0"/>
                <w:w w:val="100"/>
                <w:position w:val="0"/>
                <w:highlight w:val="none"/>
              </w:rPr>
            </w:pPr>
            <w:r>
              <w:rPr>
                <w:rFonts w:hint="default"/>
                <w:color w:val="auto"/>
                <w:spacing w:val="0"/>
                <w:w w:val="100"/>
                <w:position w:val="0"/>
                <w:highlight w:val="none"/>
              </w:rPr>
              <w:t>担任职务</w:t>
            </w:r>
          </w:p>
        </w:tc>
        <w:tc>
          <w:tcPr>
            <w:tcW w:w="1973" w:type="dxa"/>
            <w:vAlign w:val="top"/>
          </w:tcPr>
          <w:p w14:paraId="1B436448">
            <w:pPr>
              <w:pStyle w:val="19"/>
              <w:keepNext w:val="0"/>
              <w:keepLines w:val="0"/>
              <w:widowControl/>
              <w:suppressLineNumbers w:val="0"/>
              <w:spacing w:before="94" w:beforeAutospacing="0" w:after="0" w:afterAutospacing="0" w:line="221" w:lineRule="auto"/>
              <w:ind w:left="121" w:right="0"/>
              <w:rPr>
                <w:rFonts w:hint="default"/>
                <w:color w:val="auto"/>
                <w:spacing w:val="0"/>
                <w:w w:val="100"/>
                <w:position w:val="0"/>
                <w:highlight w:val="none"/>
              </w:rPr>
            </w:pPr>
            <w:r>
              <w:rPr>
                <w:rFonts w:hint="default"/>
                <w:color w:val="auto"/>
                <w:spacing w:val="0"/>
                <w:w w:val="100"/>
                <w:position w:val="0"/>
                <w:highlight w:val="none"/>
              </w:rPr>
              <w:t>发包人及联</w:t>
            </w:r>
          </w:p>
          <w:p w14:paraId="332668F8">
            <w:pPr>
              <w:pStyle w:val="19"/>
              <w:keepNext w:val="0"/>
              <w:keepLines w:val="0"/>
              <w:widowControl/>
              <w:suppressLineNumbers w:val="0"/>
              <w:spacing w:before="19" w:beforeAutospacing="0" w:after="0" w:afterAutospacing="0" w:line="223" w:lineRule="auto"/>
              <w:ind w:left="333" w:right="0"/>
              <w:rPr>
                <w:rFonts w:hint="default"/>
                <w:color w:val="auto"/>
                <w:spacing w:val="0"/>
                <w:w w:val="100"/>
                <w:position w:val="0"/>
                <w:highlight w:val="none"/>
              </w:rPr>
            </w:pPr>
            <w:r>
              <w:rPr>
                <w:rFonts w:hint="default"/>
                <w:color w:val="auto"/>
                <w:spacing w:val="0"/>
                <w:w w:val="100"/>
                <w:position w:val="0"/>
                <w:highlight w:val="none"/>
              </w:rPr>
              <w:t>系电话</w:t>
            </w:r>
          </w:p>
        </w:tc>
      </w:tr>
      <w:tr w14:paraId="12A18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257" w:type="dxa"/>
            <w:vAlign w:val="top"/>
          </w:tcPr>
          <w:p w14:paraId="5EBC11F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382E9E5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84" w:type="dxa"/>
            <w:gridSpan w:val="2"/>
            <w:vAlign w:val="top"/>
          </w:tcPr>
          <w:p w14:paraId="2C48069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73" w:type="dxa"/>
            <w:vAlign w:val="top"/>
          </w:tcPr>
          <w:p w14:paraId="58D2AB7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5808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257" w:type="dxa"/>
            <w:vAlign w:val="top"/>
          </w:tcPr>
          <w:p w14:paraId="184C7CB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04D6CA1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84" w:type="dxa"/>
            <w:gridSpan w:val="2"/>
            <w:vAlign w:val="top"/>
          </w:tcPr>
          <w:p w14:paraId="708AEA1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73" w:type="dxa"/>
            <w:vAlign w:val="top"/>
          </w:tcPr>
          <w:p w14:paraId="59F095C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5C56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57" w:type="dxa"/>
            <w:vAlign w:val="top"/>
          </w:tcPr>
          <w:p w14:paraId="6EE8E5C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732CD7E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84" w:type="dxa"/>
            <w:gridSpan w:val="2"/>
            <w:vAlign w:val="top"/>
          </w:tcPr>
          <w:p w14:paraId="5B52A3A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73" w:type="dxa"/>
            <w:vAlign w:val="top"/>
          </w:tcPr>
          <w:p w14:paraId="7F14067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7E69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1257" w:type="dxa"/>
            <w:vAlign w:val="top"/>
          </w:tcPr>
          <w:p w14:paraId="5C4D324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5516DE3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84" w:type="dxa"/>
            <w:gridSpan w:val="2"/>
            <w:vAlign w:val="top"/>
          </w:tcPr>
          <w:p w14:paraId="242C041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73" w:type="dxa"/>
            <w:vAlign w:val="top"/>
          </w:tcPr>
          <w:p w14:paraId="08F74DC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8867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257" w:type="dxa"/>
            <w:vAlign w:val="top"/>
          </w:tcPr>
          <w:p w14:paraId="3AD5F10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40BDE9E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84" w:type="dxa"/>
            <w:gridSpan w:val="2"/>
            <w:vAlign w:val="top"/>
          </w:tcPr>
          <w:p w14:paraId="44932B3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73" w:type="dxa"/>
            <w:vAlign w:val="top"/>
          </w:tcPr>
          <w:p w14:paraId="08BAD21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0034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257" w:type="dxa"/>
            <w:vAlign w:val="top"/>
          </w:tcPr>
          <w:p w14:paraId="52013E9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39FE49E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84" w:type="dxa"/>
            <w:gridSpan w:val="2"/>
            <w:vAlign w:val="top"/>
          </w:tcPr>
          <w:p w14:paraId="7472D20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73" w:type="dxa"/>
            <w:vAlign w:val="top"/>
          </w:tcPr>
          <w:p w14:paraId="2DBBF4D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C8A9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3" w:hRule="atLeast"/>
        </w:trPr>
        <w:tc>
          <w:tcPr>
            <w:tcW w:w="1257" w:type="dxa"/>
            <w:vAlign w:val="top"/>
          </w:tcPr>
          <w:p w14:paraId="337D261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4198" w:type="dxa"/>
            <w:gridSpan w:val="4"/>
            <w:vAlign w:val="top"/>
          </w:tcPr>
          <w:p w14:paraId="78E5020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84" w:type="dxa"/>
            <w:gridSpan w:val="2"/>
            <w:vAlign w:val="top"/>
          </w:tcPr>
          <w:p w14:paraId="6676CF5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973" w:type="dxa"/>
            <w:vAlign w:val="top"/>
          </w:tcPr>
          <w:p w14:paraId="58BB933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7521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658" w:type="dxa"/>
            <w:gridSpan w:val="2"/>
            <w:vAlign w:val="top"/>
          </w:tcPr>
          <w:p w14:paraId="3D0A42BD">
            <w:pPr>
              <w:pStyle w:val="19"/>
              <w:keepNext w:val="0"/>
              <w:keepLines w:val="0"/>
              <w:widowControl/>
              <w:suppressLineNumbers w:val="0"/>
              <w:spacing w:before="232" w:beforeAutospacing="0" w:after="0" w:afterAutospacing="0" w:line="221" w:lineRule="auto"/>
              <w:ind w:left="918" w:right="0"/>
              <w:rPr>
                <w:rFonts w:hint="default"/>
                <w:color w:val="auto"/>
                <w:spacing w:val="0"/>
                <w:w w:val="100"/>
                <w:position w:val="0"/>
                <w:highlight w:val="none"/>
              </w:rPr>
            </w:pPr>
            <w:r>
              <w:rPr>
                <w:rFonts w:hint="default"/>
                <w:color w:val="auto"/>
                <w:spacing w:val="0"/>
                <w:w w:val="100"/>
                <w:position w:val="0"/>
                <w:highlight w:val="none"/>
              </w:rPr>
              <w:t>获奖情况</w:t>
            </w:r>
          </w:p>
        </w:tc>
        <w:tc>
          <w:tcPr>
            <w:tcW w:w="6454" w:type="dxa"/>
            <w:gridSpan w:val="6"/>
            <w:vAlign w:val="top"/>
          </w:tcPr>
          <w:p w14:paraId="2002DAF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D8B5A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2658" w:type="dxa"/>
            <w:gridSpan w:val="2"/>
            <w:vAlign w:val="top"/>
          </w:tcPr>
          <w:p w14:paraId="3C21C099">
            <w:pPr>
              <w:pStyle w:val="19"/>
              <w:keepNext w:val="0"/>
              <w:keepLines w:val="0"/>
              <w:widowControl/>
              <w:suppressLineNumbers w:val="0"/>
              <w:spacing w:before="233" w:beforeAutospacing="0" w:after="0" w:afterAutospacing="0" w:line="221" w:lineRule="auto"/>
              <w:ind w:left="638" w:right="0"/>
              <w:rPr>
                <w:rFonts w:hint="default"/>
                <w:color w:val="auto"/>
                <w:spacing w:val="0"/>
                <w:w w:val="100"/>
                <w:position w:val="0"/>
                <w:highlight w:val="none"/>
              </w:rPr>
            </w:pPr>
            <w:r>
              <w:rPr>
                <w:rFonts w:hint="default"/>
                <w:color w:val="auto"/>
                <w:spacing w:val="0"/>
                <w:w w:val="100"/>
                <w:position w:val="0"/>
                <w:highlight w:val="none"/>
              </w:rPr>
              <w:t>目前承担的任务</w:t>
            </w:r>
          </w:p>
        </w:tc>
        <w:tc>
          <w:tcPr>
            <w:tcW w:w="6454" w:type="dxa"/>
            <w:gridSpan w:val="6"/>
            <w:vAlign w:val="top"/>
          </w:tcPr>
          <w:p w14:paraId="1BE6583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C810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2658" w:type="dxa"/>
            <w:gridSpan w:val="2"/>
            <w:vAlign w:val="top"/>
          </w:tcPr>
          <w:p w14:paraId="6A8EB075">
            <w:pPr>
              <w:pStyle w:val="19"/>
              <w:keepNext w:val="0"/>
              <w:keepLines w:val="0"/>
              <w:widowControl/>
              <w:suppressLineNumbers w:val="0"/>
              <w:spacing w:before="234" w:beforeAutospacing="0" w:after="0" w:afterAutospacing="0" w:line="222" w:lineRule="auto"/>
              <w:ind w:left="1020" w:right="0"/>
              <w:rPr>
                <w:rFonts w:hint="default"/>
                <w:color w:val="auto"/>
                <w:spacing w:val="0"/>
                <w:w w:val="100"/>
                <w:position w:val="0"/>
                <w:highlight w:val="none"/>
              </w:rPr>
            </w:pPr>
            <w:r>
              <w:rPr>
                <w:rFonts w:hint="default"/>
                <w:color w:val="auto"/>
                <w:spacing w:val="0"/>
                <w:w w:val="100"/>
                <w:position w:val="0"/>
                <w:highlight w:val="none"/>
              </w:rPr>
              <w:t>备  注</w:t>
            </w:r>
          </w:p>
        </w:tc>
        <w:tc>
          <w:tcPr>
            <w:tcW w:w="6454" w:type="dxa"/>
            <w:gridSpan w:val="6"/>
            <w:vAlign w:val="top"/>
          </w:tcPr>
          <w:p w14:paraId="7CC8304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0979A5B4">
      <w:pPr>
        <w:rPr>
          <w:rFonts w:ascii="Arial"/>
          <w:color w:val="auto"/>
          <w:spacing w:val="0"/>
          <w:w w:val="100"/>
          <w:position w:val="0"/>
          <w:sz w:val="21"/>
          <w:highlight w:val="none"/>
        </w:rPr>
      </w:pPr>
    </w:p>
    <w:p w14:paraId="098EBE5C">
      <w:pPr>
        <w:rPr>
          <w:rFonts w:ascii="Arial" w:hAnsi="Arial" w:eastAsia="Arial" w:cs="Arial"/>
          <w:color w:val="auto"/>
          <w:spacing w:val="0"/>
          <w:w w:val="100"/>
          <w:position w:val="0"/>
          <w:sz w:val="21"/>
          <w:szCs w:val="21"/>
          <w:highlight w:val="none"/>
        </w:rPr>
        <w:sectPr>
          <w:footerReference r:id="rId81" w:type="default"/>
          <w:pgSz w:w="11900" w:h="16843"/>
          <w:pgMar w:top="1378" w:right="1417" w:bottom="1208" w:left="1417" w:header="1366" w:footer="1003" w:gutter="0"/>
          <w:pgNumType w:fmt="decimal"/>
          <w:cols w:space="0" w:num="1"/>
          <w:rtlGutter w:val="0"/>
          <w:docGrid w:linePitch="0" w:charSpace="0"/>
        </w:sectPr>
      </w:pPr>
    </w:p>
    <w:p w14:paraId="18EE80FB">
      <w:pPr>
        <w:pStyle w:val="6"/>
        <w:spacing w:before="101" w:line="224" w:lineRule="auto"/>
        <w:ind w:left="3230"/>
        <w:outlineLvl w:val="1"/>
        <w:rPr>
          <w:color w:val="auto"/>
          <w:spacing w:val="0"/>
          <w:w w:val="100"/>
          <w:position w:val="0"/>
          <w:highlight w:val="none"/>
        </w:rPr>
      </w:pPr>
      <w:bookmarkStart w:id="42" w:name="bookmark56"/>
      <w:bookmarkEnd w:id="42"/>
      <w:bookmarkStart w:id="43" w:name="bookmark38"/>
      <w:bookmarkEnd w:id="43"/>
      <w:r>
        <w:rPr>
          <w:rFonts w:hint="eastAsia"/>
          <w:b/>
          <w:bCs/>
          <w:color w:val="auto"/>
          <w:spacing w:val="0"/>
          <w:w w:val="100"/>
          <w:position w:val="0"/>
          <w:highlight w:val="none"/>
          <w:lang w:val="en-US" w:eastAsia="zh-CN"/>
        </w:rPr>
        <w:t>七</w:t>
      </w:r>
      <w:r>
        <w:rPr>
          <w:b/>
          <w:bCs/>
          <w:color w:val="auto"/>
          <w:spacing w:val="0"/>
          <w:w w:val="100"/>
          <w:position w:val="0"/>
          <w:highlight w:val="none"/>
        </w:rPr>
        <w:t>、其他资料</w:t>
      </w:r>
    </w:p>
    <w:p w14:paraId="1EDF1BEE">
      <w:pPr>
        <w:spacing w:line="273" w:lineRule="auto"/>
        <w:rPr>
          <w:rFonts w:ascii="Arial"/>
          <w:color w:val="auto"/>
          <w:spacing w:val="0"/>
          <w:w w:val="100"/>
          <w:position w:val="0"/>
          <w:sz w:val="21"/>
          <w:highlight w:val="none"/>
        </w:rPr>
      </w:pPr>
    </w:p>
    <w:p w14:paraId="016C631E">
      <w:pPr>
        <w:spacing w:before="78" w:line="219" w:lineRule="auto"/>
        <w:ind w:left="1072"/>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投标人对照资格审查条件，自行提供其他相关资料（如有）</w:t>
      </w:r>
    </w:p>
    <w:p w14:paraId="59B9CFE0">
      <w:pPr>
        <w:spacing w:line="219" w:lineRule="auto"/>
        <w:rPr>
          <w:rFonts w:ascii="宋体" w:hAnsi="宋体" w:eastAsia="宋体" w:cs="宋体"/>
          <w:color w:val="auto"/>
          <w:spacing w:val="0"/>
          <w:w w:val="100"/>
          <w:position w:val="0"/>
          <w:sz w:val="24"/>
          <w:szCs w:val="24"/>
          <w:highlight w:val="none"/>
        </w:rPr>
        <w:sectPr>
          <w:headerReference r:id="rId82" w:type="default"/>
          <w:footerReference r:id="rId83" w:type="default"/>
          <w:pgSz w:w="11900" w:h="16843"/>
          <w:pgMar w:top="1378" w:right="1417" w:bottom="1208" w:left="1417" w:header="1366" w:footer="1003" w:gutter="0"/>
          <w:pgNumType w:fmt="decimal"/>
          <w:cols w:space="0" w:num="1"/>
          <w:rtlGutter w:val="0"/>
          <w:docGrid w:linePitch="0" w:charSpace="0"/>
        </w:sectPr>
      </w:pPr>
    </w:p>
    <w:p w14:paraId="1A84AD52">
      <w:pPr>
        <w:pStyle w:val="6"/>
        <w:spacing w:before="101" w:line="224" w:lineRule="auto"/>
        <w:ind w:left="2427"/>
        <w:outlineLvl w:val="2"/>
        <w:rPr>
          <w:color w:val="auto"/>
          <w:spacing w:val="0"/>
          <w:w w:val="100"/>
          <w:position w:val="0"/>
          <w:highlight w:val="none"/>
        </w:rPr>
      </w:pPr>
      <w:bookmarkStart w:id="44" w:name="bookmark39"/>
      <w:bookmarkEnd w:id="44"/>
      <w:r>
        <w:rPr>
          <w:rFonts w:hint="eastAsia"/>
          <w:b/>
          <w:bCs/>
          <w:color w:val="auto"/>
          <w:spacing w:val="0"/>
          <w:w w:val="100"/>
          <w:position w:val="0"/>
          <w:highlight w:val="none"/>
          <w:lang w:val="en-US" w:eastAsia="zh-CN"/>
        </w:rPr>
        <w:t>八</w:t>
      </w:r>
      <w:r>
        <w:rPr>
          <w:b/>
          <w:bCs/>
          <w:color w:val="auto"/>
          <w:spacing w:val="0"/>
          <w:w w:val="100"/>
          <w:position w:val="0"/>
          <w:highlight w:val="none"/>
        </w:rPr>
        <w:t>、技术建议书</w:t>
      </w:r>
    </w:p>
    <w:p w14:paraId="4CEDC4BE">
      <w:pPr>
        <w:spacing w:line="291" w:lineRule="auto"/>
        <w:rPr>
          <w:rFonts w:ascii="Arial"/>
          <w:color w:val="auto"/>
          <w:spacing w:val="0"/>
          <w:w w:val="100"/>
          <w:position w:val="0"/>
          <w:sz w:val="21"/>
          <w:highlight w:val="none"/>
        </w:rPr>
      </w:pPr>
    </w:p>
    <w:p w14:paraId="6DB19B2F">
      <w:pPr>
        <w:spacing w:line="292" w:lineRule="auto"/>
        <w:rPr>
          <w:rFonts w:ascii="Arial"/>
          <w:color w:val="auto"/>
          <w:spacing w:val="0"/>
          <w:w w:val="100"/>
          <w:position w:val="0"/>
          <w:sz w:val="21"/>
          <w:highlight w:val="none"/>
        </w:rPr>
      </w:pPr>
    </w:p>
    <w:p w14:paraId="7F7555DB">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default" w:ascii="宋体" w:hAnsi="宋体" w:eastAsia="宋体" w:cs="宋体"/>
          <w:b w:val="0"/>
          <w:bCs w:val="0"/>
          <w:color w:val="auto"/>
          <w:spacing w:val="0"/>
          <w:w w:val="100"/>
          <w:position w:val="0"/>
          <w:sz w:val="24"/>
          <w:szCs w:val="24"/>
          <w:highlight w:val="none"/>
          <w:lang w:val="en-US" w:eastAsia="zh-CN"/>
        </w:rPr>
        <w:t>01</w:t>
      </w:r>
      <w:r>
        <w:rPr>
          <w:rFonts w:hint="eastAsia" w:ascii="宋体" w:hAnsi="宋体" w:eastAsia="宋体" w:cs="宋体"/>
          <w:b w:val="0"/>
          <w:bCs w:val="0"/>
          <w:color w:val="auto"/>
          <w:spacing w:val="0"/>
          <w:w w:val="100"/>
          <w:position w:val="0"/>
          <w:sz w:val="24"/>
          <w:szCs w:val="24"/>
          <w:highlight w:val="none"/>
          <w:lang w:val="en-US" w:eastAsia="zh-CN"/>
        </w:rPr>
        <w:t xml:space="preserve">标段： </w:t>
      </w:r>
    </w:p>
    <w:p w14:paraId="7BA72B9F">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 xml:space="preserve">1.对招标项目的理解和总体设计思路； </w:t>
      </w:r>
    </w:p>
    <w:p w14:paraId="6BF5BF02">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 xml:space="preserve">2.招标项目勘察设计的特点、关键技术问题的认识及其对策措施； </w:t>
      </w:r>
    </w:p>
    <w:p w14:paraId="4A5D3CC5">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 xml:space="preserve">3.勘察设计工作量及计划安排； </w:t>
      </w:r>
    </w:p>
    <w:p w14:paraId="66004BE0">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4.勘察设计的质量保证措施、进度保证措施、安全保证措施；</w:t>
      </w:r>
    </w:p>
    <w:p w14:paraId="11E876BB">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5.后续服务的安排及保证措施。</w:t>
      </w:r>
    </w:p>
    <w:p w14:paraId="074A6215">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 xml:space="preserve"> （附必要的图纸） </w:t>
      </w:r>
    </w:p>
    <w:p w14:paraId="154615A8">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p>
    <w:p w14:paraId="57D4B4BA">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 xml:space="preserve">02标段： </w:t>
      </w:r>
    </w:p>
    <w:p w14:paraId="256D843E">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 xml:space="preserve">1.对招标项目的理解和总体工作思路； </w:t>
      </w:r>
    </w:p>
    <w:p w14:paraId="32702D42">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 xml:space="preserve">2.技术咨询、勘察监理工作内容及工作方案； </w:t>
      </w:r>
    </w:p>
    <w:p w14:paraId="32F7567F">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 xml:space="preserve">3.技术咨询、详勘监理工作量及计划安排； </w:t>
      </w:r>
    </w:p>
    <w:p w14:paraId="4A4EF569">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4.技术咨询、详勘监理的质量保证措施、进度保证措施 。</w:t>
      </w:r>
    </w:p>
    <w:p w14:paraId="3A82D65F">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p>
    <w:p w14:paraId="7152AF14">
      <w:pPr>
        <w:spacing w:before="78" w:line="361" w:lineRule="auto"/>
        <w:ind w:left="46" w:right="29" w:firstLine="473"/>
        <w:rPr>
          <w:rFonts w:hint="eastAsia" w:ascii="宋体" w:hAnsi="宋体" w:eastAsia="宋体" w:cs="宋体"/>
          <w:b w:val="0"/>
          <w:bCs w:val="0"/>
          <w:color w:val="auto"/>
          <w:spacing w:val="0"/>
          <w:w w:val="100"/>
          <w:position w:val="0"/>
          <w:sz w:val="24"/>
          <w:szCs w:val="24"/>
          <w:highlight w:val="none"/>
          <w:lang w:val="en-US" w:eastAsia="zh-CN"/>
        </w:rPr>
      </w:pPr>
    </w:p>
    <w:p w14:paraId="166CA084">
      <w:pPr>
        <w:spacing w:before="78" w:line="361" w:lineRule="auto"/>
        <w:ind w:left="46" w:right="29" w:firstLine="473"/>
        <w:rPr>
          <w:rFonts w:hint="eastAsia" w:ascii="宋体" w:hAnsi="宋体" w:eastAsia="宋体" w:cs="宋体"/>
          <w:b/>
          <w:bCs/>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highlight w:val="none"/>
          <w:lang w:val="en-US" w:eastAsia="zh-CN"/>
        </w:rPr>
        <w:t>说明：技术建议书采用标准图框A3幅面（仅限一册，含文字说明在内，总页数不超过500页）。</w:t>
      </w:r>
    </w:p>
    <w:p w14:paraId="5FFA90FD">
      <w:pPr>
        <w:spacing w:before="78" w:line="361" w:lineRule="auto"/>
        <w:ind w:left="46" w:right="29" w:firstLine="473"/>
        <w:rPr>
          <w:rFonts w:ascii="宋体" w:hAnsi="宋体" w:eastAsia="宋体" w:cs="宋体"/>
          <w:color w:val="auto"/>
          <w:spacing w:val="0"/>
          <w:w w:val="100"/>
          <w:position w:val="0"/>
          <w:sz w:val="24"/>
          <w:szCs w:val="24"/>
          <w:highlight w:val="none"/>
        </w:rPr>
      </w:pPr>
    </w:p>
    <w:p w14:paraId="21900301">
      <w:pPr>
        <w:spacing w:line="361" w:lineRule="auto"/>
        <w:rPr>
          <w:rFonts w:ascii="宋体" w:hAnsi="宋体" w:eastAsia="宋体" w:cs="宋体"/>
          <w:color w:val="auto"/>
          <w:spacing w:val="0"/>
          <w:w w:val="100"/>
          <w:position w:val="0"/>
          <w:sz w:val="24"/>
          <w:szCs w:val="24"/>
          <w:highlight w:val="none"/>
        </w:rPr>
        <w:sectPr>
          <w:footerReference r:id="rId84" w:type="default"/>
          <w:pgSz w:w="11900" w:h="16843"/>
          <w:pgMar w:top="1378" w:right="1417" w:bottom="1208" w:left="1417" w:header="1366" w:footer="1003" w:gutter="0"/>
          <w:pgNumType w:fmt="decimal"/>
          <w:cols w:space="0" w:num="1"/>
          <w:rtlGutter w:val="0"/>
          <w:docGrid w:linePitch="0" w:charSpace="0"/>
        </w:sectPr>
      </w:pPr>
    </w:p>
    <w:p w14:paraId="48893EE5">
      <w:pPr>
        <w:spacing w:line="259" w:lineRule="auto"/>
        <w:rPr>
          <w:rFonts w:ascii="Arial"/>
          <w:color w:val="auto"/>
          <w:spacing w:val="0"/>
          <w:w w:val="100"/>
          <w:position w:val="0"/>
          <w:sz w:val="21"/>
          <w:highlight w:val="none"/>
        </w:rPr>
      </w:pPr>
    </w:p>
    <w:p w14:paraId="4E4FC31D">
      <w:pPr>
        <w:spacing w:line="259" w:lineRule="auto"/>
        <w:rPr>
          <w:rFonts w:ascii="Arial"/>
          <w:color w:val="auto"/>
          <w:spacing w:val="0"/>
          <w:w w:val="100"/>
          <w:position w:val="0"/>
          <w:sz w:val="21"/>
          <w:highlight w:val="none"/>
        </w:rPr>
      </w:pPr>
    </w:p>
    <w:p w14:paraId="21F0C77E">
      <w:pPr>
        <w:spacing w:line="259" w:lineRule="auto"/>
        <w:rPr>
          <w:rFonts w:ascii="Arial"/>
          <w:color w:val="auto"/>
          <w:spacing w:val="0"/>
          <w:w w:val="100"/>
          <w:position w:val="0"/>
          <w:sz w:val="21"/>
          <w:highlight w:val="none"/>
        </w:rPr>
      </w:pPr>
    </w:p>
    <w:p w14:paraId="097DE444">
      <w:pPr>
        <w:spacing w:line="259" w:lineRule="auto"/>
        <w:rPr>
          <w:rFonts w:ascii="Arial"/>
          <w:color w:val="auto"/>
          <w:spacing w:val="0"/>
          <w:w w:val="100"/>
          <w:position w:val="0"/>
          <w:sz w:val="21"/>
          <w:highlight w:val="none"/>
        </w:rPr>
      </w:pPr>
    </w:p>
    <w:p w14:paraId="323D76A6">
      <w:pPr>
        <w:spacing w:line="259" w:lineRule="auto"/>
        <w:rPr>
          <w:rFonts w:ascii="Arial"/>
          <w:color w:val="auto"/>
          <w:spacing w:val="0"/>
          <w:w w:val="100"/>
          <w:position w:val="0"/>
          <w:sz w:val="21"/>
          <w:highlight w:val="none"/>
        </w:rPr>
      </w:pPr>
    </w:p>
    <w:p w14:paraId="721ADDD5">
      <w:pPr>
        <w:spacing w:line="259" w:lineRule="auto"/>
        <w:rPr>
          <w:rFonts w:ascii="Arial"/>
          <w:color w:val="auto"/>
          <w:spacing w:val="0"/>
          <w:w w:val="100"/>
          <w:position w:val="0"/>
          <w:sz w:val="21"/>
          <w:highlight w:val="none"/>
        </w:rPr>
      </w:pPr>
    </w:p>
    <w:p w14:paraId="1141BEC6">
      <w:pPr>
        <w:spacing w:line="260" w:lineRule="auto"/>
        <w:rPr>
          <w:rFonts w:ascii="Arial"/>
          <w:color w:val="auto"/>
          <w:spacing w:val="0"/>
          <w:w w:val="100"/>
          <w:position w:val="0"/>
          <w:sz w:val="21"/>
          <w:highlight w:val="none"/>
        </w:rPr>
      </w:pPr>
    </w:p>
    <w:p w14:paraId="07FD92B9">
      <w:pPr>
        <w:spacing w:line="260" w:lineRule="auto"/>
        <w:rPr>
          <w:rFonts w:ascii="Arial"/>
          <w:color w:val="auto"/>
          <w:spacing w:val="0"/>
          <w:w w:val="100"/>
          <w:position w:val="0"/>
          <w:sz w:val="21"/>
          <w:highlight w:val="none"/>
        </w:rPr>
      </w:pPr>
    </w:p>
    <w:p w14:paraId="6E23BCCB">
      <w:pPr>
        <w:tabs>
          <w:tab w:val="left" w:pos="3693"/>
        </w:tabs>
        <w:spacing w:before="91" w:line="221" w:lineRule="auto"/>
        <w:ind w:left="1871"/>
        <w:rPr>
          <w:rFonts w:ascii="宋体" w:hAnsi="宋体" w:eastAsia="宋体" w:cs="宋体"/>
          <w:color w:val="auto"/>
          <w:spacing w:val="0"/>
          <w:w w:val="100"/>
          <w:position w:val="0"/>
          <w:sz w:val="28"/>
          <w:szCs w:val="28"/>
          <w:highlight w:val="none"/>
        </w:rPr>
      </w:pPr>
      <w:r>
        <w:rPr>
          <w:rFonts w:ascii="宋体" w:hAnsi="宋体" w:eastAsia="宋体" w:cs="宋体"/>
          <w:color w:val="auto"/>
          <w:spacing w:val="0"/>
          <w:w w:val="100"/>
          <w:position w:val="0"/>
          <w:sz w:val="28"/>
          <w:szCs w:val="28"/>
          <w:highlight w:val="none"/>
          <w:u w:val="single" w:color="auto"/>
        </w:rPr>
        <w:tab/>
      </w:r>
      <w:r>
        <w:rPr>
          <w:rFonts w:ascii="宋体" w:hAnsi="宋体" w:eastAsia="宋体" w:cs="宋体"/>
          <w:color w:val="auto"/>
          <w:spacing w:val="0"/>
          <w:w w:val="100"/>
          <w:position w:val="0"/>
          <w:sz w:val="28"/>
          <w:szCs w:val="28"/>
          <w:highlight w:val="none"/>
        </w:rPr>
        <w:t>（项目名称）</w:t>
      </w:r>
      <w:r>
        <w:rPr>
          <w:rFonts w:ascii="宋体" w:hAnsi="宋体" w:eastAsia="宋体" w:cs="宋体"/>
          <w:color w:val="auto"/>
          <w:spacing w:val="0"/>
          <w:w w:val="100"/>
          <w:position w:val="0"/>
          <w:sz w:val="28"/>
          <w:szCs w:val="28"/>
          <w:highlight w:val="none"/>
          <w:u w:val="single" w:color="auto"/>
        </w:rPr>
        <w:t xml:space="preserve"> </w:t>
      </w:r>
      <w:r>
        <w:rPr>
          <w:rFonts w:hint="eastAsia" w:ascii="宋体" w:hAnsi="宋体" w:eastAsia="宋体" w:cs="宋体"/>
          <w:color w:val="auto"/>
          <w:spacing w:val="0"/>
          <w:w w:val="100"/>
          <w:position w:val="0"/>
          <w:sz w:val="28"/>
          <w:szCs w:val="28"/>
          <w:highlight w:val="none"/>
          <w:u w:val="single" w:color="auto"/>
          <w:lang w:val="en-US" w:eastAsia="zh-CN"/>
        </w:rPr>
        <w:t xml:space="preserve">     </w:t>
      </w:r>
      <w:r>
        <w:rPr>
          <w:rFonts w:ascii="宋体" w:hAnsi="宋体" w:eastAsia="宋体" w:cs="宋体"/>
          <w:color w:val="auto"/>
          <w:spacing w:val="0"/>
          <w:w w:val="100"/>
          <w:position w:val="0"/>
          <w:sz w:val="28"/>
          <w:szCs w:val="28"/>
          <w:highlight w:val="none"/>
          <w:u w:val="single" w:color="auto"/>
        </w:rPr>
        <w:t xml:space="preserve"> </w:t>
      </w:r>
      <w:r>
        <w:rPr>
          <w:rFonts w:ascii="宋体" w:hAnsi="宋体" w:eastAsia="宋体" w:cs="宋体"/>
          <w:color w:val="auto"/>
          <w:spacing w:val="0"/>
          <w:w w:val="100"/>
          <w:position w:val="0"/>
          <w:sz w:val="28"/>
          <w:szCs w:val="28"/>
          <w:highlight w:val="none"/>
        </w:rPr>
        <w:t>标段</w:t>
      </w:r>
    </w:p>
    <w:p w14:paraId="6B14278E">
      <w:pPr>
        <w:spacing w:line="298" w:lineRule="auto"/>
        <w:rPr>
          <w:rFonts w:ascii="Arial"/>
          <w:color w:val="auto"/>
          <w:spacing w:val="0"/>
          <w:w w:val="100"/>
          <w:position w:val="0"/>
          <w:sz w:val="21"/>
          <w:highlight w:val="none"/>
        </w:rPr>
      </w:pPr>
    </w:p>
    <w:p w14:paraId="12BF1165">
      <w:pPr>
        <w:spacing w:line="298" w:lineRule="auto"/>
        <w:rPr>
          <w:rFonts w:ascii="Arial"/>
          <w:color w:val="auto"/>
          <w:spacing w:val="0"/>
          <w:w w:val="100"/>
          <w:position w:val="0"/>
          <w:sz w:val="21"/>
          <w:highlight w:val="none"/>
        </w:rPr>
      </w:pPr>
    </w:p>
    <w:p w14:paraId="26D0D67B">
      <w:pPr>
        <w:pStyle w:val="6"/>
        <w:spacing w:before="140" w:line="236" w:lineRule="auto"/>
        <w:ind w:left="3645" w:right="3303" w:hanging="334"/>
        <w:outlineLvl w:val="1"/>
        <w:rPr>
          <w:b/>
          <w:bCs/>
          <w:color w:val="auto"/>
          <w:spacing w:val="0"/>
          <w:w w:val="100"/>
          <w:position w:val="0"/>
          <w:sz w:val="43"/>
          <w:szCs w:val="43"/>
          <w:highlight w:val="none"/>
        </w:rPr>
      </w:pPr>
      <w:bookmarkStart w:id="45" w:name="bookmark40"/>
      <w:bookmarkEnd w:id="45"/>
      <w:r>
        <w:rPr>
          <w:b/>
          <w:bCs/>
          <w:color w:val="auto"/>
          <w:spacing w:val="0"/>
          <w:w w:val="100"/>
          <w:position w:val="0"/>
          <w:sz w:val="43"/>
          <w:szCs w:val="43"/>
          <w:highlight w:val="none"/>
        </w:rPr>
        <w:t>投标文件</w:t>
      </w:r>
    </w:p>
    <w:p w14:paraId="5580CDC0">
      <w:pPr>
        <w:pStyle w:val="6"/>
        <w:spacing w:before="140" w:line="236" w:lineRule="auto"/>
        <w:ind w:left="3645" w:right="3303" w:hanging="334"/>
        <w:outlineLvl w:val="1"/>
        <w:rPr>
          <w:color w:val="auto"/>
          <w:spacing w:val="0"/>
          <w:w w:val="100"/>
          <w:position w:val="0"/>
          <w:sz w:val="43"/>
          <w:szCs w:val="43"/>
          <w:highlight w:val="none"/>
        </w:rPr>
      </w:pPr>
      <w:r>
        <w:rPr>
          <w:color w:val="auto"/>
          <w:spacing w:val="0"/>
          <w:w w:val="100"/>
          <w:position w:val="0"/>
          <w:sz w:val="43"/>
          <w:szCs w:val="43"/>
          <w:highlight w:val="none"/>
        </w:rPr>
        <w:t xml:space="preserve"> </w:t>
      </w:r>
    </w:p>
    <w:p w14:paraId="78929D12">
      <w:pPr>
        <w:pStyle w:val="6"/>
        <w:spacing w:before="140" w:line="236" w:lineRule="auto"/>
        <w:ind w:left="3645" w:right="3303" w:hanging="334"/>
        <w:outlineLvl w:val="1"/>
        <w:rPr>
          <w:b/>
          <w:bCs/>
          <w:color w:val="auto"/>
          <w:spacing w:val="0"/>
          <w:w w:val="100"/>
          <w:position w:val="0"/>
          <w:sz w:val="43"/>
          <w:szCs w:val="43"/>
          <w:highlight w:val="none"/>
        </w:rPr>
      </w:pPr>
      <w:r>
        <w:rPr>
          <w:b/>
          <w:bCs/>
          <w:color w:val="auto"/>
          <w:spacing w:val="0"/>
          <w:w w:val="100"/>
          <w:position w:val="0"/>
          <w:sz w:val="43"/>
          <w:szCs w:val="43"/>
          <w:highlight w:val="none"/>
        </w:rPr>
        <w:t>(报价文件)</w:t>
      </w:r>
    </w:p>
    <w:p w14:paraId="2E18F8D5">
      <w:pPr>
        <w:spacing w:line="245" w:lineRule="auto"/>
        <w:rPr>
          <w:rFonts w:ascii="Arial"/>
          <w:color w:val="auto"/>
          <w:spacing w:val="0"/>
          <w:w w:val="100"/>
          <w:position w:val="0"/>
          <w:sz w:val="21"/>
          <w:highlight w:val="none"/>
        </w:rPr>
      </w:pPr>
    </w:p>
    <w:p w14:paraId="70B869F6">
      <w:pPr>
        <w:spacing w:line="245" w:lineRule="auto"/>
        <w:rPr>
          <w:rFonts w:ascii="Arial"/>
          <w:color w:val="auto"/>
          <w:spacing w:val="0"/>
          <w:w w:val="100"/>
          <w:position w:val="0"/>
          <w:sz w:val="21"/>
          <w:highlight w:val="none"/>
        </w:rPr>
      </w:pPr>
    </w:p>
    <w:p w14:paraId="2D90D64F">
      <w:pPr>
        <w:spacing w:line="245" w:lineRule="auto"/>
        <w:rPr>
          <w:rFonts w:ascii="Arial"/>
          <w:color w:val="auto"/>
          <w:spacing w:val="0"/>
          <w:w w:val="100"/>
          <w:position w:val="0"/>
          <w:sz w:val="21"/>
          <w:highlight w:val="none"/>
        </w:rPr>
      </w:pPr>
    </w:p>
    <w:p w14:paraId="34A4CDF1">
      <w:pPr>
        <w:spacing w:line="245" w:lineRule="auto"/>
        <w:rPr>
          <w:rFonts w:ascii="Arial"/>
          <w:color w:val="auto"/>
          <w:spacing w:val="0"/>
          <w:w w:val="100"/>
          <w:position w:val="0"/>
          <w:sz w:val="21"/>
          <w:highlight w:val="none"/>
        </w:rPr>
      </w:pPr>
    </w:p>
    <w:p w14:paraId="19568146">
      <w:pPr>
        <w:spacing w:line="245" w:lineRule="auto"/>
        <w:rPr>
          <w:rFonts w:ascii="Arial"/>
          <w:color w:val="auto"/>
          <w:spacing w:val="0"/>
          <w:w w:val="100"/>
          <w:position w:val="0"/>
          <w:sz w:val="21"/>
          <w:highlight w:val="none"/>
        </w:rPr>
      </w:pPr>
    </w:p>
    <w:p w14:paraId="45D0292A">
      <w:pPr>
        <w:spacing w:line="245" w:lineRule="auto"/>
        <w:rPr>
          <w:rFonts w:ascii="Arial"/>
          <w:color w:val="auto"/>
          <w:spacing w:val="0"/>
          <w:w w:val="100"/>
          <w:position w:val="0"/>
          <w:sz w:val="21"/>
          <w:highlight w:val="none"/>
        </w:rPr>
      </w:pPr>
    </w:p>
    <w:p w14:paraId="563E94B3">
      <w:pPr>
        <w:spacing w:line="245" w:lineRule="auto"/>
        <w:rPr>
          <w:rFonts w:ascii="Arial"/>
          <w:color w:val="auto"/>
          <w:spacing w:val="0"/>
          <w:w w:val="100"/>
          <w:position w:val="0"/>
          <w:sz w:val="21"/>
          <w:highlight w:val="none"/>
        </w:rPr>
      </w:pPr>
    </w:p>
    <w:p w14:paraId="2FB885AF">
      <w:pPr>
        <w:spacing w:line="245" w:lineRule="auto"/>
        <w:rPr>
          <w:rFonts w:ascii="Arial"/>
          <w:color w:val="auto"/>
          <w:spacing w:val="0"/>
          <w:w w:val="100"/>
          <w:position w:val="0"/>
          <w:sz w:val="21"/>
          <w:highlight w:val="none"/>
        </w:rPr>
      </w:pPr>
    </w:p>
    <w:p w14:paraId="4BB1B789">
      <w:pPr>
        <w:spacing w:line="245" w:lineRule="auto"/>
        <w:rPr>
          <w:rFonts w:ascii="Arial"/>
          <w:color w:val="auto"/>
          <w:spacing w:val="0"/>
          <w:w w:val="100"/>
          <w:position w:val="0"/>
          <w:sz w:val="21"/>
          <w:highlight w:val="none"/>
        </w:rPr>
      </w:pPr>
    </w:p>
    <w:p w14:paraId="3C135016">
      <w:pPr>
        <w:spacing w:line="245" w:lineRule="auto"/>
        <w:rPr>
          <w:rFonts w:ascii="Arial"/>
          <w:color w:val="auto"/>
          <w:spacing w:val="0"/>
          <w:w w:val="100"/>
          <w:position w:val="0"/>
          <w:sz w:val="21"/>
          <w:highlight w:val="none"/>
        </w:rPr>
      </w:pPr>
    </w:p>
    <w:p w14:paraId="43F51DA7">
      <w:pPr>
        <w:spacing w:line="245" w:lineRule="auto"/>
        <w:rPr>
          <w:rFonts w:ascii="Arial"/>
          <w:color w:val="auto"/>
          <w:spacing w:val="0"/>
          <w:w w:val="100"/>
          <w:position w:val="0"/>
          <w:sz w:val="21"/>
          <w:highlight w:val="none"/>
        </w:rPr>
      </w:pPr>
    </w:p>
    <w:p w14:paraId="77EF2254">
      <w:pPr>
        <w:spacing w:line="245" w:lineRule="auto"/>
        <w:rPr>
          <w:rFonts w:ascii="Arial"/>
          <w:color w:val="auto"/>
          <w:spacing w:val="0"/>
          <w:w w:val="100"/>
          <w:position w:val="0"/>
          <w:sz w:val="21"/>
          <w:highlight w:val="none"/>
        </w:rPr>
      </w:pPr>
    </w:p>
    <w:p w14:paraId="3EB6E18A">
      <w:pPr>
        <w:spacing w:line="245" w:lineRule="auto"/>
        <w:rPr>
          <w:rFonts w:ascii="Arial"/>
          <w:color w:val="auto"/>
          <w:spacing w:val="0"/>
          <w:w w:val="100"/>
          <w:position w:val="0"/>
          <w:sz w:val="21"/>
          <w:highlight w:val="none"/>
        </w:rPr>
      </w:pPr>
    </w:p>
    <w:p w14:paraId="6126C766">
      <w:pPr>
        <w:spacing w:line="245" w:lineRule="auto"/>
        <w:rPr>
          <w:rFonts w:ascii="Arial"/>
          <w:color w:val="auto"/>
          <w:spacing w:val="0"/>
          <w:w w:val="100"/>
          <w:position w:val="0"/>
          <w:sz w:val="21"/>
          <w:highlight w:val="none"/>
        </w:rPr>
      </w:pPr>
    </w:p>
    <w:p w14:paraId="5269C3B4">
      <w:pPr>
        <w:spacing w:line="245" w:lineRule="auto"/>
        <w:rPr>
          <w:rFonts w:ascii="Arial"/>
          <w:color w:val="auto"/>
          <w:spacing w:val="0"/>
          <w:w w:val="100"/>
          <w:position w:val="0"/>
          <w:sz w:val="21"/>
          <w:highlight w:val="none"/>
        </w:rPr>
      </w:pPr>
    </w:p>
    <w:p w14:paraId="666D5C65">
      <w:pPr>
        <w:spacing w:line="245" w:lineRule="auto"/>
        <w:rPr>
          <w:rFonts w:ascii="Arial"/>
          <w:color w:val="auto"/>
          <w:spacing w:val="0"/>
          <w:w w:val="100"/>
          <w:position w:val="0"/>
          <w:sz w:val="21"/>
          <w:highlight w:val="none"/>
        </w:rPr>
      </w:pPr>
    </w:p>
    <w:p w14:paraId="27042944">
      <w:pPr>
        <w:spacing w:line="245" w:lineRule="auto"/>
        <w:rPr>
          <w:rFonts w:ascii="Arial"/>
          <w:color w:val="auto"/>
          <w:spacing w:val="0"/>
          <w:w w:val="100"/>
          <w:position w:val="0"/>
          <w:sz w:val="21"/>
          <w:highlight w:val="none"/>
        </w:rPr>
      </w:pPr>
    </w:p>
    <w:p w14:paraId="4AD18332">
      <w:pPr>
        <w:spacing w:line="245" w:lineRule="auto"/>
        <w:rPr>
          <w:rFonts w:ascii="Arial"/>
          <w:color w:val="auto"/>
          <w:spacing w:val="0"/>
          <w:w w:val="100"/>
          <w:position w:val="0"/>
          <w:sz w:val="21"/>
          <w:highlight w:val="none"/>
        </w:rPr>
      </w:pPr>
    </w:p>
    <w:p w14:paraId="02197589">
      <w:pPr>
        <w:spacing w:line="245" w:lineRule="auto"/>
        <w:rPr>
          <w:rFonts w:ascii="Arial"/>
          <w:color w:val="auto"/>
          <w:spacing w:val="0"/>
          <w:w w:val="100"/>
          <w:position w:val="0"/>
          <w:sz w:val="21"/>
          <w:highlight w:val="none"/>
        </w:rPr>
      </w:pPr>
    </w:p>
    <w:p w14:paraId="7B1FFDCE">
      <w:pPr>
        <w:spacing w:line="245" w:lineRule="auto"/>
        <w:rPr>
          <w:rFonts w:ascii="Arial"/>
          <w:color w:val="auto"/>
          <w:spacing w:val="0"/>
          <w:w w:val="100"/>
          <w:position w:val="0"/>
          <w:sz w:val="21"/>
          <w:highlight w:val="none"/>
        </w:rPr>
      </w:pPr>
    </w:p>
    <w:p w14:paraId="1C5AEB4C">
      <w:pPr>
        <w:spacing w:line="245" w:lineRule="auto"/>
        <w:rPr>
          <w:rFonts w:ascii="Arial"/>
          <w:color w:val="auto"/>
          <w:spacing w:val="0"/>
          <w:w w:val="100"/>
          <w:position w:val="0"/>
          <w:sz w:val="21"/>
          <w:highlight w:val="none"/>
        </w:rPr>
      </w:pPr>
    </w:p>
    <w:p w14:paraId="7AFFA796">
      <w:pPr>
        <w:spacing w:line="245" w:lineRule="auto"/>
        <w:rPr>
          <w:rFonts w:ascii="Arial"/>
          <w:color w:val="auto"/>
          <w:spacing w:val="0"/>
          <w:w w:val="100"/>
          <w:position w:val="0"/>
          <w:sz w:val="21"/>
          <w:highlight w:val="none"/>
        </w:rPr>
      </w:pPr>
    </w:p>
    <w:p w14:paraId="1C4800C4">
      <w:pPr>
        <w:spacing w:line="245" w:lineRule="auto"/>
        <w:rPr>
          <w:rFonts w:ascii="Arial"/>
          <w:color w:val="auto"/>
          <w:spacing w:val="0"/>
          <w:w w:val="100"/>
          <w:position w:val="0"/>
          <w:sz w:val="21"/>
          <w:highlight w:val="none"/>
        </w:rPr>
      </w:pPr>
    </w:p>
    <w:p w14:paraId="0389DB2C">
      <w:pPr>
        <w:spacing w:line="245" w:lineRule="auto"/>
        <w:rPr>
          <w:rFonts w:ascii="Arial"/>
          <w:color w:val="auto"/>
          <w:spacing w:val="0"/>
          <w:w w:val="100"/>
          <w:position w:val="0"/>
          <w:sz w:val="21"/>
          <w:highlight w:val="none"/>
        </w:rPr>
      </w:pPr>
    </w:p>
    <w:p w14:paraId="7DC2D0FA">
      <w:pPr>
        <w:spacing w:line="246" w:lineRule="auto"/>
        <w:rPr>
          <w:rFonts w:ascii="Arial"/>
          <w:color w:val="auto"/>
          <w:spacing w:val="0"/>
          <w:w w:val="100"/>
          <w:position w:val="0"/>
          <w:sz w:val="21"/>
          <w:highlight w:val="none"/>
        </w:rPr>
      </w:pPr>
    </w:p>
    <w:p w14:paraId="69F4717B">
      <w:pPr>
        <w:spacing w:line="246" w:lineRule="auto"/>
        <w:rPr>
          <w:rFonts w:ascii="Arial"/>
          <w:color w:val="auto"/>
          <w:spacing w:val="0"/>
          <w:w w:val="100"/>
          <w:position w:val="0"/>
          <w:sz w:val="21"/>
          <w:highlight w:val="none"/>
        </w:rPr>
      </w:pPr>
    </w:p>
    <w:p w14:paraId="2E3767FA">
      <w:pPr>
        <w:spacing w:line="246" w:lineRule="auto"/>
        <w:rPr>
          <w:rFonts w:ascii="Arial"/>
          <w:color w:val="auto"/>
          <w:spacing w:val="0"/>
          <w:w w:val="100"/>
          <w:position w:val="0"/>
          <w:sz w:val="21"/>
          <w:highlight w:val="none"/>
        </w:rPr>
      </w:pPr>
    </w:p>
    <w:p w14:paraId="23489175">
      <w:pPr>
        <w:spacing w:line="246" w:lineRule="auto"/>
        <w:rPr>
          <w:rFonts w:ascii="Arial"/>
          <w:color w:val="auto"/>
          <w:spacing w:val="0"/>
          <w:w w:val="100"/>
          <w:position w:val="0"/>
          <w:sz w:val="21"/>
          <w:highlight w:val="none"/>
        </w:rPr>
      </w:pPr>
    </w:p>
    <w:p w14:paraId="5FC295E9">
      <w:pPr>
        <w:spacing w:line="246" w:lineRule="auto"/>
        <w:rPr>
          <w:rFonts w:ascii="Arial"/>
          <w:color w:val="auto"/>
          <w:spacing w:val="0"/>
          <w:w w:val="100"/>
          <w:position w:val="0"/>
          <w:sz w:val="21"/>
          <w:highlight w:val="none"/>
        </w:rPr>
      </w:pPr>
    </w:p>
    <w:p w14:paraId="7CC2ECA9">
      <w:pPr>
        <w:spacing w:line="246" w:lineRule="auto"/>
        <w:rPr>
          <w:rFonts w:ascii="Arial"/>
          <w:color w:val="auto"/>
          <w:spacing w:val="0"/>
          <w:w w:val="100"/>
          <w:position w:val="0"/>
          <w:sz w:val="21"/>
          <w:highlight w:val="none"/>
        </w:rPr>
      </w:pPr>
    </w:p>
    <w:p w14:paraId="0FF8C3F3">
      <w:pPr>
        <w:pStyle w:val="6"/>
        <w:spacing w:before="91" w:line="219" w:lineRule="auto"/>
        <w:ind w:left="618"/>
        <w:rPr>
          <w:color w:val="auto"/>
          <w:spacing w:val="0"/>
          <w:w w:val="100"/>
          <w:position w:val="0"/>
          <w:sz w:val="28"/>
          <w:szCs w:val="28"/>
          <w:highlight w:val="none"/>
        </w:rPr>
      </w:pPr>
      <w:r>
        <w:rPr>
          <w:color w:val="auto"/>
          <w:spacing w:val="0"/>
          <w:w w:val="100"/>
          <w:position w:val="0"/>
          <w:sz w:val="28"/>
          <w:szCs w:val="28"/>
          <w:highlight w:val="none"/>
        </w:rPr>
        <w:t>投标人：</w:t>
      </w:r>
      <w:r>
        <w:rPr>
          <w:color w:val="auto"/>
          <w:spacing w:val="0"/>
          <w:w w:val="100"/>
          <w:position w:val="0"/>
          <w:sz w:val="28"/>
          <w:szCs w:val="28"/>
          <w:highlight w:val="none"/>
          <w:u w:val="single" w:color="auto"/>
        </w:rPr>
        <w:t xml:space="preserve">                               </w:t>
      </w:r>
      <w:r>
        <w:rPr>
          <w:color w:val="auto"/>
          <w:spacing w:val="0"/>
          <w:w w:val="100"/>
          <w:position w:val="0"/>
          <w:sz w:val="28"/>
          <w:szCs w:val="28"/>
          <w:highlight w:val="none"/>
        </w:rPr>
        <w:t>（盖单位章）</w:t>
      </w:r>
    </w:p>
    <w:p w14:paraId="236C2B6A">
      <w:pPr>
        <w:pStyle w:val="6"/>
        <w:tabs>
          <w:tab w:val="left" w:pos="3133"/>
        </w:tabs>
        <w:spacing w:before="209" w:line="221" w:lineRule="auto"/>
        <w:ind w:left="1871"/>
        <w:rPr>
          <w:color w:val="auto"/>
          <w:spacing w:val="0"/>
          <w:w w:val="100"/>
          <w:position w:val="0"/>
          <w:sz w:val="28"/>
          <w:szCs w:val="28"/>
          <w:highlight w:val="none"/>
        </w:rPr>
      </w:pPr>
      <w:r>
        <w:rPr>
          <w:color w:val="auto"/>
          <w:spacing w:val="0"/>
          <w:w w:val="100"/>
          <w:position w:val="0"/>
          <w:sz w:val="28"/>
          <w:szCs w:val="28"/>
          <w:highlight w:val="none"/>
          <w:u w:val="single" w:color="auto"/>
        </w:rPr>
        <w:tab/>
      </w:r>
      <w:r>
        <w:rPr>
          <w:color w:val="auto"/>
          <w:spacing w:val="0"/>
          <w:w w:val="100"/>
          <w:position w:val="0"/>
          <w:sz w:val="28"/>
          <w:szCs w:val="28"/>
          <w:highlight w:val="none"/>
        </w:rPr>
        <w:t xml:space="preserve"> 年</w:t>
      </w:r>
      <w:r>
        <w:rPr>
          <w:color w:val="auto"/>
          <w:spacing w:val="0"/>
          <w:w w:val="100"/>
          <w:position w:val="0"/>
          <w:sz w:val="28"/>
          <w:szCs w:val="28"/>
          <w:highlight w:val="none"/>
          <w:u w:val="single" w:color="auto"/>
        </w:rPr>
        <w:t xml:space="preserve">         </w:t>
      </w:r>
      <w:r>
        <w:rPr>
          <w:color w:val="auto"/>
          <w:spacing w:val="0"/>
          <w:w w:val="100"/>
          <w:position w:val="0"/>
          <w:sz w:val="28"/>
          <w:szCs w:val="28"/>
          <w:highlight w:val="none"/>
        </w:rPr>
        <w:t xml:space="preserve"> 月</w:t>
      </w:r>
      <w:r>
        <w:rPr>
          <w:color w:val="auto"/>
          <w:spacing w:val="0"/>
          <w:w w:val="100"/>
          <w:position w:val="0"/>
          <w:sz w:val="28"/>
          <w:szCs w:val="28"/>
          <w:highlight w:val="none"/>
          <w:u w:val="single" w:color="auto"/>
        </w:rPr>
        <w:t xml:space="preserve">        </w:t>
      </w:r>
      <w:r>
        <w:rPr>
          <w:color w:val="auto"/>
          <w:spacing w:val="0"/>
          <w:w w:val="100"/>
          <w:position w:val="0"/>
          <w:sz w:val="28"/>
          <w:szCs w:val="28"/>
          <w:highlight w:val="none"/>
        </w:rPr>
        <w:t xml:space="preserve"> 日</w:t>
      </w:r>
    </w:p>
    <w:p w14:paraId="7DB1167D">
      <w:pPr>
        <w:spacing w:line="221" w:lineRule="auto"/>
        <w:rPr>
          <w:color w:val="auto"/>
          <w:spacing w:val="0"/>
          <w:w w:val="100"/>
          <w:position w:val="0"/>
          <w:sz w:val="28"/>
          <w:szCs w:val="28"/>
          <w:highlight w:val="none"/>
        </w:rPr>
        <w:sectPr>
          <w:footerReference r:id="rId85" w:type="default"/>
          <w:pgSz w:w="11900" w:h="16843"/>
          <w:pgMar w:top="1378" w:right="1417" w:bottom="1208" w:left="1417" w:header="1366" w:footer="1003" w:gutter="0"/>
          <w:pgNumType w:fmt="decimal"/>
          <w:cols w:space="0" w:num="1"/>
          <w:rtlGutter w:val="0"/>
          <w:docGrid w:linePitch="0" w:charSpace="0"/>
        </w:sectPr>
      </w:pPr>
    </w:p>
    <w:p w14:paraId="571D860A">
      <w:pPr>
        <w:pStyle w:val="6"/>
        <w:spacing w:before="91" w:line="219" w:lineRule="auto"/>
        <w:ind w:left="3807"/>
        <w:rPr>
          <w:color w:val="auto"/>
          <w:spacing w:val="0"/>
          <w:w w:val="100"/>
          <w:position w:val="0"/>
          <w:sz w:val="28"/>
          <w:szCs w:val="28"/>
          <w:highlight w:val="none"/>
        </w:rPr>
      </w:pPr>
      <w:r>
        <w:rPr>
          <w:color w:val="auto"/>
          <w:spacing w:val="0"/>
          <w:w w:val="100"/>
          <w:position w:val="0"/>
          <w:sz w:val="28"/>
          <w:szCs w:val="28"/>
          <w:highlight w:val="none"/>
        </w:rPr>
        <w:t>目  录</w:t>
      </w:r>
    </w:p>
    <w:p w14:paraId="5CDB5489">
      <w:pPr>
        <w:spacing w:before="302" w:line="220" w:lineRule="auto"/>
        <w:ind w:left="42"/>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一、投标函</w:t>
      </w:r>
    </w:p>
    <w:p w14:paraId="35F4EFC7">
      <w:pPr>
        <w:spacing w:before="313" w:line="220" w:lineRule="auto"/>
        <w:ind w:left="42"/>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二、勘察设计费用清单</w:t>
      </w:r>
    </w:p>
    <w:p w14:paraId="10C29655">
      <w:pPr>
        <w:spacing w:before="314" w:line="219" w:lineRule="auto"/>
        <w:ind w:left="38"/>
        <w:rPr>
          <w:rFonts w:ascii="宋体" w:hAnsi="宋体" w:eastAsia="宋体" w:cs="宋体"/>
          <w:color w:val="auto"/>
          <w:spacing w:val="0"/>
          <w:w w:val="100"/>
          <w:position w:val="0"/>
          <w:sz w:val="24"/>
          <w:szCs w:val="24"/>
          <w:highlight w:val="none"/>
        </w:rPr>
      </w:pPr>
      <w:r>
        <w:rPr>
          <w:rFonts w:ascii="宋体" w:hAnsi="宋体" w:eastAsia="宋体" w:cs="宋体"/>
          <w:color w:val="auto"/>
          <w:spacing w:val="0"/>
          <w:w w:val="100"/>
          <w:position w:val="0"/>
          <w:sz w:val="24"/>
          <w:szCs w:val="24"/>
          <w:highlight w:val="none"/>
        </w:rPr>
        <w:t>三、其他材料</w:t>
      </w:r>
    </w:p>
    <w:p w14:paraId="0EDD5BC3">
      <w:pPr>
        <w:spacing w:line="219" w:lineRule="auto"/>
        <w:rPr>
          <w:rFonts w:ascii="宋体" w:hAnsi="宋体" w:eastAsia="宋体" w:cs="宋体"/>
          <w:color w:val="auto"/>
          <w:spacing w:val="0"/>
          <w:w w:val="100"/>
          <w:position w:val="0"/>
          <w:sz w:val="24"/>
          <w:szCs w:val="24"/>
          <w:highlight w:val="none"/>
        </w:rPr>
        <w:sectPr>
          <w:footerReference r:id="rId86" w:type="default"/>
          <w:pgSz w:w="11900" w:h="16843"/>
          <w:pgMar w:top="1378" w:right="1417" w:bottom="1208" w:left="1417" w:header="1366" w:footer="1003" w:gutter="0"/>
          <w:pgNumType w:fmt="decimal"/>
          <w:cols w:space="0" w:num="1"/>
          <w:rtlGutter w:val="0"/>
          <w:docGrid w:linePitch="0" w:charSpace="0"/>
        </w:sectPr>
      </w:pPr>
    </w:p>
    <w:p w14:paraId="3B55D96C">
      <w:pPr>
        <w:numPr>
          <w:ilvl w:val="0"/>
          <w:numId w:val="2"/>
        </w:numPr>
        <w:spacing w:before="101" w:line="226" w:lineRule="auto"/>
        <w:ind w:left="3397"/>
        <w:outlineLvl w:val="2"/>
        <w:rPr>
          <w:rFonts w:ascii="宋体" w:hAnsi="宋体" w:eastAsia="宋体" w:cs="宋体"/>
          <w:b/>
          <w:bCs/>
          <w:color w:val="auto"/>
          <w:spacing w:val="0"/>
          <w:w w:val="100"/>
          <w:position w:val="0"/>
          <w:sz w:val="31"/>
          <w:szCs w:val="31"/>
          <w:highlight w:val="none"/>
        </w:rPr>
      </w:pPr>
      <w:bookmarkStart w:id="46" w:name="bookmark41"/>
      <w:bookmarkEnd w:id="46"/>
      <w:r>
        <w:rPr>
          <w:rFonts w:ascii="宋体" w:hAnsi="宋体" w:eastAsia="宋体" w:cs="宋体"/>
          <w:b/>
          <w:bCs/>
          <w:color w:val="auto"/>
          <w:spacing w:val="0"/>
          <w:w w:val="100"/>
          <w:position w:val="0"/>
          <w:sz w:val="31"/>
          <w:szCs w:val="31"/>
          <w:highlight w:val="none"/>
        </w:rPr>
        <w:t>投标函</w:t>
      </w:r>
    </w:p>
    <w:p w14:paraId="4C242654">
      <w:pPr>
        <w:keepNext w:val="0"/>
        <w:keepLines w:val="0"/>
        <w:pageBreakBefore w:val="0"/>
        <w:widowControl/>
        <w:tabs>
          <w:tab w:val="left" w:pos="2990"/>
        </w:tabs>
        <w:kinsoku w:val="0"/>
        <w:wordWrap/>
        <w:overflowPunct/>
        <w:topLinePunct w:val="0"/>
        <w:autoSpaceDE w:val="0"/>
        <w:autoSpaceDN w:val="0"/>
        <w:bidi w:val="0"/>
        <w:snapToGrid w:val="0"/>
        <w:spacing w:before="78" w:line="212" w:lineRule="auto"/>
        <w:ind w:right="0"/>
        <w:textAlignment w:val="baseline"/>
        <w:rPr>
          <w:rFonts w:ascii="Times New Roman" w:hAnsi="Times New Roman" w:eastAsia="Times New Roman" w:cs="Times New Roman"/>
          <w:color w:val="auto"/>
          <w:sz w:val="24"/>
          <w:szCs w:val="24"/>
          <w:highlight w:val="none"/>
          <w:u w:val="single" w:color="auto"/>
        </w:rPr>
      </w:pPr>
    </w:p>
    <w:p w14:paraId="1D0749A6">
      <w:pPr>
        <w:keepNext w:val="0"/>
        <w:keepLines w:val="0"/>
        <w:pageBreakBefore w:val="0"/>
        <w:widowControl/>
        <w:tabs>
          <w:tab w:val="left" w:pos="2990"/>
        </w:tabs>
        <w:kinsoku w:val="0"/>
        <w:wordWrap/>
        <w:overflowPunct/>
        <w:topLinePunct w:val="0"/>
        <w:autoSpaceDE w:val="0"/>
        <w:autoSpaceDN w:val="0"/>
        <w:bidi w:val="0"/>
        <w:snapToGrid w:val="0"/>
        <w:spacing w:before="78" w:line="212" w:lineRule="auto"/>
        <w:ind w:right="0"/>
        <w:textAlignment w:val="baseline"/>
        <w:rPr>
          <w:rFonts w:ascii="宋体" w:hAnsi="宋体" w:eastAsia="宋体" w:cs="宋体"/>
          <w:color w:val="auto"/>
          <w:sz w:val="24"/>
          <w:szCs w:val="24"/>
          <w:highlight w:val="none"/>
        </w:rPr>
      </w:pPr>
      <w:r>
        <w:rPr>
          <w:rFonts w:ascii="Times New Roman" w:hAnsi="Times New Roman" w:eastAsia="Times New Roman" w:cs="Times New Roman"/>
          <w:color w:val="auto"/>
          <w:sz w:val="24"/>
          <w:szCs w:val="24"/>
          <w:highlight w:val="none"/>
          <w:u w:val="single" w:color="auto"/>
        </w:rPr>
        <w:tab/>
      </w:r>
      <w:r>
        <w:rPr>
          <w:rFonts w:ascii="Times New Roman" w:hAnsi="Times New Roman" w:eastAsia="Times New Roman" w:cs="Times New Roman"/>
          <w:color w:val="auto"/>
          <w:spacing w:val="-45"/>
          <w:sz w:val="24"/>
          <w:szCs w:val="24"/>
          <w:highlight w:val="none"/>
        </w:rPr>
        <w:t xml:space="preserve"> </w:t>
      </w:r>
      <w:r>
        <w:rPr>
          <w:rFonts w:ascii="Times New Roman" w:hAnsi="Times New Roman" w:eastAsia="Times New Roman" w:cs="Times New Roman"/>
          <w:color w:val="auto"/>
          <w:spacing w:val="-2"/>
          <w:sz w:val="24"/>
          <w:szCs w:val="24"/>
          <w:highlight w:val="none"/>
        </w:rPr>
        <w:t>(</w:t>
      </w:r>
      <w:r>
        <w:rPr>
          <w:rFonts w:ascii="宋体" w:hAnsi="宋体" w:eastAsia="宋体" w:cs="宋体"/>
          <w:color w:val="auto"/>
          <w:spacing w:val="-2"/>
          <w:sz w:val="24"/>
          <w:szCs w:val="24"/>
          <w:highlight w:val="none"/>
        </w:rPr>
        <w:t>招标人名称</w:t>
      </w:r>
      <w:r>
        <w:rPr>
          <w:rFonts w:ascii="Times New Roman" w:hAnsi="Times New Roman" w:eastAsia="Times New Roman" w:cs="Times New Roman"/>
          <w:color w:val="auto"/>
          <w:spacing w:val="-2"/>
          <w:sz w:val="24"/>
          <w:szCs w:val="24"/>
          <w:highlight w:val="none"/>
        </w:rPr>
        <w:t>)</w:t>
      </w:r>
      <w:r>
        <w:rPr>
          <w:rFonts w:ascii="宋体" w:hAnsi="宋体" w:eastAsia="宋体" w:cs="宋体"/>
          <w:color w:val="auto"/>
          <w:spacing w:val="-2"/>
          <w:sz w:val="24"/>
          <w:szCs w:val="24"/>
          <w:highlight w:val="none"/>
        </w:rPr>
        <w:t>：</w:t>
      </w:r>
    </w:p>
    <w:p w14:paraId="5F6A2923">
      <w:pPr>
        <w:keepNext w:val="0"/>
        <w:keepLines w:val="0"/>
        <w:pageBreakBefore w:val="0"/>
        <w:widowControl/>
        <w:kinsoku w:val="0"/>
        <w:wordWrap/>
        <w:overflowPunct/>
        <w:topLinePunct w:val="0"/>
        <w:autoSpaceDE w:val="0"/>
        <w:autoSpaceDN w:val="0"/>
        <w:bidi w:val="0"/>
        <w:adjustRightInd w:val="0"/>
        <w:snapToGrid w:val="0"/>
        <w:spacing w:line="440" w:lineRule="exact"/>
        <w:ind w:left="35" w:right="7" w:firstLine="437"/>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 xml:space="preserve">1.我方已仔细研究 </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（项目名称）</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标段招标文件的全部内</w:t>
      </w:r>
      <w:r>
        <w:rPr>
          <w:rFonts w:hint="eastAsia" w:ascii="宋体" w:hAnsi="宋体" w:eastAsia="宋体" w:cs="宋体"/>
          <w:color w:val="auto"/>
          <w:spacing w:val="0"/>
          <w:w w:val="100"/>
          <w:position w:val="0"/>
          <w:sz w:val="21"/>
          <w:szCs w:val="21"/>
          <w:highlight w:val="none"/>
          <w:lang w:val="en-US" w:eastAsia="zh-CN"/>
        </w:rPr>
        <w:t>容（含补遗书）</w:t>
      </w:r>
      <w:r>
        <w:rPr>
          <w:rFonts w:ascii="宋体" w:hAnsi="宋体" w:eastAsia="宋体" w:cs="宋体"/>
          <w:color w:val="auto"/>
          <w:spacing w:val="0"/>
          <w:w w:val="100"/>
          <w:position w:val="0"/>
          <w:sz w:val="21"/>
          <w:szCs w:val="21"/>
          <w:highlight w:val="none"/>
        </w:rPr>
        <w:t>，在考察工程现场后，愿意以人民币（大写）</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 xml:space="preserve">元(¥ </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 的投标总报价（含税）（其中，增值税税率按国家规定的相关税率执行），按合同约定完成设计工作。</w:t>
      </w:r>
    </w:p>
    <w:p w14:paraId="65492BFE">
      <w:pPr>
        <w:keepNext w:val="0"/>
        <w:keepLines w:val="0"/>
        <w:pageBreakBefore w:val="0"/>
        <w:widowControl/>
        <w:kinsoku w:val="0"/>
        <w:wordWrap/>
        <w:overflowPunct/>
        <w:topLinePunct w:val="0"/>
        <w:autoSpaceDE w:val="0"/>
        <w:autoSpaceDN w:val="0"/>
        <w:bidi w:val="0"/>
        <w:adjustRightInd w:val="0"/>
        <w:snapToGrid w:val="0"/>
        <w:spacing w:line="440" w:lineRule="exact"/>
        <w:ind w:left="37" w:right="24" w:firstLine="422"/>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w:t>
      </w:r>
      <w:r>
        <w:rPr>
          <w:rFonts w:hint="eastAsia" w:ascii="宋体" w:hAnsi="宋体" w:eastAsia="宋体" w:cs="宋体"/>
          <w:color w:val="auto"/>
          <w:spacing w:val="0"/>
          <w:w w:val="100"/>
          <w:position w:val="0"/>
          <w:sz w:val="21"/>
          <w:szCs w:val="21"/>
          <w:highlight w:val="none"/>
          <w:lang w:val="en-US" w:eastAsia="zh-CN"/>
        </w:rPr>
        <w:t>在合同协议书正式签署生效之前，本投标函连同你方的中标通知书将构成我们双方之间共同遵守的文件，对双方具有约束力。</w:t>
      </w:r>
    </w:p>
    <w:p w14:paraId="0B3186C9">
      <w:pPr>
        <w:keepNext w:val="0"/>
        <w:keepLines w:val="0"/>
        <w:pageBreakBefore w:val="0"/>
        <w:widowControl/>
        <w:kinsoku w:val="0"/>
        <w:wordWrap/>
        <w:overflowPunct/>
        <w:topLinePunct w:val="0"/>
        <w:autoSpaceDE w:val="0"/>
        <w:autoSpaceDN w:val="0"/>
        <w:bidi w:val="0"/>
        <w:adjustRightInd w:val="0"/>
        <w:snapToGrid w:val="0"/>
        <w:spacing w:line="440" w:lineRule="exact"/>
        <w:ind w:left="37" w:right="24" w:firstLine="422"/>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3.</w:t>
      </w:r>
      <w:r>
        <w:rPr>
          <w:rFonts w:ascii="宋体" w:hAnsi="宋体" w:eastAsia="宋体" w:cs="宋体"/>
          <w:color w:val="auto"/>
          <w:spacing w:val="0"/>
          <w:w w:val="100"/>
          <w:position w:val="0"/>
          <w:sz w:val="21"/>
          <w:szCs w:val="21"/>
          <w:highlight w:val="none"/>
          <w:u w:val="single" w:color="auto"/>
        </w:rPr>
        <w:t>我方已按招标文件要求详细审核并确认全部招标文件及有关附件，充分理解投标价格不得低于企业个别成本有关规定。我方经成本核算，所填报的投标报价不低于企业个别成本。</w:t>
      </w:r>
    </w:p>
    <w:p w14:paraId="73D54F1E">
      <w:pPr>
        <w:keepNext w:val="0"/>
        <w:keepLines w:val="0"/>
        <w:pageBreakBefore w:val="0"/>
        <w:widowControl/>
        <w:kinsoku w:val="0"/>
        <w:wordWrap/>
        <w:overflowPunct/>
        <w:topLinePunct w:val="0"/>
        <w:autoSpaceDE w:val="0"/>
        <w:autoSpaceDN w:val="0"/>
        <w:bidi w:val="0"/>
        <w:adjustRightInd w:val="0"/>
        <w:snapToGrid w:val="0"/>
        <w:spacing w:line="440" w:lineRule="exact"/>
        <w:ind w:left="461"/>
        <w:textAlignment w:val="baseline"/>
        <w:rPr>
          <w:rFonts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lang w:val="en-US" w:eastAsia="zh-CN"/>
        </w:rPr>
        <w:t>4</w:t>
      </w:r>
      <w:r>
        <w:rPr>
          <w:rFonts w:ascii="宋体" w:hAnsi="宋体" w:eastAsia="宋体" w:cs="宋体"/>
          <w:color w:val="auto"/>
          <w:spacing w:val="0"/>
          <w:w w:val="100"/>
          <w:position w:val="0"/>
          <w:sz w:val="21"/>
          <w:szCs w:val="21"/>
          <w:highlight w:val="none"/>
        </w:rPr>
        <w:t>.</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（其他补充说明）。</w:t>
      </w:r>
    </w:p>
    <w:p w14:paraId="04430925">
      <w:pPr>
        <w:spacing w:line="286" w:lineRule="auto"/>
        <w:rPr>
          <w:rFonts w:ascii="Arial"/>
          <w:color w:val="auto"/>
          <w:spacing w:val="0"/>
          <w:w w:val="100"/>
          <w:position w:val="0"/>
          <w:sz w:val="21"/>
          <w:highlight w:val="none"/>
        </w:rPr>
      </w:pPr>
    </w:p>
    <w:p w14:paraId="4EF3E7CA">
      <w:pPr>
        <w:spacing w:line="286" w:lineRule="auto"/>
        <w:rPr>
          <w:rFonts w:ascii="Arial"/>
          <w:color w:val="auto"/>
          <w:spacing w:val="0"/>
          <w:w w:val="100"/>
          <w:position w:val="0"/>
          <w:sz w:val="21"/>
          <w:highlight w:val="none"/>
        </w:rPr>
      </w:pPr>
    </w:p>
    <w:p w14:paraId="271C175F">
      <w:pPr>
        <w:spacing w:before="68" w:line="220" w:lineRule="auto"/>
        <w:ind w:left="1597"/>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投 标 人：</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（盖单位章）</w:t>
      </w:r>
    </w:p>
    <w:p w14:paraId="1EB30753">
      <w:pPr>
        <w:spacing w:before="199" w:line="220" w:lineRule="auto"/>
        <w:ind w:left="1595"/>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法定代表人：</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（签字或盖章）</w:t>
      </w:r>
    </w:p>
    <w:p w14:paraId="40D75A59">
      <w:pPr>
        <w:spacing w:before="197" w:line="221" w:lineRule="auto"/>
        <w:ind w:left="1596"/>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单位地址：</w:t>
      </w:r>
      <w:r>
        <w:rPr>
          <w:rFonts w:ascii="宋体" w:hAnsi="宋体" w:eastAsia="宋体" w:cs="宋体"/>
          <w:color w:val="auto"/>
          <w:spacing w:val="0"/>
          <w:w w:val="100"/>
          <w:position w:val="0"/>
          <w:sz w:val="21"/>
          <w:szCs w:val="21"/>
          <w:highlight w:val="none"/>
          <w:u w:val="single" w:color="auto"/>
        </w:rPr>
        <w:t xml:space="preserve">                                                       </w:t>
      </w:r>
    </w:p>
    <w:p w14:paraId="648E9FBD">
      <w:pPr>
        <w:spacing w:before="198" w:line="393" w:lineRule="auto"/>
        <w:ind w:left="1630" w:right="28" w:hanging="20"/>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邮政编码：</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 xml:space="preserve"> 电话：</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 xml:space="preserve"> 传真：</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 xml:space="preserve"> </w:t>
      </w:r>
    </w:p>
    <w:p w14:paraId="1FB08F48">
      <w:pPr>
        <w:spacing w:before="198" w:line="393" w:lineRule="auto"/>
        <w:ind w:left="1630" w:right="28" w:hanging="20"/>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日期：_______年_______月_______日</w:t>
      </w:r>
    </w:p>
    <w:p w14:paraId="0598453C">
      <w:pPr>
        <w:spacing w:line="393" w:lineRule="auto"/>
        <w:rPr>
          <w:rFonts w:ascii="宋体" w:hAnsi="宋体" w:eastAsia="宋体" w:cs="宋体"/>
          <w:color w:val="auto"/>
          <w:spacing w:val="0"/>
          <w:w w:val="100"/>
          <w:position w:val="0"/>
          <w:sz w:val="21"/>
          <w:szCs w:val="21"/>
          <w:highlight w:val="none"/>
        </w:rPr>
        <w:sectPr>
          <w:footerReference r:id="rId87" w:type="default"/>
          <w:pgSz w:w="11900" w:h="16843"/>
          <w:pgMar w:top="1378" w:right="1417" w:bottom="1208" w:left="1417" w:header="1366" w:footer="1003" w:gutter="0"/>
          <w:pgNumType w:fmt="decimal"/>
          <w:cols w:space="0" w:num="1"/>
          <w:rtlGutter w:val="0"/>
          <w:docGrid w:linePitch="0" w:charSpace="0"/>
        </w:sectPr>
      </w:pPr>
    </w:p>
    <w:p w14:paraId="42EFE345">
      <w:pPr>
        <w:spacing w:before="100" w:line="225" w:lineRule="auto"/>
        <w:jc w:val="center"/>
        <w:outlineLvl w:val="2"/>
        <w:rPr>
          <w:rFonts w:ascii="宋体" w:hAnsi="宋体" w:eastAsia="宋体" w:cs="宋体"/>
          <w:color w:val="auto"/>
          <w:spacing w:val="0"/>
          <w:w w:val="100"/>
          <w:position w:val="0"/>
          <w:sz w:val="31"/>
          <w:szCs w:val="31"/>
          <w:highlight w:val="none"/>
        </w:rPr>
      </w:pPr>
      <w:bookmarkStart w:id="47" w:name="bookmark42"/>
      <w:bookmarkEnd w:id="47"/>
      <w:r>
        <w:rPr>
          <w:rFonts w:ascii="宋体" w:hAnsi="宋体" w:eastAsia="宋体" w:cs="宋体"/>
          <w:b/>
          <w:bCs/>
          <w:color w:val="auto"/>
          <w:spacing w:val="0"/>
          <w:w w:val="100"/>
          <w:position w:val="0"/>
          <w:sz w:val="31"/>
          <w:szCs w:val="31"/>
          <w:highlight w:val="none"/>
        </w:rPr>
        <w:t>二、勘察设计费用清单（适用于</w:t>
      </w:r>
      <w:r>
        <w:rPr>
          <w:rFonts w:ascii="宋体" w:hAnsi="宋体" w:eastAsia="宋体" w:cs="宋体"/>
          <w:color w:val="auto"/>
          <w:spacing w:val="0"/>
          <w:w w:val="100"/>
          <w:position w:val="0"/>
          <w:sz w:val="31"/>
          <w:szCs w:val="31"/>
          <w:highlight w:val="none"/>
        </w:rPr>
        <w:t xml:space="preserve"> </w:t>
      </w:r>
      <w:r>
        <w:rPr>
          <w:rFonts w:ascii="宋体" w:hAnsi="宋体" w:eastAsia="宋体" w:cs="宋体"/>
          <w:b/>
          <w:bCs/>
          <w:color w:val="auto"/>
          <w:spacing w:val="0"/>
          <w:w w:val="100"/>
          <w:position w:val="0"/>
          <w:sz w:val="31"/>
          <w:szCs w:val="31"/>
          <w:highlight w:val="none"/>
        </w:rPr>
        <w:t>01</w:t>
      </w:r>
      <w:r>
        <w:rPr>
          <w:rFonts w:ascii="宋体" w:hAnsi="宋体" w:eastAsia="宋体" w:cs="宋体"/>
          <w:color w:val="auto"/>
          <w:spacing w:val="0"/>
          <w:w w:val="100"/>
          <w:position w:val="0"/>
          <w:sz w:val="31"/>
          <w:szCs w:val="31"/>
          <w:highlight w:val="none"/>
        </w:rPr>
        <w:t xml:space="preserve"> </w:t>
      </w:r>
      <w:r>
        <w:rPr>
          <w:rFonts w:ascii="宋体" w:hAnsi="宋体" w:eastAsia="宋体" w:cs="宋体"/>
          <w:b/>
          <w:bCs/>
          <w:color w:val="auto"/>
          <w:spacing w:val="0"/>
          <w:w w:val="100"/>
          <w:position w:val="0"/>
          <w:sz w:val="31"/>
          <w:szCs w:val="31"/>
          <w:highlight w:val="none"/>
        </w:rPr>
        <w:t>标段）</w:t>
      </w:r>
    </w:p>
    <w:p w14:paraId="698CF667">
      <w:pPr>
        <w:spacing w:line="267" w:lineRule="auto"/>
        <w:rPr>
          <w:rFonts w:ascii="Arial"/>
          <w:color w:val="auto"/>
          <w:spacing w:val="0"/>
          <w:w w:val="100"/>
          <w:position w:val="0"/>
          <w:sz w:val="21"/>
          <w:highlight w:val="none"/>
        </w:rPr>
      </w:pPr>
    </w:p>
    <w:p w14:paraId="7BC2DABF">
      <w:pPr>
        <w:pStyle w:val="6"/>
        <w:spacing w:before="91" w:line="219" w:lineRule="auto"/>
        <w:ind w:left="3630"/>
        <w:rPr>
          <w:color w:val="auto"/>
          <w:spacing w:val="0"/>
          <w:w w:val="100"/>
          <w:position w:val="0"/>
          <w:sz w:val="28"/>
          <w:szCs w:val="28"/>
          <w:highlight w:val="none"/>
        </w:rPr>
      </w:pPr>
      <w:r>
        <w:rPr>
          <w:color w:val="auto"/>
          <w:spacing w:val="0"/>
          <w:w w:val="100"/>
          <w:position w:val="0"/>
          <w:sz w:val="28"/>
          <w:szCs w:val="28"/>
          <w:highlight w:val="none"/>
        </w:rPr>
        <w:t>报价清单说明</w:t>
      </w:r>
    </w:p>
    <w:p w14:paraId="58952F3F">
      <w:pPr>
        <w:spacing w:line="394" w:lineRule="auto"/>
        <w:rPr>
          <w:rFonts w:ascii="Arial"/>
          <w:color w:val="auto"/>
          <w:spacing w:val="0"/>
          <w:w w:val="100"/>
          <w:position w:val="0"/>
          <w:sz w:val="21"/>
          <w:highlight w:val="none"/>
        </w:rPr>
      </w:pPr>
    </w:p>
    <w:p w14:paraId="34C49959">
      <w:pPr>
        <w:keepNext w:val="0"/>
        <w:keepLines w:val="0"/>
        <w:pageBreakBefore w:val="0"/>
        <w:widowControl/>
        <w:kinsoku w:val="0"/>
        <w:wordWrap/>
        <w:overflowPunct/>
        <w:topLinePunct w:val="0"/>
        <w:autoSpaceDE w:val="0"/>
        <w:autoSpaceDN w:val="0"/>
        <w:bidi w:val="0"/>
        <w:adjustRightInd w:val="0"/>
        <w:snapToGrid w:val="0"/>
        <w:spacing w:line="440" w:lineRule="exact"/>
        <w:ind w:left="37" w:right="24" w:firstLine="494"/>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 “报价清单”应与“投标人须知”“通用合同条款”“专用合同条款”和“发包人要求”一起使用。投标人应根据本招标项目前一阶段（工可阶段或初步设计阶段）批复意见和强制性要求，按照本招标文件规定的勘察设计工作内容和计划工作量，认真阅读分析本招标项目勘察设计原始资料，在编制完成技术建议书的前提下，慎重提出“报价清单”，并以此做为本招标项目勘察设计费的基础。</w:t>
      </w:r>
    </w:p>
    <w:p w14:paraId="3FE6C074">
      <w:pPr>
        <w:keepNext w:val="0"/>
        <w:keepLines w:val="0"/>
        <w:pageBreakBefore w:val="0"/>
        <w:widowControl/>
        <w:kinsoku w:val="0"/>
        <w:wordWrap/>
        <w:overflowPunct/>
        <w:topLinePunct w:val="0"/>
        <w:autoSpaceDE w:val="0"/>
        <w:autoSpaceDN w:val="0"/>
        <w:bidi w:val="0"/>
        <w:adjustRightInd w:val="0"/>
        <w:snapToGrid w:val="0"/>
        <w:spacing w:line="440" w:lineRule="exact"/>
        <w:ind w:left="36" w:right="9" w:firstLine="483"/>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 设计人应按照国家有关工程建设标准强制性条文和交通运输部有关标准、规范、规程、定额、办法、示例等要求的内容和深度，开展本招标项目的勘察设计工作，并将勘察设计费计入相应的报价项目中。“报价清单”所列的报价，应包括测量、勘察、测试、设计、专题研究等为完成本招标项目勘察设计全过程的一切费用，包括按合同规定应完成的勘察设计费和后续服务费（招标配合与施工配合）、与勘察设计文件审查有关的各种会议的会务费以及设计人自行委托咨询的咨询费、利润、税金等与此有关的一切费用。</w:t>
      </w:r>
    </w:p>
    <w:p w14:paraId="5B32896F">
      <w:pPr>
        <w:keepNext w:val="0"/>
        <w:keepLines w:val="0"/>
        <w:pageBreakBefore w:val="0"/>
        <w:widowControl/>
        <w:kinsoku w:val="0"/>
        <w:wordWrap/>
        <w:overflowPunct/>
        <w:topLinePunct w:val="0"/>
        <w:autoSpaceDE w:val="0"/>
        <w:autoSpaceDN w:val="0"/>
        <w:bidi w:val="0"/>
        <w:adjustRightInd w:val="0"/>
        <w:snapToGrid w:val="0"/>
        <w:spacing w:line="440" w:lineRule="exact"/>
        <w:ind w:left="38" w:right="24" w:firstLine="482"/>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 “报价清单”为通用表格，投标人应根据本招标项目工作内容，按照表格格式详细填写，以免遗漏或有误。投标人没有报价的项目，发包人将认为有关费用已包含在其他项目之中，不另行支付。凡清单项目中未包含的但在勘察设计中又必须完成的工作内容，均被认为已包含在清单各项目报价中，发包人不另行支付。</w:t>
      </w:r>
    </w:p>
    <w:p w14:paraId="395F486D">
      <w:pPr>
        <w:keepNext w:val="0"/>
        <w:keepLines w:val="0"/>
        <w:pageBreakBefore w:val="0"/>
        <w:widowControl/>
        <w:kinsoku w:val="0"/>
        <w:wordWrap/>
        <w:overflowPunct/>
        <w:topLinePunct w:val="0"/>
        <w:autoSpaceDE w:val="0"/>
        <w:autoSpaceDN w:val="0"/>
        <w:bidi w:val="0"/>
        <w:adjustRightInd w:val="0"/>
        <w:snapToGrid w:val="0"/>
        <w:spacing w:line="440" w:lineRule="exact"/>
        <w:ind w:left="516"/>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 投标人在“报价清单”中报价应以人民币为单位。</w:t>
      </w:r>
    </w:p>
    <w:p w14:paraId="21E42DFE">
      <w:pPr>
        <w:keepNext w:val="0"/>
        <w:keepLines w:val="0"/>
        <w:pageBreakBefore w:val="0"/>
        <w:widowControl/>
        <w:kinsoku w:val="0"/>
        <w:wordWrap/>
        <w:overflowPunct/>
        <w:topLinePunct w:val="0"/>
        <w:autoSpaceDE w:val="0"/>
        <w:autoSpaceDN w:val="0"/>
        <w:bidi w:val="0"/>
        <w:adjustRightInd w:val="0"/>
        <w:snapToGrid w:val="0"/>
        <w:spacing w:line="440" w:lineRule="exact"/>
        <w:ind w:left="37" w:right="26" w:firstLine="483"/>
        <w:textAlignment w:val="baseline"/>
        <w:rPr>
          <w:rFonts w:ascii="宋体" w:hAnsi="宋体" w:eastAsia="宋体" w:cs="宋体"/>
          <w:color w:val="auto"/>
          <w:spacing w:val="0"/>
          <w:w w:val="100"/>
          <w:position w:val="0"/>
          <w:sz w:val="21"/>
          <w:szCs w:val="21"/>
          <w:highlight w:val="none"/>
        </w:rPr>
        <w:sectPr>
          <w:footerReference r:id="rId88" w:type="default"/>
          <w:pgSz w:w="11900" w:h="16843"/>
          <w:pgMar w:top="1378" w:right="1417" w:bottom="1208" w:left="1417" w:header="1366" w:footer="1003" w:gutter="0"/>
          <w:pgNumType w:fmt="decimal"/>
          <w:cols w:space="0" w:num="1"/>
          <w:rtlGutter w:val="0"/>
          <w:docGrid w:linePitch="0" w:charSpace="0"/>
        </w:sectPr>
      </w:pPr>
      <w:r>
        <w:rPr>
          <w:rFonts w:ascii="宋体" w:hAnsi="宋体" w:eastAsia="宋体" w:cs="宋体"/>
          <w:color w:val="auto"/>
          <w:spacing w:val="0"/>
          <w:w w:val="100"/>
          <w:position w:val="0"/>
          <w:sz w:val="21"/>
          <w:szCs w:val="21"/>
          <w:highlight w:val="none"/>
        </w:rPr>
        <w:t>5. 投标人应在“报价清单”后附详细的计算说明，包括计算方法、取费依据等，以便招标人对投标人勘察设计报价的合理性作出判断。</w:t>
      </w:r>
    </w:p>
    <w:p w14:paraId="1228FCD3">
      <w:pPr>
        <w:spacing w:before="264" w:line="219" w:lineRule="auto"/>
        <w:jc w:val="center"/>
        <w:outlineLvl w:val="3"/>
        <w:rPr>
          <w:rFonts w:ascii="宋体" w:hAnsi="宋体" w:eastAsia="宋体" w:cs="宋体"/>
          <w:color w:val="auto"/>
          <w:spacing w:val="0"/>
          <w:w w:val="100"/>
          <w:position w:val="0"/>
          <w:sz w:val="28"/>
          <w:szCs w:val="28"/>
          <w:highlight w:val="none"/>
        </w:rPr>
      </w:pPr>
      <w:bookmarkStart w:id="48" w:name="bookmark43"/>
      <w:bookmarkEnd w:id="48"/>
      <w:r>
        <w:rPr>
          <w:rFonts w:ascii="宋体" w:hAnsi="宋体" w:eastAsia="宋体" w:cs="宋体"/>
          <w:b/>
          <w:bCs/>
          <w:color w:val="auto"/>
          <w:spacing w:val="0"/>
          <w:w w:val="100"/>
          <w:position w:val="0"/>
          <w:sz w:val="28"/>
          <w:szCs w:val="28"/>
          <w:highlight w:val="none"/>
        </w:rPr>
        <w:t>（一</w:t>
      </w:r>
      <w:r>
        <w:rPr>
          <w:rFonts w:hint="eastAsia" w:ascii="宋体" w:hAnsi="宋体" w:eastAsia="宋体" w:cs="宋体"/>
          <w:b/>
          <w:bCs/>
          <w:color w:val="auto"/>
          <w:spacing w:val="0"/>
          <w:w w:val="100"/>
          <w:position w:val="0"/>
          <w:sz w:val="28"/>
          <w:szCs w:val="28"/>
          <w:highlight w:val="none"/>
          <w:lang w:eastAsia="zh-CN"/>
        </w:rPr>
        <w:t>）</w:t>
      </w:r>
      <w:r>
        <w:rPr>
          <w:rFonts w:hint="eastAsia" w:ascii="宋体" w:hAnsi="宋体" w:eastAsia="宋体" w:cs="宋体"/>
          <w:b/>
          <w:bCs/>
          <w:color w:val="auto"/>
          <w:spacing w:val="0"/>
          <w:w w:val="100"/>
          <w:position w:val="0"/>
          <w:sz w:val="28"/>
          <w:szCs w:val="28"/>
          <w:highlight w:val="none"/>
          <w:lang w:val="en-US" w:eastAsia="zh-CN"/>
        </w:rPr>
        <w:t>工程可行性研究</w:t>
      </w:r>
      <w:r>
        <w:rPr>
          <w:rFonts w:ascii="宋体" w:hAnsi="宋体" w:eastAsia="宋体" w:cs="宋体"/>
          <w:b/>
          <w:bCs/>
          <w:color w:val="auto"/>
          <w:spacing w:val="0"/>
          <w:w w:val="100"/>
          <w:position w:val="0"/>
          <w:sz w:val="28"/>
          <w:szCs w:val="28"/>
          <w:highlight w:val="none"/>
        </w:rPr>
        <w:t>报价清单</w:t>
      </w:r>
    </w:p>
    <w:p w14:paraId="73E4C041">
      <w:pPr>
        <w:spacing w:line="251" w:lineRule="auto"/>
        <w:rPr>
          <w:rFonts w:ascii="Arial"/>
          <w:color w:val="auto"/>
          <w:spacing w:val="0"/>
          <w:w w:val="100"/>
          <w:position w:val="0"/>
          <w:sz w:val="21"/>
          <w:highlight w:val="none"/>
        </w:rPr>
      </w:pPr>
    </w:p>
    <w:p w14:paraId="676B4076">
      <w:pPr>
        <w:spacing w:before="68" w:line="212" w:lineRule="auto"/>
        <w:jc w:val="right"/>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单位：万元</w:t>
      </w:r>
    </w:p>
    <w:tbl>
      <w:tblPr>
        <w:tblStyle w:val="18"/>
        <w:tblW w:w="960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1"/>
        <w:gridCol w:w="3167"/>
        <w:gridCol w:w="1128"/>
        <w:gridCol w:w="1125"/>
        <w:gridCol w:w="1125"/>
        <w:gridCol w:w="1125"/>
        <w:gridCol w:w="1130"/>
      </w:tblGrid>
      <w:tr w14:paraId="5C6B0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801" w:type="dxa"/>
            <w:vAlign w:val="top"/>
          </w:tcPr>
          <w:p w14:paraId="252CAD19">
            <w:pPr>
              <w:pStyle w:val="19"/>
              <w:keepNext w:val="0"/>
              <w:keepLines w:val="0"/>
              <w:widowControl/>
              <w:suppressLineNumbers w:val="0"/>
              <w:spacing w:before="192" w:beforeAutospacing="0" w:after="0" w:afterAutospacing="0" w:line="222" w:lineRule="auto"/>
              <w:ind w:left="202" w:right="0"/>
              <w:rPr>
                <w:rFonts w:hint="default"/>
                <w:color w:val="auto"/>
                <w:spacing w:val="0"/>
                <w:w w:val="100"/>
                <w:position w:val="0"/>
                <w:highlight w:val="none"/>
              </w:rPr>
            </w:pPr>
            <w:r>
              <w:rPr>
                <w:rFonts w:hint="default"/>
                <w:color w:val="auto"/>
                <w:spacing w:val="0"/>
                <w:w w:val="100"/>
                <w:position w:val="0"/>
                <w:highlight w:val="none"/>
              </w:rPr>
              <w:t>序号</w:t>
            </w:r>
          </w:p>
        </w:tc>
        <w:tc>
          <w:tcPr>
            <w:tcW w:w="3167" w:type="dxa"/>
            <w:vAlign w:val="top"/>
          </w:tcPr>
          <w:p w14:paraId="0C4FF99D">
            <w:pPr>
              <w:pStyle w:val="19"/>
              <w:keepNext w:val="0"/>
              <w:keepLines w:val="0"/>
              <w:widowControl/>
              <w:suppressLineNumbers w:val="0"/>
              <w:spacing w:before="140" w:beforeAutospacing="0" w:after="0" w:afterAutospacing="0" w:line="221" w:lineRule="auto"/>
              <w:ind w:left="1118" w:right="0"/>
              <w:rPr>
                <w:rFonts w:hint="default"/>
                <w:color w:val="auto"/>
                <w:spacing w:val="0"/>
                <w:w w:val="100"/>
                <w:position w:val="0"/>
                <w:highlight w:val="none"/>
              </w:rPr>
            </w:pPr>
            <w:r>
              <w:rPr>
                <w:rFonts w:hint="default"/>
                <w:color w:val="auto"/>
                <w:spacing w:val="0"/>
                <w:w w:val="100"/>
                <w:position w:val="0"/>
                <w:highlight w:val="none"/>
              </w:rPr>
              <w:t>项     目</w:t>
            </w:r>
          </w:p>
        </w:tc>
        <w:tc>
          <w:tcPr>
            <w:tcW w:w="1128" w:type="dxa"/>
            <w:vAlign w:val="top"/>
          </w:tcPr>
          <w:p w14:paraId="47819350">
            <w:pPr>
              <w:pStyle w:val="19"/>
              <w:keepNext w:val="0"/>
              <w:keepLines w:val="0"/>
              <w:widowControl/>
              <w:suppressLineNumbers w:val="0"/>
              <w:spacing w:before="140" w:beforeAutospacing="0" w:after="0" w:afterAutospacing="0" w:line="221" w:lineRule="auto"/>
              <w:ind w:left="367" w:right="0"/>
              <w:rPr>
                <w:rFonts w:hint="default"/>
                <w:color w:val="auto"/>
                <w:spacing w:val="0"/>
                <w:w w:val="100"/>
                <w:position w:val="0"/>
                <w:highlight w:val="none"/>
              </w:rPr>
            </w:pPr>
            <w:r>
              <w:rPr>
                <w:rFonts w:hint="default"/>
                <w:color w:val="auto"/>
                <w:spacing w:val="0"/>
                <w:w w:val="100"/>
                <w:position w:val="0"/>
                <w:highlight w:val="none"/>
              </w:rPr>
              <w:t>单位</w:t>
            </w:r>
          </w:p>
        </w:tc>
        <w:tc>
          <w:tcPr>
            <w:tcW w:w="1125" w:type="dxa"/>
            <w:vAlign w:val="top"/>
          </w:tcPr>
          <w:p w14:paraId="0D7432CC">
            <w:pPr>
              <w:pStyle w:val="19"/>
              <w:keepNext w:val="0"/>
              <w:keepLines w:val="0"/>
              <w:widowControl/>
              <w:suppressLineNumbers w:val="0"/>
              <w:spacing w:before="139" w:beforeAutospacing="0" w:after="0" w:afterAutospacing="0" w:line="221" w:lineRule="auto"/>
              <w:ind w:left="0" w:right="0"/>
              <w:jc w:val="center"/>
              <w:rPr>
                <w:rFonts w:hint="default"/>
                <w:color w:val="auto"/>
                <w:spacing w:val="0"/>
                <w:w w:val="100"/>
                <w:position w:val="0"/>
                <w:highlight w:val="none"/>
              </w:rPr>
            </w:pPr>
            <w:r>
              <w:rPr>
                <w:rFonts w:hint="default"/>
                <w:color w:val="auto"/>
                <w:spacing w:val="0"/>
                <w:w w:val="100"/>
                <w:position w:val="0"/>
                <w:highlight w:val="none"/>
              </w:rPr>
              <w:t>数量</w:t>
            </w:r>
          </w:p>
        </w:tc>
        <w:tc>
          <w:tcPr>
            <w:tcW w:w="1125" w:type="dxa"/>
            <w:vAlign w:val="top"/>
          </w:tcPr>
          <w:p w14:paraId="2A50122B">
            <w:pPr>
              <w:pStyle w:val="19"/>
              <w:keepNext w:val="0"/>
              <w:keepLines w:val="0"/>
              <w:widowControl/>
              <w:suppressLineNumbers w:val="0"/>
              <w:spacing w:before="140" w:beforeAutospacing="0" w:after="0" w:afterAutospacing="0" w:line="219" w:lineRule="auto"/>
              <w:ind w:left="366" w:right="0"/>
              <w:rPr>
                <w:rFonts w:hint="default"/>
                <w:color w:val="auto"/>
                <w:spacing w:val="0"/>
                <w:w w:val="100"/>
                <w:position w:val="0"/>
                <w:highlight w:val="none"/>
              </w:rPr>
            </w:pPr>
            <w:r>
              <w:rPr>
                <w:rFonts w:hint="default"/>
                <w:color w:val="auto"/>
                <w:spacing w:val="0"/>
                <w:w w:val="100"/>
                <w:position w:val="0"/>
                <w:highlight w:val="none"/>
              </w:rPr>
              <w:t>单价</w:t>
            </w:r>
          </w:p>
        </w:tc>
        <w:tc>
          <w:tcPr>
            <w:tcW w:w="1125" w:type="dxa"/>
            <w:vAlign w:val="top"/>
          </w:tcPr>
          <w:p w14:paraId="1B0567C1">
            <w:pPr>
              <w:pStyle w:val="19"/>
              <w:keepNext w:val="0"/>
              <w:keepLines w:val="0"/>
              <w:widowControl/>
              <w:suppressLineNumbers w:val="0"/>
              <w:spacing w:before="140" w:beforeAutospacing="0" w:after="0" w:afterAutospacing="0" w:line="219" w:lineRule="auto"/>
              <w:ind w:left="366" w:right="0"/>
              <w:rPr>
                <w:rFonts w:hint="default"/>
                <w:color w:val="auto"/>
                <w:spacing w:val="0"/>
                <w:w w:val="100"/>
                <w:position w:val="0"/>
                <w:highlight w:val="none"/>
              </w:rPr>
            </w:pPr>
            <w:r>
              <w:rPr>
                <w:rFonts w:hint="default"/>
                <w:color w:val="auto"/>
                <w:spacing w:val="0"/>
                <w:w w:val="100"/>
                <w:position w:val="0"/>
                <w:highlight w:val="none"/>
              </w:rPr>
              <w:t>合价</w:t>
            </w:r>
          </w:p>
        </w:tc>
        <w:tc>
          <w:tcPr>
            <w:tcW w:w="1130" w:type="dxa"/>
            <w:vAlign w:val="top"/>
          </w:tcPr>
          <w:p w14:paraId="4E8FEFD2">
            <w:pPr>
              <w:pStyle w:val="19"/>
              <w:keepNext w:val="0"/>
              <w:keepLines w:val="0"/>
              <w:widowControl/>
              <w:suppressLineNumbers w:val="0"/>
              <w:spacing w:before="139" w:beforeAutospacing="0" w:after="0" w:afterAutospacing="0" w:line="222" w:lineRule="auto"/>
              <w:ind w:left="373" w:right="0"/>
              <w:rPr>
                <w:rFonts w:hint="default"/>
                <w:color w:val="auto"/>
                <w:spacing w:val="0"/>
                <w:w w:val="100"/>
                <w:position w:val="0"/>
                <w:highlight w:val="none"/>
              </w:rPr>
            </w:pPr>
            <w:r>
              <w:rPr>
                <w:rFonts w:hint="default"/>
                <w:color w:val="auto"/>
                <w:spacing w:val="0"/>
                <w:w w:val="100"/>
                <w:position w:val="0"/>
                <w:highlight w:val="none"/>
              </w:rPr>
              <w:t>备注</w:t>
            </w:r>
          </w:p>
        </w:tc>
      </w:tr>
      <w:tr w14:paraId="07759F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jc w:val="center"/>
        </w:trPr>
        <w:tc>
          <w:tcPr>
            <w:tcW w:w="801" w:type="dxa"/>
            <w:vAlign w:val="top"/>
          </w:tcPr>
          <w:p w14:paraId="4F5D1BA1">
            <w:pPr>
              <w:pStyle w:val="19"/>
              <w:keepNext w:val="0"/>
              <w:keepLines w:val="0"/>
              <w:widowControl/>
              <w:suppressLineNumbers w:val="0"/>
              <w:spacing w:before="175" w:beforeAutospacing="0" w:after="0" w:afterAutospacing="0" w:line="242" w:lineRule="auto"/>
              <w:ind w:left="384" w:right="0"/>
              <w:rPr>
                <w:rFonts w:hint="default"/>
                <w:color w:val="auto"/>
                <w:spacing w:val="0"/>
                <w:w w:val="100"/>
                <w:position w:val="0"/>
                <w:highlight w:val="none"/>
              </w:rPr>
            </w:pPr>
            <w:r>
              <w:rPr>
                <w:rFonts w:hint="default"/>
                <w:color w:val="auto"/>
                <w:spacing w:val="0"/>
                <w:w w:val="100"/>
                <w:position w:val="0"/>
                <w:highlight w:val="none"/>
              </w:rPr>
              <w:t>1</w:t>
            </w:r>
          </w:p>
        </w:tc>
        <w:tc>
          <w:tcPr>
            <w:tcW w:w="3167" w:type="dxa"/>
            <w:vAlign w:val="top"/>
          </w:tcPr>
          <w:p w14:paraId="2C9C2C8C">
            <w:pPr>
              <w:pStyle w:val="19"/>
              <w:keepNext w:val="0"/>
              <w:keepLines w:val="0"/>
              <w:widowControl/>
              <w:suppressLineNumbers w:val="0"/>
              <w:spacing w:before="175" w:beforeAutospacing="0" w:after="0" w:afterAutospacing="0" w:line="219" w:lineRule="auto"/>
              <w:ind w:left="757" w:right="0"/>
              <w:rPr>
                <w:rFonts w:hint="default"/>
                <w:color w:val="auto"/>
                <w:spacing w:val="0"/>
                <w:w w:val="100"/>
                <w:position w:val="0"/>
                <w:highlight w:val="none"/>
              </w:rPr>
            </w:pPr>
            <w:r>
              <w:rPr>
                <w:rFonts w:hint="default"/>
                <w:color w:val="auto"/>
                <w:spacing w:val="0"/>
                <w:w w:val="100"/>
                <w:position w:val="0"/>
                <w:highlight w:val="none"/>
              </w:rPr>
              <w:t>工可报告编制费用</w:t>
            </w:r>
          </w:p>
        </w:tc>
        <w:tc>
          <w:tcPr>
            <w:tcW w:w="1128" w:type="dxa"/>
            <w:vAlign w:val="top"/>
          </w:tcPr>
          <w:p w14:paraId="2346D9D3">
            <w:pPr>
              <w:pStyle w:val="19"/>
              <w:keepNext w:val="0"/>
              <w:keepLines w:val="0"/>
              <w:widowControl/>
              <w:suppressLineNumbers w:val="0"/>
              <w:spacing w:before="174" w:beforeAutospacing="0" w:after="0" w:afterAutospacing="0" w:line="221" w:lineRule="auto"/>
              <w:ind w:left="371" w:right="0"/>
              <w:rPr>
                <w:rFonts w:hint="default"/>
                <w:color w:val="auto"/>
                <w:spacing w:val="0"/>
                <w:w w:val="100"/>
                <w:position w:val="0"/>
                <w:highlight w:val="none"/>
              </w:rPr>
            </w:pPr>
            <w:r>
              <w:rPr>
                <w:rFonts w:hint="default"/>
                <w:color w:val="auto"/>
                <w:spacing w:val="0"/>
                <w:w w:val="100"/>
                <w:position w:val="0"/>
                <w:highlight w:val="none"/>
              </w:rPr>
              <w:t>总额</w:t>
            </w:r>
          </w:p>
        </w:tc>
        <w:tc>
          <w:tcPr>
            <w:tcW w:w="1125" w:type="dxa"/>
            <w:vAlign w:val="top"/>
          </w:tcPr>
          <w:p w14:paraId="0F7767E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25" w:type="dxa"/>
            <w:vAlign w:val="top"/>
          </w:tcPr>
          <w:p w14:paraId="1422E49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25" w:type="dxa"/>
            <w:vAlign w:val="top"/>
          </w:tcPr>
          <w:p w14:paraId="0A9D19A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0CE2AA32">
            <w:pPr>
              <w:pStyle w:val="19"/>
              <w:keepNext w:val="0"/>
              <w:keepLines w:val="0"/>
              <w:widowControl/>
              <w:suppressLineNumbers w:val="0"/>
              <w:spacing w:before="122" w:beforeAutospacing="0" w:after="0" w:afterAutospacing="0" w:line="222" w:lineRule="auto"/>
              <w:ind w:left="396" w:right="0"/>
              <w:rPr>
                <w:rFonts w:hint="default"/>
                <w:color w:val="auto"/>
                <w:spacing w:val="0"/>
                <w:w w:val="100"/>
                <w:position w:val="0"/>
                <w:highlight w:val="none"/>
              </w:rPr>
            </w:pPr>
            <w:r>
              <w:rPr>
                <w:rFonts w:hint="default"/>
                <w:color w:val="auto"/>
                <w:spacing w:val="0"/>
                <w:w w:val="100"/>
                <w:position w:val="0"/>
                <w:highlight w:val="none"/>
              </w:rPr>
              <w:t>表 1</w:t>
            </w:r>
          </w:p>
        </w:tc>
      </w:tr>
      <w:tr w14:paraId="5B67D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jc w:val="center"/>
        </w:trPr>
        <w:tc>
          <w:tcPr>
            <w:tcW w:w="801" w:type="dxa"/>
            <w:vAlign w:val="top"/>
          </w:tcPr>
          <w:p w14:paraId="4A61B22F">
            <w:pPr>
              <w:pStyle w:val="19"/>
              <w:keepNext w:val="0"/>
              <w:keepLines w:val="0"/>
              <w:widowControl/>
              <w:suppressLineNumbers w:val="0"/>
              <w:spacing w:before="190" w:beforeAutospacing="0" w:after="0" w:afterAutospacing="0" w:line="242" w:lineRule="auto"/>
              <w:ind w:left="371" w:right="0"/>
              <w:rPr>
                <w:rFonts w:hint="default"/>
                <w:color w:val="auto"/>
                <w:spacing w:val="0"/>
                <w:w w:val="100"/>
                <w:position w:val="0"/>
                <w:highlight w:val="none"/>
              </w:rPr>
            </w:pPr>
            <w:r>
              <w:rPr>
                <w:rFonts w:hint="default"/>
                <w:color w:val="auto"/>
                <w:spacing w:val="0"/>
                <w:w w:val="100"/>
                <w:position w:val="0"/>
                <w:highlight w:val="none"/>
              </w:rPr>
              <w:t>2</w:t>
            </w:r>
          </w:p>
        </w:tc>
        <w:tc>
          <w:tcPr>
            <w:tcW w:w="3167" w:type="dxa"/>
            <w:vAlign w:val="top"/>
          </w:tcPr>
          <w:p w14:paraId="17AE2D11">
            <w:pPr>
              <w:pStyle w:val="19"/>
              <w:keepNext w:val="0"/>
              <w:keepLines w:val="0"/>
              <w:widowControl/>
              <w:suppressLineNumbers w:val="0"/>
              <w:spacing w:before="190" w:beforeAutospacing="0" w:after="0" w:afterAutospacing="0" w:line="221" w:lineRule="auto"/>
              <w:ind w:left="965" w:right="0"/>
              <w:rPr>
                <w:rFonts w:hint="default"/>
                <w:color w:val="auto"/>
                <w:spacing w:val="0"/>
                <w:w w:val="100"/>
                <w:position w:val="0"/>
                <w:highlight w:val="none"/>
              </w:rPr>
            </w:pPr>
            <w:r>
              <w:rPr>
                <w:rFonts w:hint="default"/>
                <w:color w:val="auto"/>
                <w:spacing w:val="0"/>
                <w:w w:val="100"/>
                <w:position w:val="0"/>
                <w:highlight w:val="none"/>
              </w:rPr>
              <w:t>勘察测绘费用</w:t>
            </w:r>
          </w:p>
        </w:tc>
        <w:tc>
          <w:tcPr>
            <w:tcW w:w="1128" w:type="dxa"/>
            <w:vAlign w:val="top"/>
          </w:tcPr>
          <w:p w14:paraId="18C1CFFA">
            <w:pPr>
              <w:pStyle w:val="19"/>
              <w:keepNext w:val="0"/>
              <w:keepLines w:val="0"/>
              <w:widowControl/>
              <w:suppressLineNumbers w:val="0"/>
              <w:spacing w:before="190" w:beforeAutospacing="0" w:after="0" w:afterAutospacing="0" w:line="221" w:lineRule="auto"/>
              <w:ind w:left="371" w:right="0"/>
              <w:rPr>
                <w:rFonts w:hint="default"/>
                <w:color w:val="auto"/>
                <w:spacing w:val="0"/>
                <w:w w:val="100"/>
                <w:position w:val="0"/>
                <w:highlight w:val="none"/>
              </w:rPr>
            </w:pPr>
            <w:r>
              <w:rPr>
                <w:rFonts w:hint="default"/>
                <w:color w:val="auto"/>
                <w:spacing w:val="0"/>
                <w:w w:val="100"/>
                <w:position w:val="0"/>
                <w:highlight w:val="none"/>
              </w:rPr>
              <w:t>总额</w:t>
            </w:r>
          </w:p>
        </w:tc>
        <w:tc>
          <w:tcPr>
            <w:tcW w:w="1125" w:type="dxa"/>
            <w:vAlign w:val="top"/>
          </w:tcPr>
          <w:p w14:paraId="1CBA3B6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25" w:type="dxa"/>
            <w:vAlign w:val="top"/>
          </w:tcPr>
          <w:p w14:paraId="01A3B39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25" w:type="dxa"/>
            <w:vAlign w:val="top"/>
          </w:tcPr>
          <w:p w14:paraId="0ED0D69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1F243006">
            <w:pPr>
              <w:pStyle w:val="19"/>
              <w:keepNext w:val="0"/>
              <w:keepLines w:val="0"/>
              <w:widowControl/>
              <w:suppressLineNumbers w:val="0"/>
              <w:spacing w:before="137" w:beforeAutospacing="0" w:after="0" w:afterAutospacing="0" w:line="222" w:lineRule="auto"/>
              <w:ind w:left="396" w:right="0"/>
              <w:rPr>
                <w:rFonts w:hint="default"/>
                <w:color w:val="auto"/>
                <w:spacing w:val="0"/>
                <w:w w:val="100"/>
                <w:position w:val="0"/>
                <w:highlight w:val="none"/>
              </w:rPr>
            </w:pPr>
            <w:r>
              <w:rPr>
                <w:rFonts w:hint="default"/>
                <w:color w:val="auto"/>
                <w:spacing w:val="0"/>
                <w:w w:val="100"/>
                <w:position w:val="0"/>
                <w:highlight w:val="none"/>
              </w:rPr>
              <w:t>表 2</w:t>
            </w:r>
          </w:p>
        </w:tc>
      </w:tr>
      <w:tr w14:paraId="4BA64E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jc w:val="center"/>
        </w:trPr>
        <w:tc>
          <w:tcPr>
            <w:tcW w:w="801" w:type="dxa"/>
            <w:vAlign w:val="top"/>
          </w:tcPr>
          <w:p w14:paraId="4696E985">
            <w:pPr>
              <w:pStyle w:val="19"/>
              <w:keepNext w:val="0"/>
              <w:keepLines w:val="0"/>
              <w:widowControl/>
              <w:suppressLineNumbers w:val="0"/>
              <w:spacing w:before="190" w:beforeAutospacing="0" w:after="0" w:afterAutospacing="0" w:line="241" w:lineRule="auto"/>
              <w:ind w:left="372" w:right="0"/>
              <w:rPr>
                <w:rFonts w:hint="default"/>
                <w:color w:val="auto"/>
                <w:spacing w:val="0"/>
                <w:w w:val="100"/>
                <w:position w:val="0"/>
                <w:highlight w:val="none"/>
              </w:rPr>
            </w:pPr>
            <w:r>
              <w:rPr>
                <w:rFonts w:hint="default"/>
                <w:color w:val="auto"/>
                <w:spacing w:val="0"/>
                <w:w w:val="100"/>
                <w:position w:val="0"/>
                <w:highlight w:val="none"/>
              </w:rPr>
              <w:t>3</w:t>
            </w:r>
          </w:p>
        </w:tc>
        <w:tc>
          <w:tcPr>
            <w:tcW w:w="3167" w:type="dxa"/>
            <w:vAlign w:val="top"/>
          </w:tcPr>
          <w:p w14:paraId="39E6FF73">
            <w:pPr>
              <w:pStyle w:val="19"/>
              <w:keepNext w:val="0"/>
              <w:keepLines w:val="0"/>
              <w:widowControl/>
              <w:suppressLineNumbers w:val="0"/>
              <w:spacing w:before="191" w:beforeAutospacing="0" w:after="0" w:afterAutospacing="0" w:line="220" w:lineRule="auto"/>
              <w:ind w:left="967" w:right="0"/>
              <w:rPr>
                <w:rFonts w:hint="default"/>
                <w:color w:val="auto"/>
                <w:spacing w:val="0"/>
                <w:w w:val="100"/>
                <w:position w:val="0"/>
                <w:highlight w:val="none"/>
              </w:rPr>
            </w:pPr>
            <w:r>
              <w:rPr>
                <w:rFonts w:hint="default"/>
                <w:color w:val="auto"/>
                <w:spacing w:val="0"/>
                <w:w w:val="100"/>
                <w:position w:val="0"/>
                <w:highlight w:val="none"/>
              </w:rPr>
              <w:t>专题研究费用</w:t>
            </w:r>
          </w:p>
        </w:tc>
        <w:tc>
          <w:tcPr>
            <w:tcW w:w="1128" w:type="dxa"/>
            <w:vAlign w:val="top"/>
          </w:tcPr>
          <w:p w14:paraId="35B5235E">
            <w:pPr>
              <w:pStyle w:val="19"/>
              <w:keepNext w:val="0"/>
              <w:keepLines w:val="0"/>
              <w:widowControl/>
              <w:suppressLineNumbers w:val="0"/>
              <w:spacing w:before="190" w:beforeAutospacing="0" w:after="0" w:afterAutospacing="0" w:line="221" w:lineRule="auto"/>
              <w:ind w:left="371" w:right="0"/>
              <w:rPr>
                <w:rFonts w:hint="default"/>
                <w:color w:val="auto"/>
                <w:spacing w:val="0"/>
                <w:w w:val="100"/>
                <w:position w:val="0"/>
                <w:highlight w:val="none"/>
              </w:rPr>
            </w:pPr>
            <w:r>
              <w:rPr>
                <w:rFonts w:hint="default"/>
                <w:color w:val="auto"/>
                <w:spacing w:val="0"/>
                <w:w w:val="100"/>
                <w:position w:val="0"/>
                <w:highlight w:val="none"/>
              </w:rPr>
              <w:t>总额</w:t>
            </w:r>
          </w:p>
        </w:tc>
        <w:tc>
          <w:tcPr>
            <w:tcW w:w="1125" w:type="dxa"/>
            <w:vAlign w:val="top"/>
          </w:tcPr>
          <w:p w14:paraId="65AC3BB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25" w:type="dxa"/>
            <w:vAlign w:val="top"/>
          </w:tcPr>
          <w:p w14:paraId="3CEC216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25" w:type="dxa"/>
            <w:vAlign w:val="top"/>
          </w:tcPr>
          <w:p w14:paraId="0E589C2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2518A745">
            <w:pPr>
              <w:pStyle w:val="19"/>
              <w:keepNext w:val="0"/>
              <w:keepLines w:val="0"/>
              <w:widowControl/>
              <w:suppressLineNumbers w:val="0"/>
              <w:spacing w:before="140" w:beforeAutospacing="0" w:after="0" w:afterAutospacing="0" w:line="222" w:lineRule="auto"/>
              <w:ind w:left="396" w:right="0"/>
              <w:rPr>
                <w:rFonts w:hint="default"/>
                <w:color w:val="auto"/>
                <w:spacing w:val="0"/>
                <w:w w:val="100"/>
                <w:position w:val="0"/>
                <w:highlight w:val="none"/>
              </w:rPr>
            </w:pPr>
            <w:r>
              <w:rPr>
                <w:rFonts w:hint="default"/>
                <w:color w:val="auto"/>
                <w:spacing w:val="0"/>
                <w:w w:val="100"/>
                <w:position w:val="0"/>
                <w:highlight w:val="none"/>
              </w:rPr>
              <w:t>表 3</w:t>
            </w:r>
          </w:p>
        </w:tc>
      </w:tr>
      <w:tr w14:paraId="77D04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jc w:val="center"/>
        </w:trPr>
        <w:tc>
          <w:tcPr>
            <w:tcW w:w="801" w:type="dxa"/>
            <w:vAlign w:val="top"/>
          </w:tcPr>
          <w:p w14:paraId="70D176E5">
            <w:pPr>
              <w:pStyle w:val="19"/>
              <w:keepNext w:val="0"/>
              <w:keepLines w:val="0"/>
              <w:widowControl/>
              <w:suppressLineNumbers w:val="0"/>
              <w:spacing w:before="161" w:beforeAutospacing="0" w:after="0" w:afterAutospacing="0" w:line="242" w:lineRule="auto"/>
              <w:ind w:left="367" w:right="0"/>
              <w:rPr>
                <w:rFonts w:hint="default"/>
                <w:color w:val="auto"/>
                <w:spacing w:val="0"/>
                <w:w w:val="100"/>
                <w:position w:val="0"/>
                <w:highlight w:val="none"/>
              </w:rPr>
            </w:pPr>
            <w:r>
              <w:rPr>
                <w:rFonts w:hint="default"/>
                <w:color w:val="auto"/>
                <w:spacing w:val="0"/>
                <w:w w:val="100"/>
                <w:position w:val="0"/>
                <w:highlight w:val="none"/>
              </w:rPr>
              <w:t>4</w:t>
            </w:r>
          </w:p>
        </w:tc>
        <w:tc>
          <w:tcPr>
            <w:tcW w:w="3167" w:type="dxa"/>
            <w:vAlign w:val="top"/>
          </w:tcPr>
          <w:p w14:paraId="6CEC12A9">
            <w:pPr>
              <w:pStyle w:val="19"/>
              <w:keepNext w:val="0"/>
              <w:keepLines w:val="0"/>
              <w:widowControl/>
              <w:suppressLineNumbers w:val="0"/>
              <w:spacing w:before="161" w:beforeAutospacing="0" w:after="0" w:afterAutospacing="0" w:line="219" w:lineRule="auto"/>
              <w:ind w:left="545" w:right="0"/>
              <w:rPr>
                <w:rFonts w:hint="default"/>
                <w:color w:val="auto"/>
                <w:spacing w:val="0"/>
                <w:w w:val="100"/>
                <w:position w:val="0"/>
                <w:highlight w:val="none"/>
              </w:rPr>
            </w:pPr>
            <w:r>
              <w:rPr>
                <w:rFonts w:hint="default"/>
                <w:color w:val="auto"/>
                <w:spacing w:val="0"/>
                <w:w w:val="100"/>
                <w:position w:val="0"/>
                <w:highlight w:val="none"/>
              </w:rPr>
              <w:t>本项目投标报价=1+2+3</w:t>
            </w:r>
          </w:p>
        </w:tc>
        <w:tc>
          <w:tcPr>
            <w:tcW w:w="1128" w:type="dxa"/>
            <w:vAlign w:val="top"/>
          </w:tcPr>
          <w:p w14:paraId="5720CF6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25" w:type="dxa"/>
            <w:vAlign w:val="top"/>
          </w:tcPr>
          <w:p w14:paraId="76AE1B8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25" w:type="dxa"/>
            <w:vAlign w:val="top"/>
          </w:tcPr>
          <w:p w14:paraId="015AAE2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25" w:type="dxa"/>
            <w:vAlign w:val="top"/>
          </w:tcPr>
          <w:p w14:paraId="3EFAC75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224928C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3C538A5D">
      <w:pPr>
        <w:spacing w:line="462" w:lineRule="auto"/>
        <w:rPr>
          <w:rFonts w:ascii="Arial"/>
          <w:color w:val="auto"/>
          <w:spacing w:val="0"/>
          <w:w w:val="100"/>
          <w:position w:val="0"/>
          <w:sz w:val="21"/>
          <w:highlight w:val="none"/>
        </w:rPr>
      </w:pPr>
    </w:p>
    <w:p w14:paraId="1B60029A">
      <w:pPr>
        <w:spacing w:before="69" w:line="219" w:lineRule="auto"/>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投标报价：</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 xml:space="preserve"> 人民币元（大写）</w:t>
      </w:r>
    </w:p>
    <w:p w14:paraId="75B60CF7">
      <w:pPr>
        <w:spacing w:line="281" w:lineRule="auto"/>
        <w:rPr>
          <w:rFonts w:ascii="Arial"/>
          <w:color w:val="auto"/>
          <w:spacing w:val="0"/>
          <w:w w:val="100"/>
          <w:position w:val="0"/>
          <w:sz w:val="21"/>
          <w:highlight w:val="none"/>
        </w:rPr>
      </w:pPr>
    </w:p>
    <w:p w14:paraId="051B0A01">
      <w:pPr>
        <w:spacing w:line="281" w:lineRule="auto"/>
        <w:rPr>
          <w:rFonts w:ascii="Arial"/>
          <w:color w:val="auto"/>
          <w:spacing w:val="0"/>
          <w:w w:val="100"/>
          <w:position w:val="0"/>
          <w:sz w:val="21"/>
          <w:highlight w:val="none"/>
        </w:rPr>
      </w:pPr>
    </w:p>
    <w:p w14:paraId="2B5DFC43">
      <w:pPr>
        <w:spacing w:line="281" w:lineRule="auto"/>
        <w:rPr>
          <w:rFonts w:ascii="Arial"/>
          <w:color w:val="auto"/>
          <w:spacing w:val="0"/>
          <w:w w:val="100"/>
          <w:position w:val="0"/>
          <w:sz w:val="21"/>
          <w:highlight w:val="none"/>
        </w:rPr>
      </w:pPr>
    </w:p>
    <w:p w14:paraId="2DB467E9">
      <w:pPr>
        <w:spacing w:line="281" w:lineRule="auto"/>
        <w:rPr>
          <w:rFonts w:ascii="Arial"/>
          <w:color w:val="auto"/>
          <w:spacing w:val="0"/>
          <w:w w:val="100"/>
          <w:position w:val="0"/>
          <w:sz w:val="21"/>
          <w:highlight w:val="none"/>
        </w:rPr>
      </w:pPr>
    </w:p>
    <w:p w14:paraId="63098196">
      <w:pPr>
        <w:spacing w:before="69" w:line="220" w:lineRule="auto"/>
        <w:ind w:left="4689"/>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投标人（盖章）：</w:t>
      </w:r>
      <w:r>
        <w:rPr>
          <w:rFonts w:ascii="宋体" w:hAnsi="宋体" w:eastAsia="宋体" w:cs="宋体"/>
          <w:color w:val="auto"/>
          <w:spacing w:val="0"/>
          <w:w w:val="100"/>
          <w:position w:val="0"/>
          <w:sz w:val="21"/>
          <w:szCs w:val="21"/>
          <w:highlight w:val="none"/>
          <w:u w:val="single" w:color="auto"/>
        </w:rPr>
        <w:t xml:space="preserve">                                       </w:t>
      </w:r>
    </w:p>
    <w:p w14:paraId="1280DFF3">
      <w:pPr>
        <w:spacing w:before="95" w:line="221" w:lineRule="auto"/>
        <w:ind w:left="4687"/>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法定代表人或</w:t>
      </w:r>
    </w:p>
    <w:p w14:paraId="041139F5">
      <w:pPr>
        <w:spacing w:before="97" w:line="221" w:lineRule="auto"/>
        <w:ind w:left="4685"/>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授权代理人（签字）：</w:t>
      </w:r>
      <w:r>
        <w:rPr>
          <w:rFonts w:ascii="宋体" w:hAnsi="宋体" w:eastAsia="宋体" w:cs="宋体"/>
          <w:color w:val="auto"/>
          <w:spacing w:val="0"/>
          <w:w w:val="100"/>
          <w:position w:val="0"/>
          <w:sz w:val="21"/>
          <w:szCs w:val="21"/>
          <w:highlight w:val="none"/>
          <w:u w:val="single" w:color="auto"/>
        </w:rPr>
        <w:t xml:space="preserve">                     </w:t>
      </w:r>
    </w:p>
    <w:p w14:paraId="3CAED30C">
      <w:pPr>
        <w:spacing w:before="95" w:line="221" w:lineRule="auto"/>
        <w:ind w:left="4723"/>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日期：</w:t>
      </w:r>
      <w:r>
        <w:rPr>
          <w:rFonts w:ascii="宋体" w:hAnsi="宋体" w:eastAsia="宋体" w:cs="宋体"/>
          <w:color w:val="auto"/>
          <w:spacing w:val="0"/>
          <w:w w:val="100"/>
          <w:position w:val="0"/>
          <w:sz w:val="21"/>
          <w:szCs w:val="21"/>
          <w:highlight w:val="none"/>
          <w:u w:val="single" w:color="auto"/>
        </w:rPr>
        <w:t xml:space="preserve">                                                    </w:t>
      </w:r>
    </w:p>
    <w:p w14:paraId="3314964F">
      <w:pPr>
        <w:spacing w:line="291" w:lineRule="auto"/>
        <w:rPr>
          <w:rFonts w:ascii="Arial"/>
          <w:color w:val="auto"/>
          <w:spacing w:val="0"/>
          <w:w w:val="100"/>
          <w:position w:val="0"/>
          <w:sz w:val="21"/>
          <w:highlight w:val="none"/>
        </w:rPr>
      </w:pPr>
    </w:p>
    <w:p w14:paraId="631A96FD">
      <w:pPr>
        <w:spacing w:line="292" w:lineRule="auto"/>
        <w:rPr>
          <w:rFonts w:ascii="Arial"/>
          <w:color w:val="auto"/>
          <w:spacing w:val="0"/>
          <w:w w:val="100"/>
          <w:position w:val="0"/>
          <w:sz w:val="21"/>
          <w:highlight w:val="none"/>
        </w:rPr>
      </w:pPr>
    </w:p>
    <w:p w14:paraId="13B2E22B">
      <w:pPr>
        <w:spacing w:before="69" w:line="219" w:lineRule="auto"/>
        <w:ind w:left="1871"/>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注：清单中未报价的被视为含在已有项目中，费用不增加。</w:t>
      </w:r>
    </w:p>
    <w:p w14:paraId="4D166F58">
      <w:pPr>
        <w:spacing w:before="264" w:line="219" w:lineRule="auto"/>
        <w:jc w:val="both"/>
        <w:outlineLvl w:val="3"/>
        <w:rPr>
          <w:rFonts w:ascii="宋体" w:hAnsi="宋体" w:eastAsia="宋体" w:cs="宋体"/>
          <w:b/>
          <w:bCs/>
          <w:color w:val="auto"/>
          <w:spacing w:val="0"/>
          <w:w w:val="100"/>
          <w:position w:val="0"/>
          <w:sz w:val="28"/>
          <w:szCs w:val="28"/>
          <w:highlight w:val="none"/>
        </w:rPr>
      </w:pPr>
    </w:p>
    <w:p w14:paraId="3F3616E7">
      <w:pPr>
        <w:spacing w:before="315" w:line="219" w:lineRule="auto"/>
        <w:jc w:val="center"/>
        <w:rPr>
          <w:rFonts w:ascii="宋体" w:hAnsi="宋体" w:eastAsia="宋体" w:cs="宋体"/>
          <w:b/>
          <w:bCs/>
          <w:color w:val="auto"/>
          <w:spacing w:val="0"/>
          <w:w w:val="100"/>
          <w:position w:val="0"/>
          <w:sz w:val="28"/>
          <w:szCs w:val="28"/>
          <w:highlight w:val="none"/>
        </w:rPr>
      </w:pPr>
    </w:p>
    <w:p w14:paraId="49494128">
      <w:pPr>
        <w:spacing w:before="315" w:line="219" w:lineRule="auto"/>
        <w:jc w:val="center"/>
        <w:rPr>
          <w:rFonts w:ascii="宋体" w:hAnsi="宋体" w:eastAsia="宋体" w:cs="宋体"/>
          <w:b/>
          <w:bCs/>
          <w:color w:val="auto"/>
          <w:spacing w:val="0"/>
          <w:w w:val="100"/>
          <w:position w:val="0"/>
          <w:sz w:val="28"/>
          <w:szCs w:val="28"/>
          <w:highlight w:val="none"/>
        </w:rPr>
      </w:pPr>
    </w:p>
    <w:p w14:paraId="7AB64032">
      <w:pPr>
        <w:spacing w:before="315" w:line="219" w:lineRule="auto"/>
        <w:jc w:val="center"/>
        <w:rPr>
          <w:rFonts w:ascii="宋体" w:hAnsi="宋体" w:eastAsia="宋体" w:cs="宋体"/>
          <w:b/>
          <w:bCs/>
          <w:color w:val="auto"/>
          <w:spacing w:val="0"/>
          <w:w w:val="100"/>
          <w:position w:val="0"/>
          <w:sz w:val="28"/>
          <w:szCs w:val="28"/>
          <w:highlight w:val="none"/>
        </w:rPr>
      </w:pPr>
    </w:p>
    <w:p w14:paraId="7E92F765">
      <w:pPr>
        <w:spacing w:before="315" w:line="219" w:lineRule="auto"/>
        <w:jc w:val="center"/>
        <w:rPr>
          <w:rFonts w:ascii="宋体" w:hAnsi="宋体" w:eastAsia="宋体" w:cs="宋体"/>
          <w:b/>
          <w:bCs/>
          <w:color w:val="auto"/>
          <w:spacing w:val="0"/>
          <w:w w:val="100"/>
          <w:position w:val="0"/>
          <w:sz w:val="28"/>
          <w:szCs w:val="28"/>
          <w:highlight w:val="none"/>
        </w:rPr>
      </w:pPr>
    </w:p>
    <w:p w14:paraId="3A5420BE">
      <w:pPr>
        <w:spacing w:before="315" w:line="219" w:lineRule="auto"/>
        <w:jc w:val="center"/>
        <w:rPr>
          <w:rFonts w:ascii="宋体" w:hAnsi="宋体" w:eastAsia="宋体" w:cs="宋体"/>
          <w:b/>
          <w:bCs/>
          <w:color w:val="auto"/>
          <w:spacing w:val="0"/>
          <w:w w:val="100"/>
          <w:position w:val="0"/>
          <w:sz w:val="28"/>
          <w:szCs w:val="28"/>
          <w:highlight w:val="none"/>
        </w:rPr>
      </w:pPr>
    </w:p>
    <w:p w14:paraId="4F11709C">
      <w:pPr>
        <w:spacing w:before="315" w:line="219" w:lineRule="auto"/>
        <w:jc w:val="center"/>
        <w:rPr>
          <w:rFonts w:ascii="宋体" w:hAnsi="宋体" w:eastAsia="宋体" w:cs="宋体"/>
          <w:b/>
          <w:bCs/>
          <w:color w:val="auto"/>
          <w:spacing w:val="0"/>
          <w:w w:val="100"/>
          <w:position w:val="0"/>
          <w:sz w:val="28"/>
          <w:szCs w:val="28"/>
          <w:highlight w:val="none"/>
        </w:rPr>
      </w:pPr>
    </w:p>
    <w:p w14:paraId="7DAA6FA7">
      <w:pPr>
        <w:spacing w:before="315" w:line="219" w:lineRule="auto"/>
        <w:jc w:val="center"/>
        <w:rPr>
          <w:rFonts w:ascii="宋体" w:hAnsi="宋体" w:eastAsia="宋体" w:cs="宋体"/>
          <w:b/>
          <w:bCs/>
          <w:color w:val="auto"/>
          <w:spacing w:val="0"/>
          <w:w w:val="100"/>
          <w:position w:val="0"/>
          <w:sz w:val="28"/>
          <w:szCs w:val="28"/>
          <w:highlight w:val="none"/>
        </w:rPr>
      </w:pPr>
    </w:p>
    <w:p w14:paraId="5367B8DB">
      <w:pPr>
        <w:spacing w:before="315" w:line="219" w:lineRule="auto"/>
        <w:jc w:val="center"/>
        <w:rPr>
          <w:rFonts w:ascii="宋体" w:hAnsi="宋体" w:eastAsia="宋体" w:cs="宋体"/>
          <w:b/>
          <w:bCs/>
          <w:color w:val="auto"/>
          <w:spacing w:val="0"/>
          <w:w w:val="100"/>
          <w:position w:val="0"/>
          <w:sz w:val="28"/>
          <w:szCs w:val="28"/>
          <w:highlight w:val="none"/>
        </w:rPr>
      </w:pPr>
    </w:p>
    <w:p w14:paraId="577DB15B">
      <w:pPr>
        <w:spacing w:before="315" w:line="219" w:lineRule="auto"/>
        <w:jc w:val="center"/>
        <w:rPr>
          <w:rFonts w:ascii="宋体" w:hAnsi="宋体" w:eastAsia="宋体" w:cs="宋体"/>
          <w:b/>
          <w:bCs/>
          <w:color w:val="auto"/>
          <w:spacing w:val="0"/>
          <w:w w:val="100"/>
          <w:position w:val="0"/>
          <w:sz w:val="28"/>
          <w:szCs w:val="28"/>
          <w:highlight w:val="none"/>
        </w:rPr>
      </w:pPr>
    </w:p>
    <w:p w14:paraId="3BAD5BF4">
      <w:pPr>
        <w:spacing w:before="315" w:line="219" w:lineRule="auto"/>
        <w:jc w:val="center"/>
        <w:rPr>
          <w:rFonts w:ascii="宋体" w:hAnsi="宋体" w:eastAsia="宋体" w:cs="宋体"/>
          <w:color w:val="auto"/>
          <w:spacing w:val="0"/>
          <w:w w:val="100"/>
          <w:position w:val="0"/>
          <w:sz w:val="28"/>
          <w:szCs w:val="28"/>
          <w:highlight w:val="none"/>
        </w:rPr>
      </w:pPr>
      <w:r>
        <w:rPr>
          <w:rFonts w:ascii="宋体" w:hAnsi="宋体" w:eastAsia="宋体" w:cs="宋体"/>
          <w:b/>
          <w:bCs/>
          <w:color w:val="auto"/>
          <w:spacing w:val="0"/>
          <w:w w:val="100"/>
          <w:position w:val="0"/>
          <w:sz w:val="28"/>
          <w:szCs w:val="28"/>
          <w:highlight w:val="none"/>
        </w:rPr>
        <w:t>1.工可报告编制清单表</w:t>
      </w:r>
    </w:p>
    <w:p w14:paraId="7A4C01E4">
      <w:pPr>
        <w:spacing w:before="21" w:line="214" w:lineRule="auto"/>
        <w:jc w:val="right"/>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单位：元</w:t>
      </w:r>
    </w:p>
    <w:tbl>
      <w:tblPr>
        <w:tblStyle w:val="18"/>
        <w:tblW w:w="939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6"/>
        <w:gridCol w:w="3227"/>
        <w:gridCol w:w="1006"/>
        <w:gridCol w:w="1096"/>
        <w:gridCol w:w="991"/>
        <w:gridCol w:w="1626"/>
      </w:tblGrid>
      <w:tr w14:paraId="58411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jc w:val="center"/>
        </w:trPr>
        <w:tc>
          <w:tcPr>
            <w:tcW w:w="4673" w:type="dxa"/>
            <w:gridSpan w:val="2"/>
            <w:vAlign w:val="top"/>
          </w:tcPr>
          <w:p w14:paraId="25EF0798">
            <w:pPr>
              <w:pStyle w:val="19"/>
              <w:keepNext w:val="0"/>
              <w:keepLines w:val="0"/>
              <w:widowControl/>
              <w:suppressLineNumbers w:val="0"/>
              <w:spacing w:before="154" w:beforeAutospacing="0" w:after="0" w:afterAutospacing="0" w:line="221" w:lineRule="auto"/>
              <w:ind w:left="2029" w:right="0"/>
              <w:rPr>
                <w:rFonts w:hint="default"/>
                <w:color w:val="auto"/>
                <w:spacing w:val="0"/>
                <w:w w:val="100"/>
                <w:position w:val="0"/>
                <w:highlight w:val="none"/>
              </w:rPr>
            </w:pPr>
            <w:r>
              <w:rPr>
                <w:rFonts w:hint="default"/>
                <w:color w:val="auto"/>
                <w:spacing w:val="0"/>
                <w:w w:val="100"/>
                <w:position w:val="0"/>
                <w:highlight w:val="none"/>
              </w:rPr>
              <w:t>项  目</w:t>
            </w:r>
          </w:p>
        </w:tc>
        <w:tc>
          <w:tcPr>
            <w:tcW w:w="1006" w:type="dxa"/>
            <w:vAlign w:val="top"/>
          </w:tcPr>
          <w:p w14:paraId="46B40ED4">
            <w:pPr>
              <w:pStyle w:val="19"/>
              <w:keepNext w:val="0"/>
              <w:keepLines w:val="0"/>
              <w:widowControl/>
              <w:suppressLineNumbers w:val="0"/>
              <w:spacing w:before="154" w:beforeAutospacing="0" w:after="0" w:afterAutospacing="0" w:line="221" w:lineRule="auto"/>
              <w:ind w:left="300" w:right="0"/>
              <w:rPr>
                <w:rFonts w:hint="default"/>
                <w:color w:val="auto"/>
                <w:spacing w:val="0"/>
                <w:w w:val="100"/>
                <w:position w:val="0"/>
                <w:highlight w:val="none"/>
              </w:rPr>
            </w:pPr>
            <w:r>
              <w:rPr>
                <w:rFonts w:hint="default"/>
                <w:color w:val="auto"/>
                <w:spacing w:val="0"/>
                <w:w w:val="100"/>
                <w:position w:val="0"/>
                <w:highlight w:val="none"/>
              </w:rPr>
              <w:t>单位</w:t>
            </w:r>
          </w:p>
        </w:tc>
        <w:tc>
          <w:tcPr>
            <w:tcW w:w="1096" w:type="dxa"/>
            <w:vAlign w:val="top"/>
          </w:tcPr>
          <w:p w14:paraId="550FB937">
            <w:pPr>
              <w:pStyle w:val="19"/>
              <w:keepNext w:val="0"/>
              <w:keepLines w:val="0"/>
              <w:widowControl/>
              <w:suppressLineNumbers w:val="0"/>
              <w:spacing w:before="153" w:beforeAutospacing="0" w:after="0" w:afterAutospacing="0" w:line="221" w:lineRule="auto"/>
              <w:ind w:left="346" w:right="0"/>
              <w:rPr>
                <w:rFonts w:hint="default"/>
                <w:color w:val="auto"/>
                <w:spacing w:val="0"/>
                <w:w w:val="100"/>
                <w:position w:val="0"/>
                <w:highlight w:val="none"/>
              </w:rPr>
            </w:pPr>
            <w:r>
              <w:rPr>
                <w:rFonts w:hint="default"/>
                <w:color w:val="auto"/>
                <w:spacing w:val="0"/>
                <w:w w:val="100"/>
                <w:position w:val="0"/>
                <w:highlight w:val="none"/>
              </w:rPr>
              <w:t>数量</w:t>
            </w:r>
          </w:p>
        </w:tc>
        <w:tc>
          <w:tcPr>
            <w:tcW w:w="991" w:type="dxa"/>
            <w:vAlign w:val="top"/>
          </w:tcPr>
          <w:p w14:paraId="3343E79F">
            <w:pPr>
              <w:pStyle w:val="19"/>
              <w:keepNext w:val="0"/>
              <w:keepLines w:val="0"/>
              <w:widowControl/>
              <w:suppressLineNumbers w:val="0"/>
              <w:spacing w:before="154" w:beforeAutospacing="0" w:after="0" w:afterAutospacing="0" w:line="219" w:lineRule="auto"/>
              <w:ind w:left="294" w:right="0"/>
              <w:rPr>
                <w:rFonts w:hint="default"/>
                <w:color w:val="auto"/>
                <w:spacing w:val="0"/>
                <w:w w:val="100"/>
                <w:position w:val="0"/>
                <w:highlight w:val="none"/>
              </w:rPr>
            </w:pPr>
            <w:r>
              <w:rPr>
                <w:rFonts w:hint="default"/>
                <w:color w:val="auto"/>
                <w:spacing w:val="0"/>
                <w:w w:val="100"/>
                <w:position w:val="0"/>
                <w:highlight w:val="none"/>
              </w:rPr>
              <w:t>单价</w:t>
            </w:r>
          </w:p>
        </w:tc>
        <w:tc>
          <w:tcPr>
            <w:tcW w:w="1626" w:type="dxa"/>
            <w:vAlign w:val="top"/>
          </w:tcPr>
          <w:p w14:paraId="6AD702DF">
            <w:pPr>
              <w:pStyle w:val="19"/>
              <w:keepNext w:val="0"/>
              <w:keepLines w:val="0"/>
              <w:widowControl/>
              <w:suppressLineNumbers w:val="0"/>
              <w:spacing w:before="154" w:beforeAutospacing="0" w:after="0" w:afterAutospacing="0" w:line="219" w:lineRule="auto"/>
              <w:ind w:left="608" w:right="0"/>
              <w:rPr>
                <w:rFonts w:hint="default"/>
                <w:color w:val="auto"/>
                <w:spacing w:val="0"/>
                <w:w w:val="100"/>
                <w:position w:val="0"/>
                <w:highlight w:val="none"/>
              </w:rPr>
            </w:pPr>
            <w:r>
              <w:rPr>
                <w:rFonts w:hint="default"/>
                <w:color w:val="auto"/>
                <w:spacing w:val="0"/>
                <w:w w:val="100"/>
                <w:position w:val="0"/>
                <w:highlight w:val="none"/>
              </w:rPr>
              <w:t>合价</w:t>
            </w:r>
          </w:p>
        </w:tc>
      </w:tr>
      <w:tr w14:paraId="6F661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jc w:val="center"/>
        </w:trPr>
        <w:tc>
          <w:tcPr>
            <w:tcW w:w="1446" w:type="dxa"/>
            <w:vAlign w:val="top"/>
          </w:tcPr>
          <w:p w14:paraId="76DBE5AB">
            <w:pPr>
              <w:pStyle w:val="19"/>
              <w:keepNext w:val="0"/>
              <w:keepLines w:val="0"/>
              <w:widowControl/>
              <w:suppressLineNumbers w:val="0"/>
              <w:spacing w:before="220" w:beforeAutospacing="0" w:after="0" w:afterAutospacing="0" w:line="163" w:lineRule="exact"/>
              <w:ind w:left="625" w:right="0"/>
              <w:rPr>
                <w:rFonts w:hint="default"/>
                <w:color w:val="auto"/>
                <w:spacing w:val="0"/>
                <w:w w:val="100"/>
                <w:position w:val="0"/>
                <w:highlight w:val="none"/>
              </w:rPr>
            </w:pPr>
            <w:r>
              <w:rPr>
                <w:rFonts w:hint="default"/>
                <w:color w:val="auto"/>
                <w:spacing w:val="0"/>
                <w:w w:val="100"/>
                <w:position w:val="0"/>
                <w:highlight w:val="none"/>
              </w:rPr>
              <w:t>一</w:t>
            </w:r>
          </w:p>
        </w:tc>
        <w:tc>
          <w:tcPr>
            <w:tcW w:w="3227" w:type="dxa"/>
            <w:vAlign w:val="top"/>
          </w:tcPr>
          <w:p w14:paraId="16002D96">
            <w:pPr>
              <w:pStyle w:val="19"/>
              <w:keepNext w:val="0"/>
              <w:keepLines w:val="0"/>
              <w:widowControl/>
              <w:suppressLineNumbers w:val="0"/>
              <w:spacing w:before="141" w:beforeAutospacing="0" w:after="0" w:afterAutospacing="0" w:line="219" w:lineRule="auto"/>
              <w:ind w:left="779" w:right="0"/>
              <w:rPr>
                <w:rFonts w:hint="default"/>
                <w:color w:val="auto"/>
                <w:spacing w:val="0"/>
                <w:w w:val="100"/>
                <w:position w:val="0"/>
                <w:highlight w:val="none"/>
              </w:rPr>
            </w:pPr>
            <w:r>
              <w:rPr>
                <w:rFonts w:hint="default"/>
                <w:color w:val="auto"/>
                <w:spacing w:val="0"/>
                <w:w w:val="100"/>
                <w:position w:val="0"/>
                <w:highlight w:val="none"/>
              </w:rPr>
              <w:t>工可报告编制费用</w:t>
            </w:r>
          </w:p>
        </w:tc>
        <w:tc>
          <w:tcPr>
            <w:tcW w:w="1006" w:type="dxa"/>
            <w:vAlign w:val="top"/>
          </w:tcPr>
          <w:p w14:paraId="0E3CABD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096" w:type="dxa"/>
            <w:vAlign w:val="top"/>
          </w:tcPr>
          <w:p w14:paraId="0CA7AEE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1" w:type="dxa"/>
            <w:vAlign w:val="top"/>
          </w:tcPr>
          <w:p w14:paraId="749BA65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26" w:type="dxa"/>
            <w:vAlign w:val="top"/>
          </w:tcPr>
          <w:p w14:paraId="3EEA065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2922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1446" w:type="dxa"/>
            <w:vAlign w:val="top"/>
          </w:tcPr>
          <w:p w14:paraId="0F2E0853">
            <w:pPr>
              <w:pStyle w:val="19"/>
              <w:keepNext w:val="0"/>
              <w:keepLines w:val="0"/>
              <w:widowControl/>
              <w:suppressLineNumbers w:val="0"/>
              <w:spacing w:before="188" w:beforeAutospacing="0" w:after="0" w:afterAutospacing="0" w:line="179" w:lineRule="auto"/>
              <w:ind w:left="625" w:right="0"/>
              <w:rPr>
                <w:rFonts w:hint="default"/>
                <w:color w:val="auto"/>
                <w:spacing w:val="0"/>
                <w:w w:val="100"/>
                <w:position w:val="0"/>
                <w:highlight w:val="none"/>
              </w:rPr>
            </w:pPr>
            <w:r>
              <w:rPr>
                <w:rFonts w:hint="default"/>
                <w:color w:val="auto"/>
                <w:spacing w:val="0"/>
                <w:w w:val="100"/>
                <w:position w:val="0"/>
                <w:highlight w:val="none"/>
              </w:rPr>
              <w:t>二</w:t>
            </w:r>
          </w:p>
        </w:tc>
        <w:tc>
          <w:tcPr>
            <w:tcW w:w="3227" w:type="dxa"/>
            <w:vAlign w:val="top"/>
          </w:tcPr>
          <w:p w14:paraId="34616C6C">
            <w:pPr>
              <w:pStyle w:val="19"/>
              <w:keepNext w:val="0"/>
              <w:keepLines w:val="0"/>
              <w:widowControl/>
              <w:suppressLineNumbers w:val="0"/>
              <w:spacing w:before="149" w:beforeAutospacing="0" w:after="0" w:afterAutospacing="0" w:line="220" w:lineRule="auto"/>
              <w:ind w:left="885" w:right="0"/>
              <w:rPr>
                <w:rFonts w:hint="default"/>
                <w:color w:val="auto"/>
                <w:spacing w:val="0"/>
                <w:w w:val="100"/>
                <w:position w:val="0"/>
                <w:highlight w:val="none"/>
              </w:rPr>
            </w:pPr>
            <w:r>
              <w:rPr>
                <w:rFonts w:hint="default"/>
                <w:color w:val="auto"/>
                <w:spacing w:val="0"/>
                <w:w w:val="100"/>
                <w:position w:val="0"/>
                <w:highlight w:val="none"/>
              </w:rPr>
              <w:t>工可评审会务费</w:t>
            </w:r>
          </w:p>
        </w:tc>
        <w:tc>
          <w:tcPr>
            <w:tcW w:w="1006" w:type="dxa"/>
            <w:vAlign w:val="top"/>
          </w:tcPr>
          <w:p w14:paraId="4DF0CA5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096" w:type="dxa"/>
            <w:vAlign w:val="top"/>
          </w:tcPr>
          <w:p w14:paraId="159AA50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1" w:type="dxa"/>
            <w:vAlign w:val="top"/>
          </w:tcPr>
          <w:p w14:paraId="5A79EDB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26" w:type="dxa"/>
            <w:vAlign w:val="top"/>
          </w:tcPr>
          <w:p w14:paraId="4AF3D40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689F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jc w:val="center"/>
        </w:trPr>
        <w:tc>
          <w:tcPr>
            <w:tcW w:w="1446" w:type="dxa"/>
            <w:vAlign w:val="top"/>
          </w:tcPr>
          <w:p w14:paraId="3177F70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227" w:type="dxa"/>
            <w:vAlign w:val="top"/>
          </w:tcPr>
          <w:p w14:paraId="4D169374">
            <w:pPr>
              <w:pStyle w:val="19"/>
              <w:keepNext w:val="0"/>
              <w:keepLines w:val="0"/>
              <w:widowControl/>
              <w:suppressLineNumbers w:val="0"/>
              <w:spacing w:before="143" w:beforeAutospacing="0" w:after="0" w:afterAutospacing="0" w:line="222" w:lineRule="auto"/>
              <w:ind w:left="1270" w:right="0"/>
              <w:rPr>
                <w:rFonts w:hint="default"/>
                <w:color w:val="auto"/>
                <w:spacing w:val="0"/>
                <w:w w:val="100"/>
                <w:position w:val="0"/>
                <w:highlight w:val="none"/>
              </w:rPr>
            </w:pPr>
            <w:r>
              <w:rPr>
                <w:rFonts w:hint="default"/>
                <w:color w:val="auto"/>
                <w:spacing w:val="0"/>
                <w:w w:val="100"/>
                <w:position w:val="0"/>
                <w:highlight w:val="none"/>
              </w:rPr>
              <w:t>小  计</w:t>
            </w:r>
          </w:p>
        </w:tc>
        <w:tc>
          <w:tcPr>
            <w:tcW w:w="1006" w:type="dxa"/>
            <w:vAlign w:val="top"/>
          </w:tcPr>
          <w:p w14:paraId="347F920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096" w:type="dxa"/>
            <w:vAlign w:val="top"/>
          </w:tcPr>
          <w:p w14:paraId="1307D1A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1" w:type="dxa"/>
            <w:vAlign w:val="top"/>
          </w:tcPr>
          <w:p w14:paraId="27AE81A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26" w:type="dxa"/>
            <w:vAlign w:val="top"/>
          </w:tcPr>
          <w:p w14:paraId="5C3FED6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36FF1107">
      <w:pPr>
        <w:rPr>
          <w:rFonts w:ascii="Arial" w:hAnsi="Arial" w:eastAsia="Arial" w:cs="Arial"/>
          <w:color w:val="auto"/>
          <w:spacing w:val="0"/>
          <w:w w:val="100"/>
          <w:position w:val="0"/>
          <w:sz w:val="21"/>
          <w:szCs w:val="21"/>
          <w:highlight w:val="none"/>
        </w:rPr>
        <w:sectPr>
          <w:headerReference r:id="rId89" w:type="default"/>
          <w:footerReference r:id="rId90" w:type="default"/>
          <w:pgSz w:w="11900" w:h="16843"/>
          <w:pgMar w:top="1378" w:right="1763" w:bottom="1208" w:left="1769" w:header="1366" w:footer="1003" w:gutter="0"/>
          <w:pgNumType w:fmt="decimal"/>
          <w:cols w:space="0" w:num="1"/>
          <w:rtlGutter w:val="0"/>
          <w:docGrid w:linePitch="0" w:charSpace="0"/>
        </w:sectPr>
      </w:pPr>
    </w:p>
    <w:p w14:paraId="17E8B3B6">
      <w:pPr>
        <w:rPr>
          <w:rFonts w:ascii="Arial"/>
          <w:color w:val="auto"/>
          <w:spacing w:val="0"/>
          <w:w w:val="100"/>
          <w:position w:val="0"/>
          <w:sz w:val="21"/>
          <w:highlight w:val="none"/>
        </w:rPr>
      </w:pPr>
    </w:p>
    <w:p w14:paraId="06CF9F80">
      <w:pPr>
        <w:spacing w:before="104" w:line="220" w:lineRule="auto"/>
        <w:jc w:val="center"/>
        <w:rPr>
          <w:rFonts w:ascii="宋体" w:hAnsi="宋体" w:eastAsia="宋体" w:cs="宋体"/>
          <w:color w:val="auto"/>
          <w:spacing w:val="0"/>
          <w:w w:val="100"/>
          <w:position w:val="0"/>
          <w:sz w:val="28"/>
          <w:szCs w:val="28"/>
          <w:highlight w:val="none"/>
        </w:rPr>
      </w:pPr>
      <w:r>
        <w:rPr>
          <w:rFonts w:hint="eastAsia" w:ascii="宋体" w:hAnsi="宋体" w:eastAsia="宋体" w:cs="宋体"/>
          <w:b/>
          <w:bCs/>
          <w:color w:val="auto"/>
          <w:spacing w:val="0"/>
          <w:w w:val="100"/>
          <w:position w:val="0"/>
          <w:sz w:val="28"/>
          <w:szCs w:val="28"/>
          <w:highlight w:val="none"/>
          <w:lang w:val="en-US" w:eastAsia="zh-CN"/>
        </w:rPr>
        <w:t>2.</w:t>
      </w:r>
      <w:r>
        <w:rPr>
          <w:rFonts w:ascii="宋体" w:hAnsi="宋体" w:eastAsia="宋体" w:cs="宋体"/>
          <w:b/>
          <w:bCs/>
          <w:color w:val="auto"/>
          <w:spacing w:val="0"/>
          <w:w w:val="100"/>
          <w:position w:val="0"/>
          <w:sz w:val="28"/>
          <w:szCs w:val="28"/>
          <w:highlight w:val="none"/>
        </w:rPr>
        <w:t>勘察测绘</w:t>
      </w:r>
      <w:r>
        <w:rPr>
          <w:rFonts w:hint="eastAsia" w:ascii="宋体" w:hAnsi="宋体" w:eastAsia="宋体" w:cs="宋体"/>
          <w:b/>
          <w:bCs/>
          <w:color w:val="auto"/>
          <w:spacing w:val="0"/>
          <w:w w:val="100"/>
          <w:position w:val="0"/>
          <w:sz w:val="28"/>
          <w:szCs w:val="28"/>
          <w:highlight w:val="none"/>
          <w:lang w:val="en-US" w:eastAsia="zh-CN"/>
        </w:rPr>
        <w:t>分项</w:t>
      </w:r>
      <w:r>
        <w:rPr>
          <w:rFonts w:ascii="宋体" w:hAnsi="宋体" w:eastAsia="宋体" w:cs="宋体"/>
          <w:b/>
          <w:bCs/>
          <w:color w:val="auto"/>
          <w:spacing w:val="0"/>
          <w:w w:val="100"/>
          <w:position w:val="0"/>
          <w:sz w:val="28"/>
          <w:szCs w:val="28"/>
          <w:highlight w:val="none"/>
        </w:rPr>
        <w:t>清单</w:t>
      </w:r>
    </w:p>
    <w:p w14:paraId="25D5FE82">
      <w:pPr>
        <w:spacing w:before="136" w:line="214" w:lineRule="auto"/>
        <w:jc w:val="left"/>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第</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标段</w:t>
      </w:r>
      <w:r>
        <w:rPr>
          <w:rFonts w:hint="eastAsia" w:ascii="宋体" w:hAnsi="宋体" w:eastAsia="宋体" w:cs="宋体"/>
          <w:color w:val="auto"/>
          <w:spacing w:val="0"/>
          <w:w w:val="100"/>
          <w:position w:val="0"/>
          <w:sz w:val="21"/>
          <w:szCs w:val="21"/>
          <w:highlight w:val="none"/>
          <w:lang w:val="en-US" w:eastAsia="zh-CN"/>
        </w:rPr>
        <w:t xml:space="preserve">                                                            </w:t>
      </w:r>
      <w:r>
        <w:rPr>
          <w:rFonts w:ascii="宋体" w:hAnsi="宋体" w:eastAsia="宋体" w:cs="宋体"/>
          <w:color w:val="auto"/>
          <w:spacing w:val="0"/>
          <w:w w:val="100"/>
          <w:position w:val="0"/>
          <w:sz w:val="21"/>
          <w:szCs w:val="21"/>
          <w:highlight w:val="none"/>
        </w:rPr>
        <w:t>单位：</w:t>
      </w:r>
      <w:r>
        <w:rPr>
          <w:rFonts w:hint="eastAsia" w:ascii="宋体" w:hAnsi="宋体" w:eastAsia="宋体" w:cs="宋体"/>
          <w:color w:val="auto"/>
          <w:spacing w:val="0"/>
          <w:w w:val="100"/>
          <w:position w:val="0"/>
          <w:sz w:val="21"/>
          <w:szCs w:val="21"/>
          <w:highlight w:val="none"/>
          <w:lang w:val="en-US" w:eastAsia="zh-CN"/>
        </w:rPr>
        <w:t xml:space="preserve"> 元（人民币）</w:t>
      </w:r>
    </w:p>
    <w:tbl>
      <w:tblPr>
        <w:tblStyle w:val="18"/>
        <w:tblW w:w="905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46"/>
        <w:gridCol w:w="2749"/>
        <w:gridCol w:w="1231"/>
        <w:gridCol w:w="1350"/>
        <w:gridCol w:w="994"/>
        <w:gridCol w:w="1281"/>
      </w:tblGrid>
      <w:tr w14:paraId="096793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jc w:val="center"/>
        </w:trPr>
        <w:tc>
          <w:tcPr>
            <w:tcW w:w="4195" w:type="dxa"/>
            <w:gridSpan w:val="2"/>
            <w:vAlign w:val="top"/>
          </w:tcPr>
          <w:p w14:paraId="76156226">
            <w:pPr>
              <w:pStyle w:val="19"/>
              <w:keepNext w:val="0"/>
              <w:keepLines w:val="0"/>
              <w:widowControl/>
              <w:suppressLineNumbers w:val="0"/>
              <w:spacing w:before="145" w:beforeAutospacing="0" w:after="0" w:afterAutospacing="0" w:line="221" w:lineRule="auto"/>
              <w:ind w:left="1686" w:right="0"/>
              <w:rPr>
                <w:rFonts w:hint="default"/>
                <w:color w:val="auto"/>
                <w:spacing w:val="0"/>
                <w:w w:val="100"/>
                <w:position w:val="0"/>
                <w:highlight w:val="none"/>
              </w:rPr>
            </w:pPr>
            <w:r>
              <w:rPr>
                <w:rFonts w:hint="default"/>
                <w:color w:val="auto"/>
                <w:spacing w:val="0"/>
                <w:w w:val="100"/>
                <w:position w:val="0"/>
                <w:highlight w:val="none"/>
              </w:rPr>
              <w:t>项    目</w:t>
            </w:r>
          </w:p>
        </w:tc>
        <w:tc>
          <w:tcPr>
            <w:tcW w:w="1231" w:type="dxa"/>
            <w:vAlign w:val="top"/>
          </w:tcPr>
          <w:p w14:paraId="0DCD6304">
            <w:pPr>
              <w:pStyle w:val="19"/>
              <w:keepNext w:val="0"/>
              <w:keepLines w:val="0"/>
              <w:widowControl/>
              <w:suppressLineNumbers w:val="0"/>
              <w:spacing w:before="145" w:beforeAutospacing="0" w:after="0" w:afterAutospacing="0" w:line="221" w:lineRule="auto"/>
              <w:ind w:left="411" w:right="0"/>
              <w:rPr>
                <w:rFonts w:hint="default"/>
                <w:color w:val="auto"/>
                <w:spacing w:val="0"/>
                <w:w w:val="100"/>
                <w:position w:val="0"/>
                <w:highlight w:val="none"/>
              </w:rPr>
            </w:pPr>
            <w:r>
              <w:rPr>
                <w:rFonts w:hint="default"/>
                <w:color w:val="auto"/>
                <w:spacing w:val="0"/>
                <w:w w:val="100"/>
                <w:position w:val="0"/>
                <w:highlight w:val="none"/>
              </w:rPr>
              <w:t>单位</w:t>
            </w:r>
          </w:p>
        </w:tc>
        <w:tc>
          <w:tcPr>
            <w:tcW w:w="1350" w:type="dxa"/>
            <w:vAlign w:val="top"/>
          </w:tcPr>
          <w:p w14:paraId="42364036">
            <w:pPr>
              <w:pStyle w:val="19"/>
              <w:keepNext w:val="0"/>
              <w:keepLines w:val="0"/>
              <w:widowControl/>
              <w:suppressLineNumbers w:val="0"/>
              <w:spacing w:before="144" w:beforeAutospacing="0" w:after="0" w:afterAutospacing="0" w:line="221" w:lineRule="auto"/>
              <w:ind w:left="474" w:right="0"/>
              <w:rPr>
                <w:rFonts w:hint="default"/>
                <w:color w:val="auto"/>
                <w:spacing w:val="0"/>
                <w:w w:val="100"/>
                <w:position w:val="0"/>
                <w:highlight w:val="none"/>
              </w:rPr>
            </w:pPr>
            <w:r>
              <w:rPr>
                <w:rFonts w:hint="default"/>
                <w:color w:val="auto"/>
                <w:spacing w:val="0"/>
                <w:w w:val="100"/>
                <w:position w:val="0"/>
                <w:highlight w:val="none"/>
              </w:rPr>
              <w:t>数量</w:t>
            </w:r>
          </w:p>
        </w:tc>
        <w:tc>
          <w:tcPr>
            <w:tcW w:w="994" w:type="dxa"/>
            <w:vAlign w:val="top"/>
          </w:tcPr>
          <w:p w14:paraId="450BD004">
            <w:pPr>
              <w:pStyle w:val="19"/>
              <w:keepNext w:val="0"/>
              <w:keepLines w:val="0"/>
              <w:widowControl/>
              <w:suppressLineNumbers w:val="0"/>
              <w:spacing w:before="144" w:beforeAutospacing="0" w:after="0" w:afterAutospacing="0" w:line="219" w:lineRule="auto"/>
              <w:ind w:left="295" w:right="0"/>
              <w:rPr>
                <w:rFonts w:hint="default"/>
                <w:color w:val="auto"/>
                <w:spacing w:val="0"/>
                <w:w w:val="100"/>
                <w:position w:val="0"/>
                <w:highlight w:val="none"/>
              </w:rPr>
            </w:pPr>
            <w:r>
              <w:rPr>
                <w:rFonts w:hint="default"/>
                <w:color w:val="auto"/>
                <w:spacing w:val="0"/>
                <w:w w:val="100"/>
                <w:position w:val="0"/>
                <w:highlight w:val="none"/>
              </w:rPr>
              <w:t>单价</w:t>
            </w:r>
          </w:p>
        </w:tc>
        <w:tc>
          <w:tcPr>
            <w:tcW w:w="1281" w:type="dxa"/>
            <w:vAlign w:val="top"/>
          </w:tcPr>
          <w:p w14:paraId="7A3325A9">
            <w:pPr>
              <w:pStyle w:val="19"/>
              <w:keepNext w:val="0"/>
              <w:keepLines w:val="0"/>
              <w:widowControl/>
              <w:suppressLineNumbers w:val="0"/>
              <w:spacing w:before="144" w:beforeAutospacing="0" w:after="0" w:afterAutospacing="0" w:line="219" w:lineRule="auto"/>
              <w:ind w:left="434" w:right="0"/>
              <w:rPr>
                <w:rFonts w:hint="default"/>
                <w:color w:val="auto"/>
                <w:spacing w:val="0"/>
                <w:w w:val="100"/>
                <w:position w:val="0"/>
                <w:highlight w:val="none"/>
              </w:rPr>
            </w:pPr>
            <w:r>
              <w:rPr>
                <w:rFonts w:hint="default"/>
                <w:color w:val="auto"/>
                <w:spacing w:val="0"/>
                <w:w w:val="100"/>
                <w:position w:val="0"/>
                <w:highlight w:val="none"/>
              </w:rPr>
              <w:t>合价</w:t>
            </w:r>
          </w:p>
        </w:tc>
      </w:tr>
      <w:tr w14:paraId="7F7015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jc w:val="center"/>
        </w:trPr>
        <w:tc>
          <w:tcPr>
            <w:tcW w:w="1446" w:type="dxa"/>
            <w:vAlign w:val="top"/>
          </w:tcPr>
          <w:p w14:paraId="76EFA051">
            <w:pPr>
              <w:pStyle w:val="19"/>
              <w:keepNext w:val="0"/>
              <w:keepLines w:val="0"/>
              <w:widowControl/>
              <w:suppressLineNumbers w:val="0"/>
              <w:spacing w:before="226" w:beforeAutospacing="0" w:after="0" w:afterAutospacing="0" w:line="163" w:lineRule="exact"/>
              <w:ind w:left="625" w:right="0"/>
              <w:rPr>
                <w:rFonts w:hint="default"/>
                <w:color w:val="auto"/>
                <w:spacing w:val="0"/>
                <w:w w:val="100"/>
                <w:position w:val="0"/>
                <w:highlight w:val="none"/>
              </w:rPr>
            </w:pPr>
            <w:r>
              <w:rPr>
                <w:rFonts w:hint="default"/>
                <w:color w:val="auto"/>
                <w:spacing w:val="0"/>
                <w:w w:val="100"/>
                <w:position w:val="0"/>
                <w:highlight w:val="none"/>
              </w:rPr>
              <w:t>一</w:t>
            </w:r>
          </w:p>
        </w:tc>
        <w:tc>
          <w:tcPr>
            <w:tcW w:w="2749" w:type="dxa"/>
            <w:vAlign w:val="top"/>
          </w:tcPr>
          <w:p w14:paraId="73A10113">
            <w:pPr>
              <w:pStyle w:val="19"/>
              <w:keepNext w:val="0"/>
              <w:keepLines w:val="0"/>
              <w:widowControl/>
              <w:suppressLineNumbers w:val="0"/>
              <w:spacing w:before="147" w:beforeAutospacing="0" w:after="0" w:afterAutospacing="0" w:line="221" w:lineRule="auto"/>
              <w:ind w:left="747" w:right="0"/>
              <w:rPr>
                <w:rFonts w:hint="default"/>
                <w:color w:val="auto"/>
                <w:spacing w:val="0"/>
                <w:w w:val="100"/>
                <w:position w:val="0"/>
                <w:highlight w:val="none"/>
              </w:rPr>
            </w:pPr>
            <w:r>
              <w:rPr>
                <w:rFonts w:hint="default"/>
                <w:color w:val="auto"/>
                <w:spacing w:val="0"/>
                <w:w w:val="100"/>
                <w:position w:val="0"/>
                <w:highlight w:val="none"/>
              </w:rPr>
              <w:t>勘察钻探费用</w:t>
            </w:r>
          </w:p>
        </w:tc>
        <w:tc>
          <w:tcPr>
            <w:tcW w:w="1231" w:type="dxa"/>
            <w:vAlign w:val="top"/>
          </w:tcPr>
          <w:p w14:paraId="5B583026">
            <w:pPr>
              <w:pStyle w:val="19"/>
              <w:keepNext w:val="0"/>
              <w:keepLines w:val="0"/>
              <w:widowControl/>
              <w:suppressLineNumbers w:val="0"/>
              <w:spacing w:before="147" w:beforeAutospacing="0" w:after="0" w:afterAutospacing="0" w:line="221" w:lineRule="auto"/>
              <w:ind w:left="415" w:right="0"/>
              <w:rPr>
                <w:rFonts w:hint="default"/>
                <w:color w:val="auto"/>
                <w:spacing w:val="0"/>
                <w:w w:val="100"/>
                <w:position w:val="0"/>
                <w:highlight w:val="none"/>
              </w:rPr>
            </w:pPr>
            <w:r>
              <w:rPr>
                <w:rFonts w:hint="default"/>
                <w:color w:val="auto"/>
                <w:spacing w:val="0"/>
                <w:w w:val="100"/>
                <w:position w:val="0"/>
                <w:highlight w:val="none"/>
              </w:rPr>
              <w:t>总额</w:t>
            </w:r>
          </w:p>
        </w:tc>
        <w:tc>
          <w:tcPr>
            <w:tcW w:w="1350" w:type="dxa"/>
            <w:vAlign w:val="top"/>
          </w:tcPr>
          <w:p w14:paraId="2915186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6F3EEDF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1B21AA4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E01C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jc w:val="center"/>
        </w:trPr>
        <w:tc>
          <w:tcPr>
            <w:tcW w:w="1446" w:type="dxa"/>
            <w:vAlign w:val="top"/>
          </w:tcPr>
          <w:p w14:paraId="4BA3CD8F">
            <w:pPr>
              <w:pStyle w:val="19"/>
              <w:keepNext w:val="0"/>
              <w:keepLines w:val="0"/>
              <w:widowControl/>
              <w:suppressLineNumbers w:val="0"/>
              <w:spacing w:before="150" w:beforeAutospacing="0" w:after="0" w:afterAutospacing="0" w:line="242" w:lineRule="auto"/>
              <w:ind w:left="690" w:right="0"/>
              <w:rPr>
                <w:rFonts w:hint="default"/>
                <w:color w:val="auto"/>
                <w:spacing w:val="0"/>
                <w:w w:val="100"/>
                <w:position w:val="0"/>
                <w:highlight w:val="none"/>
              </w:rPr>
            </w:pPr>
            <w:r>
              <w:rPr>
                <w:rFonts w:hint="default"/>
                <w:color w:val="auto"/>
                <w:spacing w:val="0"/>
                <w:w w:val="100"/>
                <w:position w:val="0"/>
                <w:highlight w:val="none"/>
              </w:rPr>
              <w:t>1</w:t>
            </w:r>
          </w:p>
        </w:tc>
        <w:tc>
          <w:tcPr>
            <w:tcW w:w="2749" w:type="dxa"/>
            <w:vAlign w:val="top"/>
          </w:tcPr>
          <w:p w14:paraId="381F5E1F">
            <w:pPr>
              <w:pStyle w:val="19"/>
              <w:keepNext w:val="0"/>
              <w:keepLines w:val="0"/>
              <w:widowControl/>
              <w:suppressLineNumbers w:val="0"/>
              <w:spacing w:before="150" w:beforeAutospacing="0" w:after="0" w:afterAutospacing="0" w:line="223" w:lineRule="auto"/>
              <w:ind w:left="1168" w:right="0"/>
              <w:rPr>
                <w:rFonts w:hint="default"/>
                <w:color w:val="auto"/>
                <w:spacing w:val="0"/>
                <w:w w:val="100"/>
                <w:position w:val="0"/>
                <w:highlight w:val="none"/>
              </w:rPr>
            </w:pPr>
            <w:r>
              <w:rPr>
                <w:rFonts w:hint="default"/>
                <w:color w:val="auto"/>
                <w:spacing w:val="0"/>
                <w:w w:val="100"/>
                <w:position w:val="0"/>
                <w:highlight w:val="none"/>
              </w:rPr>
              <w:t>钻探</w:t>
            </w:r>
          </w:p>
        </w:tc>
        <w:tc>
          <w:tcPr>
            <w:tcW w:w="1231" w:type="dxa"/>
            <w:vAlign w:val="top"/>
          </w:tcPr>
          <w:p w14:paraId="05C39CE6">
            <w:pPr>
              <w:pStyle w:val="19"/>
              <w:keepNext w:val="0"/>
              <w:keepLines w:val="0"/>
              <w:widowControl/>
              <w:suppressLineNumbers w:val="0"/>
              <w:spacing w:before="149" w:beforeAutospacing="0" w:after="0" w:afterAutospacing="0" w:line="222" w:lineRule="auto"/>
              <w:ind w:left="403" w:right="0"/>
              <w:rPr>
                <w:rFonts w:hint="default"/>
                <w:color w:val="auto"/>
                <w:spacing w:val="0"/>
                <w:w w:val="100"/>
                <w:position w:val="0"/>
                <w:highlight w:val="none"/>
              </w:rPr>
            </w:pPr>
            <w:r>
              <w:rPr>
                <w:rFonts w:hint="default"/>
                <w:color w:val="auto"/>
                <w:spacing w:val="0"/>
                <w:w w:val="100"/>
                <w:position w:val="0"/>
                <w:highlight w:val="none"/>
              </w:rPr>
              <w:t>m/孔</w:t>
            </w:r>
          </w:p>
        </w:tc>
        <w:tc>
          <w:tcPr>
            <w:tcW w:w="1350" w:type="dxa"/>
            <w:vAlign w:val="top"/>
          </w:tcPr>
          <w:p w14:paraId="4ED8E5D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315F35A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6E16914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6481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 w:hRule="atLeast"/>
          <w:jc w:val="center"/>
        </w:trPr>
        <w:tc>
          <w:tcPr>
            <w:tcW w:w="1446" w:type="dxa"/>
            <w:vAlign w:val="top"/>
          </w:tcPr>
          <w:p w14:paraId="58DDB93C">
            <w:pPr>
              <w:pStyle w:val="19"/>
              <w:keepNext w:val="0"/>
              <w:keepLines w:val="0"/>
              <w:widowControl/>
              <w:suppressLineNumbers w:val="0"/>
              <w:spacing w:before="143" w:beforeAutospacing="0" w:after="0" w:afterAutospacing="0" w:line="242" w:lineRule="auto"/>
              <w:ind w:left="677" w:right="0"/>
              <w:rPr>
                <w:rFonts w:hint="default"/>
                <w:color w:val="auto"/>
                <w:spacing w:val="0"/>
                <w:w w:val="100"/>
                <w:position w:val="0"/>
                <w:highlight w:val="none"/>
              </w:rPr>
            </w:pPr>
            <w:r>
              <w:rPr>
                <w:rFonts w:hint="default"/>
                <w:color w:val="auto"/>
                <w:spacing w:val="0"/>
                <w:w w:val="100"/>
                <w:position w:val="0"/>
                <w:highlight w:val="none"/>
              </w:rPr>
              <w:t>2</w:t>
            </w:r>
          </w:p>
        </w:tc>
        <w:tc>
          <w:tcPr>
            <w:tcW w:w="2749" w:type="dxa"/>
            <w:vAlign w:val="top"/>
          </w:tcPr>
          <w:p w14:paraId="13521271">
            <w:pPr>
              <w:pStyle w:val="19"/>
              <w:keepNext w:val="0"/>
              <w:keepLines w:val="0"/>
              <w:widowControl/>
              <w:suppressLineNumbers w:val="0"/>
              <w:spacing w:before="143" w:beforeAutospacing="0" w:after="0" w:afterAutospacing="0" w:line="220" w:lineRule="auto"/>
              <w:ind w:left="1169" w:right="0"/>
              <w:rPr>
                <w:rFonts w:hint="default"/>
                <w:color w:val="auto"/>
                <w:spacing w:val="0"/>
                <w:w w:val="100"/>
                <w:position w:val="0"/>
                <w:highlight w:val="none"/>
              </w:rPr>
            </w:pPr>
            <w:r>
              <w:rPr>
                <w:rFonts w:hint="default"/>
                <w:color w:val="auto"/>
                <w:spacing w:val="0"/>
                <w:w w:val="100"/>
                <w:position w:val="0"/>
                <w:highlight w:val="none"/>
              </w:rPr>
              <w:t>静探</w:t>
            </w:r>
          </w:p>
        </w:tc>
        <w:tc>
          <w:tcPr>
            <w:tcW w:w="1231" w:type="dxa"/>
            <w:vAlign w:val="top"/>
          </w:tcPr>
          <w:p w14:paraId="0EE96883">
            <w:pPr>
              <w:pStyle w:val="19"/>
              <w:keepNext w:val="0"/>
              <w:keepLines w:val="0"/>
              <w:widowControl/>
              <w:suppressLineNumbers w:val="0"/>
              <w:spacing w:before="143" w:beforeAutospacing="0" w:after="0" w:afterAutospacing="0" w:line="222" w:lineRule="auto"/>
              <w:ind w:left="403" w:right="0"/>
              <w:rPr>
                <w:rFonts w:hint="default"/>
                <w:color w:val="auto"/>
                <w:spacing w:val="0"/>
                <w:w w:val="100"/>
                <w:position w:val="0"/>
                <w:highlight w:val="none"/>
              </w:rPr>
            </w:pPr>
            <w:r>
              <w:rPr>
                <w:rFonts w:hint="default"/>
                <w:color w:val="auto"/>
                <w:spacing w:val="0"/>
                <w:w w:val="100"/>
                <w:position w:val="0"/>
                <w:highlight w:val="none"/>
              </w:rPr>
              <w:t>m/孔</w:t>
            </w:r>
          </w:p>
        </w:tc>
        <w:tc>
          <w:tcPr>
            <w:tcW w:w="1350" w:type="dxa"/>
            <w:vAlign w:val="top"/>
          </w:tcPr>
          <w:p w14:paraId="67B2676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67A0924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10A9143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E09B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1446" w:type="dxa"/>
            <w:vAlign w:val="top"/>
          </w:tcPr>
          <w:p w14:paraId="6D7B08D6">
            <w:pPr>
              <w:pStyle w:val="19"/>
              <w:keepNext w:val="0"/>
              <w:keepLines w:val="0"/>
              <w:widowControl/>
              <w:suppressLineNumbers w:val="0"/>
              <w:spacing w:before="150" w:beforeAutospacing="0" w:after="0" w:afterAutospacing="0" w:line="241" w:lineRule="auto"/>
              <w:ind w:left="679" w:right="0"/>
              <w:rPr>
                <w:rFonts w:hint="default"/>
                <w:color w:val="auto"/>
                <w:spacing w:val="0"/>
                <w:w w:val="100"/>
                <w:position w:val="0"/>
                <w:highlight w:val="none"/>
              </w:rPr>
            </w:pPr>
            <w:r>
              <w:rPr>
                <w:rFonts w:hint="default"/>
                <w:color w:val="auto"/>
                <w:spacing w:val="0"/>
                <w:w w:val="100"/>
                <w:position w:val="0"/>
                <w:highlight w:val="none"/>
              </w:rPr>
              <w:t>3</w:t>
            </w:r>
          </w:p>
        </w:tc>
        <w:tc>
          <w:tcPr>
            <w:tcW w:w="2749" w:type="dxa"/>
            <w:vAlign w:val="top"/>
          </w:tcPr>
          <w:p w14:paraId="05761BCA">
            <w:pPr>
              <w:pStyle w:val="19"/>
              <w:keepNext w:val="0"/>
              <w:keepLines w:val="0"/>
              <w:widowControl/>
              <w:suppressLineNumbers w:val="0"/>
              <w:spacing w:before="151" w:beforeAutospacing="0" w:after="0" w:afterAutospacing="0" w:line="221" w:lineRule="auto"/>
              <w:ind w:left="958" w:right="0"/>
              <w:rPr>
                <w:rFonts w:hint="default"/>
                <w:color w:val="auto"/>
                <w:spacing w:val="0"/>
                <w:w w:val="100"/>
                <w:position w:val="0"/>
                <w:highlight w:val="none"/>
              </w:rPr>
            </w:pPr>
            <w:r>
              <w:rPr>
                <w:rFonts w:hint="default"/>
                <w:color w:val="auto"/>
                <w:spacing w:val="0"/>
                <w:w w:val="100"/>
                <w:position w:val="0"/>
                <w:highlight w:val="none"/>
              </w:rPr>
              <w:t>联合剖面</w:t>
            </w:r>
          </w:p>
        </w:tc>
        <w:tc>
          <w:tcPr>
            <w:tcW w:w="1231" w:type="dxa"/>
            <w:vAlign w:val="top"/>
          </w:tcPr>
          <w:p w14:paraId="0C818E5D">
            <w:pPr>
              <w:pStyle w:val="19"/>
              <w:keepNext w:val="0"/>
              <w:keepLines w:val="0"/>
              <w:widowControl/>
              <w:suppressLineNumbers w:val="0"/>
              <w:spacing w:before="150" w:beforeAutospacing="0" w:after="0" w:afterAutospacing="0" w:line="222" w:lineRule="auto"/>
              <w:ind w:left="303" w:right="0"/>
              <w:rPr>
                <w:rFonts w:hint="default"/>
                <w:color w:val="auto"/>
                <w:spacing w:val="0"/>
                <w:w w:val="100"/>
                <w:position w:val="0"/>
                <w:highlight w:val="none"/>
              </w:rPr>
            </w:pPr>
            <w:r>
              <w:rPr>
                <w:rFonts w:hint="default"/>
                <w:color w:val="auto"/>
                <w:spacing w:val="0"/>
                <w:w w:val="100"/>
                <w:position w:val="0"/>
                <w:highlight w:val="none"/>
              </w:rPr>
              <w:t>物理点</w:t>
            </w:r>
          </w:p>
        </w:tc>
        <w:tc>
          <w:tcPr>
            <w:tcW w:w="1350" w:type="dxa"/>
            <w:vAlign w:val="top"/>
          </w:tcPr>
          <w:p w14:paraId="4308ED5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4405511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4B0A656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E116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1446" w:type="dxa"/>
            <w:vAlign w:val="top"/>
          </w:tcPr>
          <w:p w14:paraId="5A181B6A">
            <w:pPr>
              <w:pStyle w:val="19"/>
              <w:keepNext w:val="0"/>
              <w:keepLines w:val="0"/>
              <w:widowControl/>
              <w:suppressLineNumbers w:val="0"/>
              <w:spacing w:before="151" w:beforeAutospacing="0" w:after="0" w:afterAutospacing="0" w:line="242" w:lineRule="auto"/>
              <w:ind w:left="674" w:right="0"/>
              <w:rPr>
                <w:rFonts w:hint="default"/>
                <w:color w:val="auto"/>
                <w:spacing w:val="0"/>
                <w:w w:val="100"/>
                <w:position w:val="0"/>
                <w:highlight w:val="none"/>
              </w:rPr>
            </w:pPr>
            <w:r>
              <w:rPr>
                <w:rFonts w:hint="default"/>
                <w:color w:val="auto"/>
                <w:spacing w:val="0"/>
                <w:w w:val="100"/>
                <w:position w:val="0"/>
                <w:highlight w:val="none"/>
              </w:rPr>
              <w:t>4</w:t>
            </w:r>
          </w:p>
        </w:tc>
        <w:tc>
          <w:tcPr>
            <w:tcW w:w="2749" w:type="dxa"/>
            <w:vAlign w:val="top"/>
          </w:tcPr>
          <w:p w14:paraId="09F50E32">
            <w:pPr>
              <w:pStyle w:val="19"/>
              <w:keepNext w:val="0"/>
              <w:keepLines w:val="0"/>
              <w:widowControl/>
              <w:suppressLineNumbers w:val="0"/>
              <w:spacing w:before="151" w:beforeAutospacing="0" w:after="0" w:afterAutospacing="0" w:line="222" w:lineRule="auto"/>
              <w:ind w:left="1088" w:right="0"/>
              <w:rPr>
                <w:rFonts w:hint="default"/>
                <w:color w:val="auto"/>
                <w:spacing w:val="0"/>
                <w:w w:val="100"/>
                <w:position w:val="0"/>
                <w:highlight w:val="none"/>
              </w:rPr>
            </w:pPr>
            <w:r>
              <w:rPr>
                <w:rFonts w:hint="default"/>
                <w:color w:val="auto"/>
                <w:spacing w:val="0"/>
                <w:w w:val="100"/>
                <w:position w:val="0"/>
                <w:highlight w:val="none"/>
              </w:rPr>
              <w:t>电测深</w:t>
            </w:r>
          </w:p>
        </w:tc>
        <w:tc>
          <w:tcPr>
            <w:tcW w:w="1231" w:type="dxa"/>
            <w:vAlign w:val="top"/>
          </w:tcPr>
          <w:p w14:paraId="47D02C7F">
            <w:pPr>
              <w:pStyle w:val="19"/>
              <w:keepNext w:val="0"/>
              <w:keepLines w:val="0"/>
              <w:widowControl/>
              <w:suppressLineNumbers w:val="0"/>
              <w:spacing w:before="151" w:beforeAutospacing="0" w:after="0" w:afterAutospacing="0" w:line="222" w:lineRule="auto"/>
              <w:ind w:left="303" w:right="0"/>
              <w:rPr>
                <w:rFonts w:hint="default"/>
                <w:color w:val="auto"/>
                <w:spacing w:val="0"/>
                <w:w w:val="100"/>
                <w:position w:val="0"/>
                <w:highlight w:val="none"/>
              </w:rPr>
            </w:pPr>
            <w:r>
              <w:rPr>
                <w:rFonts w:hint="default"/>
                <w:color w:val="auto"/>
                <w:spacing w:val="0"/>
                <w:w w:val="100"/>
                <w:position w:val="0"/>
                <w:highlight w:val="none"/>
              </w:rPr>
              <w:t>物理点</w:t>
            </w:r>
          </w:p>
        </w:tc>
        <w:tc>
          <w:tcPr>
            <w:tcW w:w="1350" w:type="dxa"/>
            <w:vAlign w:val="top"/>
          </w:tcPr>
          <w:p w14:paraId="72D6D07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1E80F3B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3446C59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9A245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1446" w:type="dxa"/>
            <w:vAlign w:val="top"/>
          </w:tcPr>
          <w:p w14:paraId="065ECFA6">
            <w:pPr>
              <w:pStyle w:val="19"/>
              <w:keepNext w:val="0"/>
              <w:keepLines w:val="0"/>
              <w:widowControl/>
              <w:suppressLineNumbers w:val="0"/>
              <w:spacing w:before="142" w:beforeAutospacing="0" w:after="0" w:afterAutospacing="0" w:line="241" w:lineRule="auto"/>
              <w:ind w:left="679" w:right="0"/>
              <w:rPr>
                <w:rFonts w:hint="default"/>
                <w:color w:val="auto"/>
                <w:spacing w:val="0"/>
                <w:w w:val="100"/>
                <w:position w:val="0"/>
                <w:highlight w:val="none"/>
              </w:rPr>
            </w:pPr>
            <w:r>
              <w:rPr>
                <w:rFonts w:hint="default"/>
                <w:color w:val="auto"/>
                <w:spacing w:val="0"/>
                <w:w w:val="100"/>
                <w:position w:val="0"/>
                <w:highlight w:val="none"/>
              </w:rPr>
              <w:t>5</w:t>
            </w:r>
          </w:p>
        </w:tc>
        <w:tc>
          <w:tcPr>
            <w:tcW w:w="2749" w:type="dxa"/>
            <w:vAlign w:val="top"/>
          </w:tcPr>
          <w:p w14:paraId="504CA542">
            <w:pPr>
              <w:pStyle w:val="19"/>
              <w:keepNext w:val="0"/>
              <w:keepLines w:val="0"/>
              <w:widowControl/>
              <w:suppressLineNumbers w:val="0"/>
              <w:spacing w:before="141" w:beforeAutospacing="0" w:after="0" w:afterAutospacing="0" w:line="221" w:lineRule="auto"/>
              <w:ind w:left="962" w:right="0"/>
              <w:rPr>
                <w:rFonts w:hint="default"/>
                <w:color w:val="auto"/>
                <w:spacing w:val="0"/>
                <w:w w:val="100"/>
                <w:position w:val="0"/>
                <w:highlight w:val="none"/>
              </w:rPr>
            </w:pPr>
            <w:r>
              <w:rPr>
                <w:rFonts w:hint="default"/>
                <w:color w:val="auto"/>
                <w:spacing w:val="0"/>
                <w:w w:val="100"/>
                <w:position w:val="0"/>
                <w:highlight w:val="none"/>
              </w:rPr>
              <w:t>原状土样</w:t>
            </w:r>
          </w:p>
        </w:tc>
        <w:tc>
          <w:tcPr>
            <w:tcW w:w="1231" w:type="dxa"/>
            <w:vAlign w:val="top"/>
          </w:tcPr>
          <w:p w14:paraId="710B0DA5">
            <w:pPr>
              <w:pStyle w:val="19"/>
              <w:keepNext w:val="0"/>
              <w:keepLines w:val="0"/>
              <w:widowControl/>
              <w:suppressLineNumbers w:val="0"/>
              <w:spacing w:before="142" w:beforeAutospacing="0" w:after="0" w:afterAutospacing="0" w:line="231" w:lineRule="auto"/>
              <w:ind w:left="515" w:right="0"/>
              <w:rPr>
                <w:rFonts w:hint="default"/>
                <w:color w:val="auto"/>
                <w:spacing w:val="0"/>
                <w:w w:val="100"/>
                <w:position w:val="0"/>
                <w:highlight w:val="none"/>
              </w:rPr>
            </w:pPr>
            <w:r>
              <w:rPr>
                <w:rFonts w:hint="default"/>
                <w:color w:val="auto"/>
                <w:spacing w:val="0"/>
                <w:w w:val="100"/>
                <w:position w:val="0"/>
                <w:highlight w:val="none"/>
              </w:rPr>
              <w:t>组</w:t>
            </w:r>
          </w:p>
        </w:tc>
        <w:tc>
          <w:tcPr>
            <w:tcW w:w="1350" w:type="dxa"/>
            <w:vAlign w:val="top"/>
          </w:tcPr>
          <w:p w14:paraId="4BB16C9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524FED8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24F438F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02D1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1446" w:type="dxa"/>
            <w:vAlign w:val="top"/>
          </w:tcPr>
          <w:p w14:paraId="5C1D1947">
            <w:pPr>
              <w:pStyle w:val="19"/>
              <w:keepNext w:val="0"/>
              <w:keepLines w:val="0"/>
              <w:widowControl/>
              <w:suppressLineNumbers w:val="0"/>
              <w:spacing w:before="151" w:beforeAutospacing="0" w:after="0" w:afterAutospacing="0" w:line="241" w:lineRule="auto"/>
              <w:ind w:left="676" w:right="0"/>
              <w:rPr>
                <w:rFonts w:hint="default"/>
                <w:color w:val="auto"/>
                <w:spacing w:val="0"/>
                <w:w w:val="100"/>
                <w:position w:val="0"/>
                <w:highlight w:val="none"/>
              </w:rPr>
            </w:pPr>
            <w:r>
              <w:rPr>
                <w:rFonts w:hint="default"/>
                <w:color w:val="auto"/>
                <w:spacing w:val="0"/>
                <w:w w:val="100"/>
                <w:position w:val="0"/>
                <w:highlight w:val="none"/>
              </w:rPr>
              <w:t>6</w:t>
            </w:r>
          </w:p>
        </w:tc>
        <w:tc>
          <w:tcPr>
            <w:tcW w:w="2749" w:type="dxa"/>
            <w:vAlign w:val="top"/>
          </w:tcPr>
          <w:p w14:paraId="7394E149">
            <w:pPr>
              <w:pStyle w:val="19"/>
              <w:keepNext w:val="0"/>
              <w:keepLines w:val="0"/>
              <w:widowControl/>
              <w:suppressLineNumbers w:val="0"/>
              <w:spacing w:before="151" w:beforeAutospacing="0" w:after="0" w:afterAutospacing="0" w:line="221" w:lineRule="auto"/>
              <w:ind w:left="957" w:right="0"/>
              <w:rPr>
                <w:rFonts w:hint="default"/>
                <w:color w:val="auto"/>
                <w:spacing w:val="0"/>
                <w:w w:val="100"/>
                <w:position w:val="0"/>
                <w:highlight w:val="none"/>
              </w:rPr>
            </w:pPr>
            <w:r>
              <w:rPr>
                <w:rFonts w:hint="default"/>
                <w:color w:val="auto"/>
                <w:spacing w:val="0"/>
                <w:w w:val="100"/>
                <w:position w:val="0"/>
                <w:highlight w:val="none"/>
              </w:rPr>
              <w:t>扰动土样</w:t>
            </w:r>
          </w:p>
        </w:tc>
        <w:tc>
          <w:tcPr>
            <w:tcW w:w="1231" w:type="dxa"/>
            <w:vAlign w:val="top"/>
          </w:tcPr>
          <w:p w14:paraId="14A18AE2">
            <w:pPr>
              <w:pStyle w:val="19"/>
              <w:keepNext w:val="0"/>
              <w:keepLines w:val="0"/>
              <w:widowControl/>
              <w:suppressLineNumbers w:val="0"/>
              <w:spacing w:before="152" w:beforeAutospacing="0" w:after="0" w:afterAutospacing="0" w:line="231" w:lineRule="auto"/>
              <w:ind w:left="515" w:right="0"/>
              <w:rPr>
                <w:rFonts w:hint="default"/>
                <w:color w:val="auto"/>
                <w:spacing w:val="0"/>
                <w:w w:val="100"/>
                <w:position w:val="0"/>
                <w:highlight w:val="none"/>
              </w:rPr>
            </w:pPr>
            <w:r>
              <w:rPr>
                <w:rFonts w:hint="default"/>
                <w:color w:val="auto"/>
                <w:spacing w:val="0"/>
                <w:w w:val="100"/>
                <w:position w:val="0"/>
                <w:highlight w:val="none"/>
              </w:rPr>
              <w:t>组</w:t>
            </w:r>
          </w:p>
        </w:tc>
        <w:tc>
          <w:tcPr>
            <w:tcW w:w="1350" w:type="dxa"/>
            <w:vAlign w:val="top"/>
          </w:tcPr>
          <w:p w14:paraId="24E0EA3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005FF5B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2725AD3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5A78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jc w:val="center"/>
        </w:trPr>
        <w:tc>
          <w:tcPr>
            <w:tcW w:w="1446" w:type="dxa"/>
            <w:vAlign w:val="top"/>
          </w:tcPr>
          <w:p w14:paraId="2A669E15">
            <w:pPr>
              <w:pStyle w:val="19"/>
              <w:keepNext w:val="0"/>
              <w:keepLines w:val="0"/>
              <w:widowControl/>
              <w:suppressLineNumbers w:val="0"/>
              <w:spacing w:before="152" w:beforeAutospacing="0" w:after="0" w:afterAutospacing="0" w:line="241" w:lineRule="auto"/>
              <w:ind w:left="680" w:right="0"/>
              <w:rPr>
                <w:rFonts w:hint="default"/>
                <w:color w:val="auto"/>
                <w:spacing w:val="0"/>
                <w:w w:val="100"/>
                <w:position w:val="0"/>
                <w:highlight w:val="none"/>
              </w:rPr>
            </w:pPr>
            <w:r>
              <w:rPr>
                <w:rFonts w:hint="default"/>
                <w:color w:val="auto"/>
                <w:spacing w:val="0"/>
                <w:w w:val="100"/>
                <w:position w:val="0"/>
                <w:highlight w:val="none"/>
              </w:rPr>
              <w:t>7</w:t>
            </w:r>
          </w:p>
        </w:tc>
        <w:tc>
          <w:tcPr>
            <w:tcW w:w="2749" w:type="dxa"/>
            <w:vAlign w:val="top"/>
          </w:tcPr>
          <w:p w14:paraId="217069EB">
            <w:pPr>
              <w:pStyle w:val="19"/>
              <w:keepNext w:val="0"/>
              <w:keepLines w:val="0"/>
              <w:widowControl/>
              <w:suppressLineNumbers w:val="0"/>
              <w:spacing w:before="153" w:beforeAutospacing="0" w:after="0" w:afterAutospacing="0" w:line="221" w:lineRule="auto"/>
              <w:ind w:left="853" w:right="0"/>
              <w:rPr>
                <w:rFonts w:hint="default"/>
                <w:color w:val="auto"/>
                <w:spacing w:val="0"/>
                <w:w w:val="100"/>
                <w:position w:val="0"/>
                <w:highlight w:val="none"/>
              </w:rPr>
            </w:pPr>
            <w:r>
              <w:rPr>
                <w:rFonts w:hint="default"/>
                <w:color w:val="auto"/>
                <w:spacing w:val="0"/>
                <w:w w:val="100"/>
                <w:position w:val="0"/>
                <w:highlight w:val="none"/>
              </w:rPr>
              <w:t>土常规试验</w:t>
            </w:r>
          </w:p>
        </w:tc>
        <w:tc>
          <w:tcPr>
            <w:tcW w:w="1231" w:type="dxa"/>
            <w:vAlign w:val="top"/>
          </w:tcPr>
          <w:p w14:paraId="2CEB4084">
            <w:pPr>
              <w:pStyle w:val="19"/>
              <w:keepNext w:val="0"/>
              <w:keepLines w:val="0"/>
              <w:widowControl/>
              <w:suppressLineNumbers w:val="0"/>
              <w:spacing w:before="153" w:beforeAutospacing="0" w:after="0" w:afterAutospacing="0" w:line="231" w:lineRule="auto"/>
              <w:ind w:left="515" w:right="0"/>
              <w:rPr>
                <w:rFonts w:hint="default"/>
                <w:color w:val="auto"/>
                <w:spacing w:val="0"/>
                <w:w w:val="100"/>
                <w:position w:val="0"/>
                <w:highlight w:val="none"/>
              </w:rPr>
            </w:pPr>
            <w:r>
              <w:rPr>
                <w:rFonts w:hint="default"/>
                <w:color w:val="auto"/>
                <w:spacing w:val="0"/>
                <w:w w:val="100"/>
                <w:position w:val="0"/>
                <w:highlight w:val="none"/>
              </w:rPr>
              <w:t>组</w:t>
            </w:r>
          </w:p>
        </w:tc>
        <w:tc>
          <w:tcPr>
            <w:tcW w:w="1350" w:type="dxa"/>
            <w:vAlign w:val="top"/>
          </w:tcPr>
          <w:p w14:paraId="28A54CE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2D34B1E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159D808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DCA7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jc w:val="center"/>
        </w:trPr>
        <w:tc>
          <w:tcPr>
            <w:tcW w:w="1446" w:type="dxa"/>
            <w:vAlign w:val="top"/>
          </w:tcPr>
          <w:p w14:paraId="526E548C">
            <w:pPr>
              <w:pStyle w:val="19"/>
              <w:keepNext w:val="0"/>
              <w:keepLines w:val="0"/>
              <w:widowControl/>
              <w:suppressLineNumbers w:val="0"/>
              <w:spacing w:before="142" w:beforeAutospacing="0" w:after="0" w:afterAutospacing="0" w:line="241" w:lineRule="auto"/>
              <w:ind w:left="676" w:right="0"/>
              <w:rPr>
                <w:rFonts w:hint="default"/>
                <w:color w:val="auto"/>
                <w:spacing w:val="0"/>
                <w:w w:val="100"/>
                <w:position w:val="0"/>
                <w:highlight w:val="none"/>
              </w:rPr>
            </w:pPr>
            <w:r>
              <w:rPr>
                <w:rFonts w:hint="default"/>
                <w:color w:val="auto"/>
                <w:spacing w:val="0"/>
                <w:w w:val="100"/>
                <w:position w:val="0"/>
                <w:highlight w:val="none"/>
              </w:rPr>
              <w:t>8</w:t>
            </w:r>
          </w:p>
        </w:tc>
        <w:tc>
          <w:tcPr>
            <w:tcW w:w="2749" w:type="dxa"/>
            <w:vAlign w:val="top"/>
          </w:tcPr>
          <w:p w14:paraId="72B22F39">
            <w:pPr>
              <w:pStyle w:val="19"/>
              <w:keepNext w:val="0"/>
              <w:keepLines w:val="0"/>
              <w:widowControl/>
              <w:suppressLineNumbers w:val="0"/>
              <w:spacing w:before="142" w:beforeAutospacing="0" w:after="0" w:afterAutospacing="0" w:line="220" w:lineRule="auto"/>
              <w:ind w:left="1067" w:right="0"/>
              <w:rPr>
                <w:rFonts w:hint="default"/>
                <w:color w:val="auto"/>
                <w:spacing w:val="0"/>
                <w:w w:val="100"/>
                <w:position w:val="0"/>
                <w:highlight w:val="none"/>
              </w:rPr>
            </w:pPr>
            <w:r>
              <w:rPr>
                <w:rFonts w:hint="default"/>
                <w:color w:val="auto"/>
                <w:spacing w:val="0"/>
                <w:w w:val="100"/>
                <w:position w:val="0"/>
                <w:highlight w:val="none"/>
              </w:rPr>
              <w:t>简常规</w:t>
            </w:r>
          </w:p>
        </w:tc>
        <w:tc>
          <w:tcPr>
            <w:tcW w:w="1231" w:type="dxa"/>
            <w:vAlign w:val="top"/>
          </w:tcPr>
          <w:p w14:paraId="698CFB6B">
            <w:pPr>
              <w:pStyle w:val="19"/>
              <w:keepNext w:val="0"/>
              <w:keepLines w:val="0"/>
              <w:widowControl/>
              <w:suppressLineNumbers w:val="0"/>
              <w:spacing w:before="143" w:beforeAutospacing="0" w:after="0" w:afterAutospacing="0" w:line="231" w:lineRule="auto"/>
              <w:ind w:left="515" w:right="0"/>
              <w:rPr>
                <w:rFonts w:hint="default"/>
                <w:color w:val="auto"/>
                <w:spacing w:val="0"/>
                <w:w w:val="100"/>
                <w:position w:val="0"/>
                <w:highlight w:val="none"/>
              </w:rPr>
            </w:pPr>
            <w:r>
              <w:rPr>
                <w:rFonts w:hint="default"/>
                <w:color w:val="auto"/>
                <w:spacing w:val="0"/>
                <w:w w:val="100"/>
                <w:position w:val="0"/>
                <w:highlight w:val="none"/>
              </w:rPr>
              <w:t>组</w:t>
            </w:r>
          </w:p>
        </w:tc>
        <w:tc>
          <w:tcPr>
            <w:tcW w:w="1350" w:type="dxa"/>
            <w:vAlign w:val="top"/>
          </w:tcPr>
          <w:p w14:paraId="2937785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4F3C67F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17CAD6F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03CC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jc w:val="center"/>
        </w:trPr>
        <w:tc>
          <w:tcPr>
            <w:tcW w:w="1446" w:type="dxa"/>
            <w:vAlign w:val="top"/>
          </w:tcPr>
          <w:p w14:paraId="6C1AC657">
            <w:pPr>
              <w:pStyle w:val="19"/>
              <w:keepNext w:val="0"/>
              <w:keepLines w:val="0"/>
              <w:widowControl/>
              <w:suppressLineNumbers w:val="0"/>
              <w:spacing w:before="152" w:beforeAutospacing="0" w:after="0" w:afterAutospacing="0" w:line="241" w:lineRule="auto"/>
              <w:ind w:left="676" w:right="0"/>
              <w:rPr>
                <w:rFonts w:hint="default"/>
                <w:color w:val="auto"/>
                <w:spacing w:val="0"/>
                <w:w w:val="100"/>
                <w:position w:val="0"/>
                <w:highlight w:val="none"/>
              </w:rPr>
            </w:pPr>
            <w:r>
              <w:rPr>
                <w:rFonts w:hint="default"/>
                <w:color w:val="auto"/>
                <w:spacing w:val="0"/>
                <w:w w:val="100"/>
                <w:position w:val="0"/>
                <w:highlight w:val="none"/>
              </w:rPr>
              <w:t>9</w:t>
            </w:r>
          </w:p>
        </w:tc>
        <w:tc>
          <w:tcPr>
            <w:tcW w:w="2749" w:type="dxa"/>
            <w:vAlign w:val="top"/>
          </w:tcPr>
          <w:p w14:paraId="76B556F3">
            <w:pPr>
              <w:pStyle w:val="19"/>
              <w:keepNext w:val="0"/>
              <w:keepLines w:val="0"/>
              <w:widowControl/>
              <w:suppressLineNumbers w:val="0"/>
              <w:spacing w:before="152" w:beforeAutospacing="0" w:after="0" w:afterAutospacing="0" w:line="221" w:lineRule="auto"/>
              <w:ind w:left="327" w:right="0"/>
              <w:rPr>
                <w:rFonts w:hint="default"/>
                <w:color w:val="auto"/>
                <w:spacing w:val="0"/>
                <w:w w:val="100"/>
                <w:position w:val="0"/>
                <w:highlight w:val="none"/>
              </w:rPr>
            </w:pPr>
            <w:r>
              <w:rPr>
                <w:rFonts w:hint="default"/>
                <w:color w:val="auto"/>
                <w:spacing w:val="0"/>
                <w:w w:val="100"/>
                <w:position w:val="0"/>
                <w:highlight w:val="none"/>
              </w:rPr>
              <w:t>颗粒分析试验（筛分）</w:t>
            </w:r>
          </w:p>
        </w:tc>
        <w:tc>
          <w:tcPr>
            <w:tcW w:w="1231" w:type="dxa"/>
            <w:vAlign w:val="top"/>
          </w:tcPr>
          <w:p w14:paraId="2A74E585">
            <w:pPr>
              <w:pStyle w:val="19"/>
              <w:keepNext w:val="0"/>
              <w:keepLines w:val="0"/>
              <w:widowControl/>
              <w:suppressLineNumbers w:val="0"/>
              <w:spacing w:before="153" w:beforeAutospacing="0" w:after="0" w:afterAutospacing="0" w:line="231" w:lineRule="auto"/>
              <w:ind w:left="515" w:right="0"/>
              <w:rPr>
                <w:rFonts w:hint="default"/>
                <w:color w:val="auto"/>
                <w:spacing w:val="0"/>
                <w:w w:val="100"/>
                <w:position w:val="0"/>
                <w:highlight w:val="none"/>
              </w:rPr>
            </w:pPr>
            <w:r>
              <w:rPr>
                <w:rFonts w:hint="default"/>
                <w:color w:val="auto"/>
                <w:spacing w:val="0"/>
                <w:w w:val="100"/>
                <w:position w:val="0"/>
                <w:highlight w:val="none"/>
              </w:rPr>
              <w:t>组</w:t>
            </w:r>
          </w:p>
        </w:tc>
        <w:tc>
          <w:tcPr>
            <w:tcW w:w="1350" w:type="dxa"/>
            <w:vAlign w:val="top"/>
          </w:tcPr>
          <w:p w14:paraId="1676867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35DD06A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20A7AE5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8CFE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jc w:val="center"/>
        </w:trPr>
        <w:tc>
          <w:tcPr>
            <w:tcW w:w="1446" w:type="dxa"/>
            <w:vAlign w:val="top"/>
          </w:tcPr>
          <w:p w14:paraId="644F5BD0">
            <w:pPr>
              <w:pStyle w:val="19"/>
              <w:keepNext w:val="0"/>
              <w:keepLines w:val="0"/>
              <w:widowControl/>
              <w:suppressLineNumbers w:val="0"/>
              <w:spacing w:before="150" w:beforeAutospacing="0" w:after="0" w:afterAutospacing="0" w:line="241" w:lineRule="auto"/>
              <w:ind w:left="637" w:right="0"/>
              <w:rPr>
                <w:rFonts w:hint="default"/>
                <w:color w:val="auto"/>
                <w:spacing w:val="0"/>
                <w:w w:val="100"/>
                <w:position w:val="0"/>
                <w:highlight w:val="none"/>
              </w:rPr>
            </w:pPr>
            <w:r>
              <w:rPr>
                <w:rFonts w:hint="default"/>
                <w:color w:val="auto"/>
                <w:spacing w:val="0"/>
                <w:w w:val="100"/>
                <w:position w:val="0"/>
                <w:highlight w:val="none"/>
              </w:rPr>
              <w:t>10</w:t>
            </w:r>
          </w:p>
        </w:tc>
        <w:tc>
          <w:tcPr>
            <w:tcW w:w="2749" w:type="dxa"/>
            <w:vAlign w:val="top"/>
          </w:tcPr>
          <w:p w14:paraId="112C7D4B">
            <w:pPr>
              <w:pStyle w:val="19"/>
              <w:keepNext w:val="0"/>
              <w:keepLines w:val="0"/>
              <w:widowControl/>
              <w:suppressLineNumbers w:val="0"/>
              <w:spacing w:before="150" w:beforeAutospacing="0" w:after="0" w:afterAutospacing="0" w:line="221" w:lineRule="auto"/>
              <w:ind w:left="749" w:right="0"/>
              <w:rPr>
                <w:rFonts w:hint="default"/>
                <w:color w:val="auto"/>
                <w:spacing w:val="0"/>
                <w:w w:val="100"/>
                <w:position w:val="0"/>
                <w:highlight w:val="none"/>
              </w:rPr>
            </w:pPr>
            <w:r>
              <w:rPr>
                <w:rFonts w:hint="default"/>
                <w:color w:val="auto"/>
                <w:spacing w:val="0"/>
                <w:w w:val="100"/>
                <w:position w:val="0"/>
                <w:highlight w:val="none"/>
              </w:rPr>
              <w:t>标准贯入试验</w:t>
            </w:r>
          </w:p>
        </w:tc>
        <w:tc>
          <w:tcPr>
            <w:tcW w:w="1231" w:type="dxa"/>
            <w:vAlign w:val="top"/>
          </w:tcPr>
          <w:p w14:paraId="5B6CC5AE">
            <w:pPr>
              <w:pStyle w:val="19"/>
              <w:keepNext w:val="0"/>
              <w:keepLines w:val="0"/>
              <w:widowControl/>
              <w:suppressLineNumbers w:val="0"/>
              <w:spacing w:before="149" w:beforeAutospacing="0" w:after="0" w:afterAutospacing="0" w:line="221" w:lineRule="auto"/>
              <w:ind w:left="518" w:right="0"/>
              <w:rPr>
                <w:rFonts w:hint="default"/>
                <w:color w:val="auto"/>
                <w:spacing w:val="0"/>
                <w:w w:val="100"/>
                <w:position w:val="0"/>
                <w:highlight w:val="none"/>
              </w:rPr>
            </w:pPr>
            <w:r>
              <w:rPr>
                <w:rFonts w:hint="default"/>
                <w:color w:val="auto"/>
                <w:spacing w:val="0"/>
                <w:w w:val="100"/>
                <w:position w:val="0"/>
                <w:highlight w:val="none"/>
              </w:rPr>
              <w:t>次</w:t>
            </w:r>
          </w:p>
        </w:tc>
        <w:tc>
          <w:tcPr>
            <w:tcW w:w="1350" w:type="dxa"/>
            <w:vAlign w:val="top"/>
          </w:tcPr>
          <w:p w14:paraId="7A1874B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51FD0E9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2C0C1A7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FE81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jc w:val="center"/>
        </w:trPr>
        <w:tc>
          <w:tcPr>
            <w:tcW w:w="1446" w:type="dxa"/>
            <w:vAlign w:val="top"/>
          </w:tcPr>
          <w:p w14:paraId="32D3F7C0">
            <w:pPr>
              <w:pStyle w:val="19"/>
              <w:keepNext w:val="0"/>
              <w:keepLines w:val="0"/>
              <w:widowControl/>
              <w:suppressLineNumbers w:val="0"/>
              <w:spacing w:before="146" w:beforeAutospacing="0" w:after="0" w:afterAutospacing="0" w:line="242" w:lineRule="auto"/>
              <w:ind w:left="637" w:right="0"/>
              <w:rPr>
                <w:rFonts w:hint="default"/>
                <w:color w:val="auto"/>
                <w:spacing w:val="0"/>
                <w:w w:val="100"/>
                <w:position w:val="0"/>
                <w:highlight w:val="none"/>
              </w:rPr>
            </w:pPr>
            <w:r>
              <w:rPr>
                <w:rFonts w:hint="default"/>
                <w:color w:val="auto"/>
                <w:spacing w:val="0"/>
                <w:w w:val="100"/>
                <w:position w:val="0"/>
                <w:highlight w:val="none"/>
              </w:rPr>
              <w:t>11</w:t>
            </w:r>
          </w:p>
        </w:tc>
        <w:tc>
          <w:tcPr>
            <w:tcW w:w="2749" w:type="dxa"/>
            <w:vAlign w:val="top"/>
          </w:tcPr>
          <w:p w14:paraId="24D502BC">
            <w:pPr>
              <w:pStyle w:val="19"/>
              <w:keepNext w:val="0"/>
              <w:keepLines w:val="0"/>
              <w:widowControl/>
              <w:suppressLineNumbers w:val="0"/>
              <w:spacing w:before="145" w:beforeAutospacing="0" w:after="0" w:afterAutospacing="0" w:line="221" w:lineRule="auto"/>
              <w:ind w:left="538" w:right="0"/>
              <w:rPr>
                <w:rFonts w:hint="default"/>
                <w:color w:val="auto"/>
                <w:spacing w:val="0"/>
                <w:w w:val="100"/>
                <w:position w:val="0"/>
                <w:highlight w:val="none"/>
              </w:rPr>
            </w:pPr>
            <w:r>
              <w:rPr>
                <w:rFonts w:hint="default"/>
                <w:color w:val="auto"/>
                <w:spacing w:val="0"/>
                <w:w w:val="100"/>
                <w:position w:val="0"/>
                <w:highlight w:val="none"/>
              </w:rPr>
              <w:t>重型动力触探试验</w:t>
            </w:r>
          </w:p>
        </w:tc>
        <w:tc>
          <w:tcPr>
            <w:tcW w:w="1231" w:type="dxa"/>
            <w:vAlign w:val="top"/>
          </w:tcPr>
          <w:p w14:paraId="60168372">
            <w:pPr>
              <w:pStyle w:val="19"/>
              <w:keepNext w:val="0"/>
              <w:keepLines w:val="0"/>
              <w:widowControl/>
              <w:suppressLineNumbers w:val="0"/>
              <w:spacing w:before="145" w:beforeAutospacing="0" w:after="0" w:afterAutospacing="0" w:line="221" w:lineRule="auto"/>
              <w:ind w:left="518" w:right="0"/>
              <w:rPr>
                <w:rFonts w:hint="default"/>
                <w:color w:val="auto"/>
                <w:spacing w:val="0"/>
                <w:w w:val="100"/>
                <w:position w:val="0"/>
                <w:highlight w:val="none"/>
              </w:rPr>
            </w:pPr>
            <w:r>
              <w:rPr>
                <w:rFonts w:hint="default"/>
                <w:color w:val="auto"/>
                <w:spacing w:val="0"/>
                <w:w w:val="100"/>
                <w:position w:val="0"/>
                <w:highlight w:val="none"/>
              </w:rPr>
              <w:t>次</w:t>
            </w:r>
          </w:p>
        </w:tc>
        <w:tc>
          <w:tcPr>
            <w:tcW w:w="1350" w:type="dxa"/>
            <w:vAlign w:val="top"/>
          </w:tcPr>
          <w:p w14:paraId="2CFA2C8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24750C3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038A415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4991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jc w:val="center"/>
        </w:trPr>
        <w:tc>
          <w:tcPr>
            <w:tcW w:w="1446" w:type="dxa"/>
            <w:vAlign w:val="top"/>
          </w:tcPr>
          <w:p w14:paraId="209A49D6">
            <w:pPr>
              <w:pStyle w:val="19"/>
              <w:keepNext w:val="0"/>
              <w:keepLines w:val="0"/>
              <w:widowControl/>
              <w:suppressLineNumbers w:val="0"/>
              <w:spacing w:before="151" w:beforeAutospacing="0" w:after="0" w:afterAutospacing="0" w:line="242" w:lineRule="auto"/>
              <w:ind w:left="637" w:right="0"/>
              <w:rPr>
                <w:rFonts w:hint="default"/>
                <w:color w:val="auto"/>
                <w:spacing w:val="0"/>
                <w:w w:val="100"/>
                <w:position w:val="0"/>
                <w:highlight w:val="none"/>
              </w:rPr>
            </w:pPr>
            <w:r>
              <w:rPr>
                <w:rFonts w:hint="default"/>
                <w:color w:val="auto"/>
                <w:spacing w:val="0"/>
                <w:w w:val="100"/>
                <w:position w:val="0"/>
                <w:highlight w:val="none"/>
              </w:rPr>
              <w:t>12</w:t>
            </w:r>
          </w:p>
        </w:tc>
        <w:tc>
          <w:tcPr>
            <w:tcW w:w="2749" w:type="dxa"/>
            <w:vAlign w:val="top"/>
          </w:tcPr>
          <w:p w14:paraId="67C6786C">
            <w:pPr>
              <w:pStyle w:val="19"/>
              <w:keepNext w:val="0"/>
              <w:keepLines w:val="0"/>
              <w:widowControl/>
              <w:suppressLineNumbers w:val="0"/>
              <w:spacing w:before="150" w:beforeAutospacing="0" w:after="0" w:afterAutospacing="0" w:line="221" w:lineRule="auto"/>
              <w:ind w:left="1171" w:right="0"/>
              <w:rPr>
                <w:rFonts w:hint="default"/>
                <w:color w:val="auto"/>
                <w:spacing w:val="0"/>
                <w:w w:val="100"/>
                <w:position w:val="0"/>
                <w:highlight w:val="none"/>
              </w:rPr>
            </w:pPr>
            <w:r>
              <w:rPr>
                <w:rFonts w:hint="default"/>
                <w:color w:val="auto"/>
                <w:spacing w:val="0"/>
                <w:w w:val="100"/>
                <w:position w:val="0"/>
                <w:highlight w:val="none"/>
              </w:rPr>
              <w:t>水样</w:t>
            </w:r>
          </w:p>
        </w:tc>
        <w:tc>
          <w:tcPr>
            <w:tcW w:w="1231" w:type="dxa"/>
            <w:vAlign w:val="top"/>
          </w:tcPr>
          <w:p w14:paraId="1E6B6573">
            <w:pPr>
              <w:pStyle w:val="19"/>
              <w:keepNext w:val="0"/>
              <w:keepLines w:val="0"/>
              <w:widowControl/>
              <w:suppressLineNumbers w:val="0"/>
              <w:spacing w:before="151" w:beforeAutospacing="0" w:after="0" w:afterAutospacing="0" w:line="231" w:lineRule="auto"/>
              <w:ind w:left="515" w:right="0"/>
              <w:rPr>
                <w:rFonts w:hint="default"/>
                <w:color w:val="auto"/>
                <w:spacing w:val="0"/>
                <w:w w:val="100"/>
                <w:position w:val="0"/>
                <w:highlight w:val="none"/>
              </w:rPr>
            </w:pPr>
            <w:r>
              <w:rPr>
                <w:rFonts w:hint="default"/>
                <w:color w:val="auto"/>
                <w:spacing w:val="0"/>
                <w:w w:val="100"/>
                <w:position w:val="0"/>
                <w:highlight w:val="none"/>
              </w:rPr>
              <w:t>组</w:t>
            </w:r>
          </w:p>
        </w:tc>
        <w:tc>
          <w:tcPr>
            <w:tcW w:w="1350" w:type="dxa"/>
            <w:vAlign w:val="top"/>
          </w:tcPr>
          <w:p w14:paraId="634FD95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46B7BCE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1627F33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77CD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jc w:val="center"/>
        </w:trPr>
        <w:tc>
          <w:tcPr>
            <w:tcW w:w="1446" w:type="dxa"/>
            <w:vAlign w:val="top"/>
          </w:tcPr>
          <w:p w14:paraId="5D61DE2E">
            <w:pPr>
              <w:pStyle w:val="19"/>
              <w:keepNext w:val="0"/>
              <w:keepLines w:val="0"/>
              <w:widowControl/>
              <w:suppressLineNumbers w:val="0"/>
              <w:spacing w:before="153" w:beforeAutospacing="0" w:after="0" w:afterAutospacing="0" w:line="241" w:lineRule="auto"/>
              <w:ind w:left="637" w:right="0"/>
              <w:rPr>
                <w:rFonts w:hint="default"/>
                <w:color w:val="auto"/>
                <w:spacing w:val="0"/>
                <w:w w:val="100"/>
                <w:position w:val="0"/>
                <w:highlight w:val="none"/>
              </w:rPr>
            </w:pPr>
            <w:r>
              <w:rPr>
                <w:rFonts w:hint="default"/>
                <w:color w:val="auto"/>
                <w:spacing w:val="0"/>
                <w:w w:val="100"/>
                <w:position w:val="0"/>
                <w:highlight w:val="none"/>
              </w:rPr>
              <w:t>13</w:t>
            </w:r>
          </w:p>
        </w:tc>
        <w:tc>
          <w:tcPr>
            <w:tcW w:w="2749" w:type="dxa"/>
            <w:vAlign w:val="top"/>
          </w:tcPr>
          <w:p w14:paraId="73F3748B">
            <w:pPr>
              <w:pStyle w:val="19"/>
              <w:keepNext w:val="0"/>
              <w:keepLines w:val="0"/>
              <w:widowControl/>
              <w:suppressLineNumbers w:val="0"/>
              <w:spacing w:before="153" w:beforeAutospacing="0" w:after="0" w:afterAutospacing="0" w:line="221" w:lineRule="auto"/>
              <w:ind w:left="960" w:right="0"/>
              <w:rPr>
                <w:rFonts w:hint="default"/>
                <w:color w:val="auto"/>
                <w:spacing w:val="0"/>
                <w:w w:val="100"/>
                <w:position w:val="0"/>
                <w:highlight w:val="none"/>
              </w:rPr>
            </w:pPr>
            <w:r>
              <w:rPr>
                <w:rFonts w:hint="default"/>
                <w:color w:val="auto"/>
                <w:spacing w:val="0"/>
                <w:w w:val="100"/>
                <w:position w:val="0"/>
                <w:highlight w:val="none"/>
              </w:rPr>
              <w:t>水质分析</w:t>
            </w:r>
          </w:p>
        </w:tc>
        <w:tc>
          <w:tcPr>
            <w:tcW w:w="1231" w:type="dxa"/>
            <w:vAlign w:val="top"/>
          </w:tcPr>
          <w:p w14:paraId="3E6E1FC7">
            <w:pPr>
              <w:pStyle w:val="19"/>
              <w:keepNext w:val="0"/>
              <w:keepLines w:val="0"/>
              <w:widowControl/>
              <w:suppressLineNumbers w:val="0"/>
              <w:spacing w:before="154" w:beforeAutospacing="0" w:after="0" w:afterAutospacing="0" w:line="231" w:lineRule="auto"/>
              <w:ind w:left="515" w:right="0"/>
              <w:rPr>
                <w:rFonts w:hint="default"/>
                <w:color w:val="auto"/>
                <w:spacing w:val="0"/>
                <w:w w:val="100"/>
                <w:position w:val="0"/>
                <w:highlight w:val="none"/>
              </w:rPr>
            </w:pPr>
            <w:r>
              <w:rPr>
                <w:rFonts w:hint="default"/>
                <w:color w:val="auto"/>
                <w:spacing w:val="0"/>
                <w:w w:val="100"/>
                <w:position w:val="0"/>
                <w:highlight w:val="none"/>
              </w:rPr>
              <w:t>组</w:t>
            </w:r>
          </w:p>
        </w:tc>
        <w:tc>
          <w:tcPr>
            <w:tcW w:w="1350" w:type="dxa"/>
            <w:vAlign w:val="top"/>
          </w:tcPr>
          <w:p w14:paraId="3AE5AF5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4FF5FE5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353EC77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2371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1446" w:type="dxa"/>
            <w:vAlign w:val="top"/>
          </w:tcPr>
          <w:p w14:paraId="37D8993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p w14:paraId="7C9DA0BF">
            <w:pPr>
              <w:pStyle w:val="19"/>
              <w:keepNext w:val="0"/>
              <w:keepLines w:val="0"/>
              <w:widowControl/>
              <w:suppressLineNumbers w:val="0"/>
              <w:spacing w:before="68" w:beforeAutospacing="0" w:after="0" w:afterAutospacing="0" w:line="242" w:lineRule="auto"/>
              <w:ind w:left="637" w:right="0"/>
              <w:rPr>
                <w:rFonts w:hint="default"/>
                <w:color w:val="auto"/>
                <w:spacing w:val="0"/>
                <w:w w:val="100"/>
                <w:position w:val="0"/>
                <w:highlight w:val="none"/>
              </w:rPr>
            </w:pPr>
            <w:r>
              <w:rPr>
                <w:rFonts w:hint="default"/>
                <w:color w:val="auto"/>
                <w:spacing w:val="0"/>
                <w:w w:val="100"/>
                <w:position w:val="0"/>
                <w:highlight w:val="none"/>
              </w:rPr>
              <w:t>14</w:t>
            </w:r>
          </w:p>
        </w:tc>
        <w:tc>
          <w:tcPr>
            <w:tcW w:w="2749" w:type="dxa"/>
            <w:vAlign w:val="top"/>
          </w:tcPr>
          <w:p w14:paraId="4FEDC103">
            <w:pPr>
              <w:pStyle w:val="19"/>
              <w:keepNext w:val="0"/>
              <w:keepLines w:val="0"/>
              <w:widowControl/>
              <w:suppressLineNumbers w:val="0"/>
              <w:spacing w:before="175" w:beforeAutospacing="0" w:after="0" w:afterAutospacing="0" w:line="219" w:lineRule="auto"/>
              <w:ind w:left="552" w:right="0"/>
              <w:rPr>
                <w:rFonts w:hint="default"/>
                <w:color w:val="auto"/>
                <w:spacing w:val="0"/>
                <w:w w:val="100"/>
                <w:position w:val="0"/>
                <w:highlight w:val="none"/>
              </w:rPr>
            </w:pPr>
            <w:r>
              <w:rPr>
                <w:rFonts w:hint="default"/>
                <w:color w:val="auto"/>
                <w:spacing w:val="0"/>
                <w:w w:val="100"/>
                <w:position w:val="0"/>
                <w:highlight w:val="none"/>
              </w:rPr>
              <w:t>1:10000 带状图幅</w:t>
            </w:r>
          </w:p>
          <w:p w14:paraId="3EC4E4FF">
            <w:pPr>
              <w:pStyle w:val="19"/>
              <w:keepNext w:val="0"/>
              <w:keepLines w:val="0"/>
              <w:widowControl/>
              <w:suppressLineNumbers w:val="0"/>
              <w:spacing w:before="21" w:beforeAutospacing="0" w:after="0" w:afterAutospacing="0" w:line="221" w:lineRule="auto"/>
              <w:ind w:left="679" w:right="0"/>
              <w:rPr>
                <w:rFonts w:hint="default"/>
                <w:color w:val="auto"/>
                <w:spacing w:val="0"/>
                <w:w w:val="100"/>
                <w:position w:val="0"/>
                <w:highlight w:val="none"/>
              </w:rPr>
            </w:pPr>
            <w:r>
              <w:rPr>
                <w:rFonts w:hint="default"/>
                <w:color w:val="auto"/>
                <w:spacing w:val="0"/>
                <w:w w:val="100"/>
                <w:position w:val="0"/>
                <w:highlight w:val="none"/>
              </w:rPr>
              <w:t>(两侧各 500m）</w:t>
            </w:r>
          </w:p>
        </w:tc>
        <w:tc>
          <w:tcPr>
            <w:tcW w:w="1231" w:type="dxa"/>
            <w:vAlign w:val="top"/>
          </w:tcPr>
          <w:p w14:paraId="11D43255">
            <w:pPr>
              <w:pStyle w:val="19"/>
              <w:keepNext w:val="0"/>
              <w:keepLines w:val="0"/>
              <w:widowControl/>
              <w:suppressLineNumbers w:val="0"/>
              <w:spacing w:before="285" w:beforeAutospacing="0" w:after="0" w:afterAutospacing="0" w:line="234" w:lineRule="auto"/>
              <w:ind w:left="482" w:right="0"/>
              <w:rPr>
                <w:rFonts w:hint="default"/>
                <w:color w:val="auto"/>
                <w:spacing w:val="0"/>
                <w:w w:val="100"/>
                <w:position w:val="0"/>
                <w:sz w:val="11"/>
                <w:szCs w:val="11"/>
                <w:highlight w:val="none"/>
              </w:rPr>
            </w:pPr>
            <w:r>
              <w:rPr>
                <w:rFonts w:hint="default"/>
                <w:color w:val="auto"/>
                <w:spacing w:val="0"/>
                <w:w w:val="100"/>
                <w:position w:val="0"/>
                <w:highlight w:val="none"/>
              </w:rPr>
              <w:t>Km</w:t>
            </w:r>
            <w:r>
              <w:rPr>
                <w:rFonts w:hint="default"/>
                <w:color w:val="auto"/>
                <w:spacing w:val="0"/>
                <w:w w:val="100"/>
                <w:position w:val="0"/>
                <w:sz w:val="11"/>
                <w:szCs w:val="11"/>
                <w:highlight w:val="none"/>
              </w:rPr>
              <w:t>2</w:t>
            </w:r>
          </w:p>
        </w:tc>
        <w:tc>
          <w:tcPr>
            <w:tcW w:w="1350" w:type="dxa"/>
            <w:vAlign w:val="top"/>
          </w:tcPr>
          <w:p w14:paraId="1EED295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0181C22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74607EE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A1EA0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jc w:val="center"/>
        </w:trPr>
        <w:tc>
          <w:tcPr>
            <w:tcW w:w="1446" w:type="dxa"/>
            <w:vAlign w:val="top"/>
          </w:tcPr>
          <w:p w14:paraId="54113AE0">
            <w:pPr>
              <w:keepNext w:val="0"/>
              <w:keepLines w:val="0"/>
              <w:widowControl/>
              <w:suppressLineNumbers w:val="0"/>
              <w:spacing w:before="0" w:beforeAutospacing="0" w:after="0" w:afterAutospacing="0" w:line="293" w:lineRule="auto"/>
              <w:ind w:left="0" w:right="0"/>
              <w:rPr>
                <w:rFonts w:hint="default" w:ascii="Arial"/>
                <w:color w:val="auto"/>
                <w:spacing w:val="0"/>
                <w:w w:val="100"/>
                <w:position w:val="0"/>
                <w:sz w:val="21"/>
                <w:highlight w:val="none"/>
              </w:rPr>
            </w:pPr>
          </w:p>
          <w:p w14:paraId="5B1A25C9">
            <w:pPr>
              <w:pStyle w:val="19"/>
              <w:keepNext w:val="0"/>
              <w:keepLines w:val="0"/>
              <w:widowControl/>
              <w:suppressLineNumbers w:val="0"/>
              <w:spacing w:before="68" w:beforeAutospacing="0" w:after="0" w:afterAutospacing="0" w:line="87" w:lineRule="exact"/>
              <w:ind w:left="577" w:right="0"/>
              <w:rPr>
                <w:rFonts w:hint="default"/>
                <w:color w:val="auto"/>
                <w:spacing w:val="0"/>
                <w:w w:val="100"/>
                <w:position w:val="0"/>
                <w:highlight w:val="none"/>
              </w:rPr>
            </w:pPr>
            <w:r>
              <w:rPr>
                <w:rFonts w:hint="default"/>
                <w:color w:val="auto"/>
                <w:spacing w:val="0"/>
                <w:w w:val="100"/>
                <w:position w:val="0"/>
                <w:highlight w:val="none"/>
              </w:rPr>
              <w:t>...</w:t>
            </w:r>
          </w:p>
        </w:tc>
        <w:tc>
          <w:tcPr>
            <w:tcW w:w="2749" w:type="dxa"/>
            <w:vAlign w:val="top"/>
          </w:tcPr>
          <w:p w14:paraId="2203EB2A">
            <w:pPr>
              <w:keepNext w:val="0"/>
              <w:keepLines w:val="0"/>
              <w:widowControl/>
              <w:suppressLineNumbers w:val="0"/>
              <w:spacing w:before="0" w:beforeAutospacing="0" w:after="0" w:afterAutospacing="0" w:line="293" w:lineRule="auto"/>
              <w:ind w:left="0" w:right="0"/>
              <w:rPr>
                <w:rFonts w:hint="default" w:ascii="Arial"/>
                <w:color w:val="auto"/>
                <w:spacing w:val="0"/>
                <w:w w:val="100"/>
                <w:position w:val="0"/>
                <w:sz w:val="21"/>
                <w:highlight w:val="none"/>
              </w:rPr>
            </w:pPr>
          </w:p>
          <w:p w14:paraId="63E7F4B6">
            <w:pPr>
              <w:pStyle w:val="19"/>
              <w:keepNext w:val="0"/>
              <w:keepLines w:val="0"/>
              <w:widowControl/>
              <w:suppressLineNumbers w:val="0"/>
              <w:spacing w:before="68" w:beforeAutospacing="0" w:after="0" w:afterAutospacing="0" w:line="87" w:lineRule="exact"/>
              <w:ind w:left="1174" w:right="0"/>
              <w:rPr>
                <w:rFonts w:hint="default"/>
                <w:color w:val="auto"/>
                <w:spacing w:val="0"/>
                <w:w w:val="100"/>
                <w:position w:val="0"/>
                <w:highlight w:val="none"/>
              </w:rPr>
            </w:pPr>
            <w:r>
              <w:rPr>
                <w:rFonts w:hint="default"/>
                <w:color w:val="auto"/>
                <w:spacing w:val="0"/>
                <w:w w:val="100"/>
                <w:position w:val="0"/>
                <w:highlight w:val="none"/>
              </w:rPr>
              <w:t>....</w:t>
            </w:r>
          </w:p>
        </w:tc>
        <w:tc>
          <w:tcPr>
            <w:tcW w:w="1231" w:type="dxa"/>
            <w:vAlign w:val="top"/>
          </w:tcPr>
          <w:p w14:paraId="3D7D499B">
            <w:pPr>
              <w:keepNext w:val="0"/>
              <w:keepLines w:val="0"/>
              <w:widowControl/>
              <w:suppressLineNumbers w:val="0"/>
              <w:spacing w:before="0" w:beforeAutospacing="0" w:after="0" w:afterAutospacing="0" w:line="293" w:lineRule="auto"/>
              <w:ind w:left="0" w:right="0"/>
              <w:rPr>
                <w:rFonts w:hint="default" w:ascii="Arial"/>
                <w:color w:val="auto"/>
                <w:spacing w:val="0"/>
                <w:w w:val="100"/>
                <w:position w:val="0"/>
                <w:sz w:val="21"/>
                <w:highlight w:val="none"/>
              </w:rPr>
            </w:pPr>
          </w:p>
          <w:p w14:paraId="26D00458">
            <w:pPr>
              <w:pStyle w:val="19"/>
              <w:keepNext w:val="0"/>
              <w:keepLines w:val="0"/>
              <w:widowControl/>
              <w:suppressLineNumbers w:val="0"/>
              <w:spacing w:before="68" w:beforeAutospacing="0" w:after="0" w:afterAutospacing="0" w:line="87" w:lineRule="exact"/>
              <w:ind w:left="415" w:right="0"/>
              <w:rPr>
                <w:rFonts w:hint="default"/>
                <w:color w:val="auto"/>
                <w:spacing w:val="0"/>
                <w:w w:val="100"/>
                <w:position w:val="0"/>
                <w:highlight w:val="none"/>
              </w:rPr>
            </w:pPr>
            <w:r>
              <w:rPr>
                <w:rFonts w:hint="default"/>
                <w:color w:val="auto"/>
                <w:spacing w:val="0"/>
                <w:w w:val="100"/>
                <w:position w:val="0"/>
                <w:highlight w:val="none"/>
              </w:rPr>
              <w:t>....</w:t>
            </w:r>
          </w:p>
        </w:tc>
        <w:tc>
          <w:tcPr>
            <w:tcW w:w="1350" w:type="dxa"/>
            <w:vAlign w:val="top"/>
          </w:tcPr>
          <w:p w14:paraId="4D7B648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6052826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012F478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C8B3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jc w:val="center"/>
        </w:trPr>
        <w:tc>
          <w:tcPr>
            <w:tcW w:w="5426" w:type="dxa"/>
            <w:gridSpan w:val="3"/>
            <w:vAlign w:val="top"/>
          </w:tcPr>
          <w:p w14:paraId="6FA237AA">
            <w:pPr>
              <w:pStyle w:val="19"/>
              <w:keepNext w:val="0"/>
              <w:keepLines w:val="0"/>
              <w:widowControl/>
              <w:suppressLineNumbers w:val="0"/>
              <w:spacing w:before="147" w:beforeAutospacing="0" w:after="0" w:afterAutospacing="0" w:line="222" w:lineRule="auto"/>
              <w:ind w:left="2373" w:right="0"/>
              <w:rPr>
                <w:rFonts w:hint="default"/>
                <w:color w:val="auto"/>
                <w:spacing w:val="0"/>
                <w:w w:val="100"/>
                <w:position w:val="0"/>
                <w:highlight w:val="none"/>
              </w:rPr>
            </w:pPr>
            <w:r>
              <w:rPr>
                <w:rFonts w:hint="default"/>
                <w:color w:val="auto"/>
                <w:spacing w:val="0"/>
                <w:w w:val="100"/>
                <w:position w:val="0"/>
                <w:highlight w:val="none"/>
              </w:rPr>
              <w:t>小  计</w:t>
            </w:r>
          </w:p>
        </w:tc>
        <w:tc>
          <w:tcPr>
            <w:tcW w:w="1350" w:type="dxa"/>
            <w:vAlign w:val="top"/>
          </w:tcPr>
          <w:p w14:paraId="200C236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994" w:type="dxa"/>
            <w:vAlign w:val="top"/>
          </w:tcPr>
          <w:p w14:paraId="3D15682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1" w:type="dxa"/>
            <w:vAlign w:val="top"/>
          </w:tcPr>
          <w:p w14:paraId="53E2440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11AEF347">
      <w:pPr>
        <w:spacing w:before="91" w:line="219" w:lineRule="auto"/>
        <w:jc w:val="center"/>
        <w:rPr>
          <w:rFonts w:hint="eastAsia" w:ascii="宋体" w:hAnsi="宋体" w:eastAsia="宋体" w:cs="宋体"/>
          <w:b/>
          <w:bCs/>
          <w:color w:val="auto"/>
          <w:spacing w:val="0"/>
          <w:w w:val="100"/>
          <w:position w:val="0"/>
          <w:sz w:val="28"/>
          <w:szCs w:val="28"/>
          <w:highlight w:val="none"/>
          <w:lang w:val="en-US" w:eastAsia="zh-CN"/>
        </w:rPr>
      </w:pPr>
    </w:p>
    <w:p w14:paraId="140A8855">
      <w:pPr>
        <w:spacing w:before="91" w:line="219" w:lineRule="auto"/>
        <w:jc w:val="center"/>
        <w:rPr>
          <w:rFonts w:hint="eastAsia" w:ascii="宋体" w:hAnsi="宋体" w:eastAsia="宋体" w:cs="宋体"/>
          <w:b/>
          <w:bCs/>
          <w:color w:val="auto"/>
          <w:spacing w:val="0"/>
          <w:w w:val="100"/>
          <w:position w:val="0"/>
          <w:sz w:val="28"/>
          <w:szCs w:val="28"/>
          <w:highlight w:val="none"/>
          <w:lang w:val="en-US" w:eastAsia="zh-CN"/>
        </w:rPr>
      </w:pPr>
    </w:p>
    <w:p w14:paraId="14C5E752">
      <w:pPr>
        <w:spacing w:before="91" w:line="219" w:lineRule="auto"/>
        <w:jc w:val="center"/>
        <w:rPr>
          <w:rFonts w:hint="eastAsia" w:ascii="宋体" w:hAnsi="宋体" w:eastAsia="宋体" w:cs="宋体"/>
          <w:b/>
          <w:bCs/>
          <w:color w:val="auto"/>
          <w:spacing w:val="0"/>
          <w:w w:val="100"/>
          <w:position w:val="0"/>
          <w:sz w:val="28"/>
          <w:szCs w:val="28"/>
          <w:highlight w:val="none"/>
          <w:lang w:val="en-US" w:eastAsia="zh-CN"/>
        </w:rPr>
      </w:pPr>
    </w:p>
    <w:p w14:paraId="30F5B9FF">
      <w:pPr>
        <w:spacing w:before="91" w:line="219" w:lineRule="auto"/>
        <w:jc w:val="center"/>
        <w:rPr>
          <w:rFonts w:hint="eastAsia" w:ascii="宋体" w:hAnsi="宋体" w:eastAsia="宋体" w:cs="宋体"/>
          <w:b/>
          <w:bCs/>
          <w:color w:val="auto"/>
          <w:spacing w:val="0"/>
          <w:w w:val="100"/>
          <w:position w:val="0"/>
          <w:sz w:val="28"/>
          <w:szCs w:val="28"/>
          <w:highlight w:val="none"/>
          <w:lang w:val="en-US" w:eastAsia="zh-CN"/>
        </w:rPr>
      </w:pPr>
    </w:p>
    <w:p w14:paraId="790238A2">
      <w:pPr>
        <w:spacing w:before="91" w:line="219" w:lineRule="auto"/>
        <w:jc w:val="center"/>
        <w:rPr>
          <w:rFonts w:hint="eastAsia" w:ascii="宋体" w:hAnsi="宋体" w:eastAsia="宋体" w:cs="宋体"/>
          <w:b/>
          <w:bCs/>
          <w:color w:val="auto"/>
          <w:spacing w:val="0"/>
          <w:w w:val="100"/>
          <w:position w:val="0"/>
          <w:sz w:val="28"/>
          <w:szCs w:val="28"/>
          <w:highlight w:val="none"/>
          <w:lang w:val="en-US" w:eastAsia="zh-CN"/>
        </w:rPr>
      </w:pPr>
    </w:p>
    <w:p w14:paraId="4C26D6D5">
      <w:pPr>
        <w:spacing w:before="91" w:line="219" w:lineRule="auto"/>
        <w:jc w:val="center"/>
        <w:rPr>
          <w:rFonts w:hint="eastAsia" w:ascii="宋体" w:hAnsi="宋体" w:eastAsia="宋体" w:cs="宋体"/>
          <w:b/>
          <w:bCs/>
          <w:color w:val="auto"/>
          <w:spacing w:val="0"/>
          <w:w w:val="100"/>
          <w:position w:val="0"/>
          <w:sz w:val="28"/>
          <w:szCs w:val="28"/>
          <w:highlight w:val="none"/>
          <w:lang w:val="en-US" w:eastAsia="zh-CN"/>
        </w:rPr>
      </w:pPr>
    </w:p>
    <w:p w14:paraId="5FFABE14">
      <w:pPr>
        <w:spacing w:before="91" w:line="219" w:lineRule="auto"/>
        <w:jc w:val="center"/>
        <w:rPr>
          <w:rFonts w:hint="eastAsia" w:ascii="宋体" w:hAnsi="宋体" w:eastAsia="宋体" w:cs="宋体"/>
          <w:b/>
          <w:bCs/>
          <w:color w:val="auto"/>
          <w:spacing w:val="0"/>
          <w:w w:val="100"/>
          <w:position w:val="0"/>
          <w:sz w:val="28"/>
          <w:szCs w:val="28"/>
          <w:highlight w:val="none"/>
          <w:lang w:val="en-US" w:eastAsia="zh-CN"/>
        </w:rPr>
      </w:pPr>
    </w:p>
    <w:p w14:paraId="4A54BD2F">
      <w:pPr>
        <w:spacing w:before="91" w:line="219" w:lineRule="auto"/>
        <w:jc w:val="center"/>
        <w:rPr>
          <w:rFonts w:hint="eastAsia" w:ascii="宋体" w:hAnsi="宋体" w:eastAsia="宋体" w:cs="宋体"/>
          <w:b/>
          <w:bCs/>
          <w:color w:val="auto"/>
          <w:spacing w:val="0"/>
          <w:w w:val="100"/>
          <w:position w:val="0"/>
          <w:sz w:val="28"/>
          <w:szCs w:val="28"/>
          <w:highlight w:val="none"/>
          <w:lang w:val="en-US" w:eastAsia="zh-CN"/>
        </w:rPr>
      </w:pPr>
    </w:p>
    <w:p w14:paraId="2CC0A60B">
      <w:pPr>
        <w:spacing w:before="91" w:line="219" w:lineRule="auto"/>
        <w:jc w:val="center"/>
        <w:rPr>
          <w:rFonts w:ascii="Arial"/>
          <w:color w:val="auto"/>
          <w:spacing w:val="0"/>
          <w:w w:val="100"/>
          <w:position w:val="0"/>
          <w:sz w:val="21"/>
          <w:highlight w:val="none"/>
        </w:rPr>
      </w:pPr>
      <w:r>
        <w:rPr>
          <w:rFonts w:hint="eastAsia" w:ascii="宋体" w:hAnsi="宋体" w:eastAsia="宋体" w:cs="宋体"/>
          <w:b/>
          <w:bCs/>
          <w:color w:val="auto"/>
          <w:spacing w:val="0"/>
          <w:w w:val="100"/>
          <w:position w:val="0"/>
          <w:sz w:val="28"/>
          <w:szCs w:val="28"/>
          <w:highlight w:val="none"/>
          <w:lang w:val="en-US" w:eastAsia="zh-CN"/>
        </w:rPr>
        <w:t>3.</w:t>
      </w:r>
      <w:r>
        <w:rPr>
          <w:rFonts w:ascii="宋体" w:hAnsi="宋体" w:eastAsia="宋体" w:cs="宋体"/>
          <w:b/>
          <w:bCs/>
          <w:color w:val="auto"/>
          <w:spacing w:val="0"/>
          <w:w w:val="100"/>
          <w:position w:val="0"/>
          <w:sz w:val="28"/>
          <w:szCs w:val="28"/>
          <w:highlight w:val="none"/>
        </w:rPr>
        <w:t>专题研究</w:t>
      </w:r>
      <w:r>
        <w:rPr>
          <w:rFonts w:hint="eastAsia" w:ascii="宋体" w:hAnsi="宋体" w:eastAsia="宋体" w:cs="宋体"/>
          <w:b/>
          <w:bCs/>
          <w:color w:val="auto"/>
          <w:spacing w:val="0"/>
          <w:w w:val="100"/>
          <w:position w:val="0"/>
          <w:sz w:val="28"/>
          <w:szCs w:val="28"/>
          <w:highlight w:val="none"/>
          <w:lang w:val="en-US" w:eastAsia="zh-CN"/>
        </w:rPr>
        <w:t>报告分项报价</w:t>
      </w:r>
      <w:r>
        <w:rPr>
          <w:rFonts w:ascii="宋体" w:hAnsi="宋体" w:eastAsia="宋体" w:cs="宋体"/>
          <w:b/>
          <w:bCs/>
          <w:color w:val="auto"/>
          <w:spacing w:val="0"/>
          <w:w w:val="100"/>
          <w:position w:val="0"/>
          <w:sz w:val="28"/>
          <w:szCs w:val="28"/>
          <w:highlight w:val="none"/>
        </w:rPr>
        <w:t>清单</w:t>
      </w:r>
    </w:p>
    <w:p w14:paraId="72CEE171">
      <w:pPr>
        <w:spacing w:before="68" w:line="221" w:lineRule="auto"/>
        <w:jc w:val="left"/>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第</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标段</w:t>
      </w:r>
      <w:r>
        <w:rPr>
          <w:rFonts w:hint="eastAsia" w:ascii="宋体" w:hAnsi="宋体" w:eastAsia="宋体" w:cs="宋体"/>
          <w:color w:val="auto"/>
          <w:spacing w:val="0"/>
          <w:w w:val="100"/>
          <w:position w:val="0"/>
          <w:sz w:val="21"/>
          <w:szCs w:val="21"/>
          <w:highlight w:val="none"/>
          <w:lang w:val="en-US" w:eastAsia="zh-CN"/>
        </w:rPr>
        <w:t xml:space="preserve">                                                            </w:t>
      </w:r>
      <w:r>
        <w:rPr>
          <w:rFonts w:ascii="宋体" w:hAnsi="宋体" w:eastAsia="宋体" w:cs="宋体"/>
          <w:color w:val="auto"/>
          <w:spacing w:val="0"/>
          <w:w w:val="100"/>
          <w:position w:val="0"/>
          <w:sz w:val="21"/>
          <w:szCs w:val="21"/>
          <w:highlight w:val="none"/>
        </w:rPr>
        <w:t>单位：</w:t>
      </w:r>
      <w:r>
        <w:rPr>
          <w:rFonts w:hint="eastAsia" w:ascii="宋体" w:hAnsi="宋体" w:eastAsia="宋体" w:cs="宋体"/>
          <w:color w:val="auto"/>
          <w:spacing w:val="0"/>
          <w:w w:val="100"/>
          <w:position w:val="0"/>
          <w:sz w:val="21"/>
          <w:szCs w:val="21"/>
          <w:highlight w:val="none"/>
          <w:lang w:val="en-US" w:eastAsia="zh-CN"/>
        </w:rPr>
        <w:t xml:space="preserve"> 元（人民币）</w:t>
      </w:r>
    </w:p>
    <w:p w14:paraId="39CD0799">
      <w:pPr>
        <w:spacing w:line="126" w:lineRule="exact"/>
        <w:rPr>
          <w:color w:val="auto"/>
          <w:spacing w:val="0"/>
          <w:w w:val="100"/>
          <w:position w:val="0"/>
          <w:highlight w:val="none"/>
        </w:rPr>
      </w:pPr>
    </w:p>
    <w:tbl>
      <w:tblPr>
        <w:tblStyle w:val="18"/>
        <w:tblW w:w="930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8"/>
        <w:gridCol w:w="3259"/>
        <w:gridCol w:w="1456"/>
        <w:gridCol w:w="1095"/>
        <w:gridCol w:w="1082"/>
        <w:gridCol w:w="1448"/>
      </w:tblGrid>
      <w:tr w14:paraId="30353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4227" w:type="dxa"/>
            <w:gridSpan w:val="2"/>
            <w:vAlign w:val="top"/>
          </w:tcPr>
          <w:p w14:paraId="2AF757A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20" w:lineRule="exact"/>
              <w:ind w:left="1803" w:right="0"/>
              <w:textAlignment w:val="baseline"/>
              <w:rPr>
                <w:rFonts w:hint="default"/>
                <w:b/>
                <w:bCs/>
                <w:color w:val="auto"/>
                <w:spacing w:val="0"/>
                <w:w w:val="100"/>
                <w:position w:val="0"/>
                <w:highlight w:val="none"/>
              </w:rPr>
            </w:pPr>
            <w:r>
              <w:rPr>
                <w:rFonts w:hint="default"/>
                <w:b/>
                <w:bCs/>
                <w:color w:val="auto"/>
                <w:spacing w:val="0"/>
                <w:w w:val="100"/>
                <w:position w:val="0"/>
                <w:highlight w:val="none"/>
              </w:rPr>
              <w:t>项  目</w:t>
            </w:r>
          </w:p>
        </w:tc>
        <w:tc>
          <w:tcPr>
            <w:tcW w:w="1456" w:type="dxa"/>
            <w:vAlign w:val="top"/>
          </w:tcPr>
          <w:p w14:paraId="0D11BB4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20" w:lineRule="exact"/>
              <w:ind w:left="520" w:right="0"/>
              <w:textAlignment w:val="baseline"/>
              <w:rPr>
                <w:rFonts w:hint="default"/>
                <w:b/>
                <w:bCs/>
                <w:color w:val="auto"/>
                <w:spacing w:val="0"/>
                <w:w w:val="100"/>
                <w:position w:val="0"/>
                <w:highlight w:val="none"/>
              </w:rPr>
            </w:pPr>
            <w:r>
              <w:rPr>
                <w:rFonts w:hint="default"/>
                <w:b/>
                <w:bCs/>
                <w:color w:val="auto"/>
                <w:spacing w:val="0"/>
                <w:w w:val="100"/>
                <w:position w:val="0"/>
                <w:highlight w:val="none"/>
              </w:rPr>
              <w:t>单位</w:t>
            </w:r>
          </w:p>
        </w:tc>
        <w:tc>
          <w:tcPr>
            <w:tcW w:w="1095" w:type="dxa"/>
            <w:vAlign w:val="top"/>
          </w:tcPr>
          <w:p w14:paraId="2F61A1F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20" w:lineRule="exact"/>
              <w:ind w:left="344" w:right="0"/>
              <w:textAlignment w:val="baseline"/>
              <w:rPr>
                <w:rFonts w:hint="default"/>
                <w:b/>
                <w:bCs/>
                <w:color w:val="auto"/>
                <w:spacing w:val="0"/>
                <w:w w:val="100"/>
                <w:position w:val="0"/>
                <w:highlight w:val="none"/>
              </w:rPr>
            </w:pPr>
            <w:r>
              <w:rPr>
                <w:rFonts w:hint="default"/>
                <w:b/>
                <w:bCs/>
                <w:color w:val="auto"/>
                <w:spacing w:val="0"/>
                <w:w w:val="100"/>
                <w:position w:val="0"/>
                <w:highlight w:val="none"/>
              </w:rPr>
              <w:t>数量</w:t>
            </w:r>
          </w:p>
        </w:tc>
        <w:tc>
          <w:tcPr>
            <w:tcW w:w="1082" w:type="dxa"/>
            <w:vAlign w:val="top"/>
          </w:tcPr>
          <w:p w14:paraId="57BDB58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20" w:lineRule="exact"/>
              <w:ind w:left="338" w:right="0"/>
              <w:textAlignment w:val="baseline"/>
              <w:rPr>
                <w:rFonts w:hint="default"/>
                <w:b/>
                <w:bCs/>
                <w:color w:val="auto"/>
                <w:spacing w:val="0"/>
                <w:w w:val="100"/>
                <w:position w:val="0"/>
                <w:highlight w:val="none"/>
              </w:rPr>
            </w:pPr>
            <w:r>
              <w:rPr>
                <w:rFonts w:hint="default"/>
                <w:b/>
                <w:bCs/>
                <w:color w:val="auto"/>
                <w:spacing w:val="0"/>
                <w:w w:val="100"/>
                <w:position w:val="0"/>
                <w:highlight w:val="none"/>
              </w:rPr>
              <w:t>单价</w:t>
            </w:r>
          </w:p>
        </w:tc>
        <w:tc>
          <w:tcPr>
            <w:tcW w:w="1448" w:type="dxa"/>
            <w:vAlign w:val="top"/>
          </w:tcPr>
          <w:p w14:paraId="73BAB64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320" w:lineRule="exact"/>
              <w:ind w:left="519" w:right="0"/>
              <w:textAlignment w:val="baseline"/>
              <w:rPr>
                <w:rFonts w:hint="default"/>
                <w:b/>
                <w:bCs/>
                <w:color w:val="auto"/>
                <w:spacing w:val="0"/>
                <w:w w:val="100"/>
                <w:position w:val="0"/>
                <w:highlight w:val="none"/>
              </w:rPr>
            </w:pPr>
            <w:r>
              <w:rPr>
                <w:rFonts w:hint="default"/>
                <w:b/>
                <w:bCs/>
                <w:color w:val="auto"/>
                <w:spacing w:val="0"/>
                <w:w w:val="100"/>
                <w:position w:val="0"/>
                <w:highlight w:val="none"/>
              </w:rPr>
              <w:t>合价</w:t>
            </w:r>
          </w:p>
        </w:tc>
      </w:tr>
      <w:tr w14:paraId="38AC3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3AA3DDC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48"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1</w:t>
            </w:r>
          </w:p>
        </w:tc>
        <w:tc>
          <w:tcPr>
            <w:tcW w:w="3259" w:type="dxa"/>
            <w:vAlign w:val="center"/>
          </w:tcPr>
          <w:p w14:paraId="2FFC69B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土地预审</w:t>
            </w:r>
          </w:p>
        </w:tc>
        <w:tc>
          <w:tcPr>
            <w:tcW w:w="1456" w:type="dxa"/>
            <w:vAlign w:val="center"/>
          </w:tcPr>
          <w:p w14:paraId="0F9C142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项</w:t>
            </w:r>
          </w:p>
        </w:tc>
        <w:tc>
          <w:tcPr>
            <w:tcW w:w="1095" w:type="dxa"/>
            <w:vAlign w:val="center"/>
          </w:tcPr>
          <w:p w14:paraId="2F3D782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4C33450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4243551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0466C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7D2F246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3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2</w:t>
            </w:r>
          </w:p>
        </w:tc>
        <w:tc>
          <w:tcPr>
            <w:tcW w:w="3259" w:type="dxa"/>
            <w:vAlign w:val="center"/>
          </w:tcPr>
          <w:p w14:paraId="4913D3C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自然保护区调整、行政许可等</w:t>
            </w:r>
          </w:p>
        </w:tc>
        <w:tc>
          <w:tcPr>
            <w:tcW w:w="1456" w:type="dxa"/>
            <w:vAlign w:val="center"/>
          </w:tcPr>
          <w:p w14:paraId="0B31019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项</w:t>
            </w:r>
          </w:p>
        </w:tc>
        <w:tc>
          <w:tcPr>
            <w:tcW w:w="1095" w:type="dxa"/>
            <w:vAlign w:val="center"/>
          </w:tcPr>
          <w:p w14:paraId="122B40F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0C5AC46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291BB1C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48C61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5010686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36"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3</w:t>
            </w:r>
          </w:p>
        </w:tc>
        <w:tc>
          <w:tcPr>
            <w:tcW w:w="3259" w:type="dxa"/>
            <w:vAlign w:val="center"/>
          </w:tcPr>
          <w:p w14:paraId="665751F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不可避让生态保护红线论证</w:t>
            </w:r>
          </w:p>
        </w:tc>
        <w:tc>
          <w:tcPr>
            <w:tcW w:w="1456" w:type="dxa"/>
            <w:vAlign w:val="center"/>
          </w:tcPr>
          <w:p w14:paraId="78A19FD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项</w:t>
            </w:r>
          </w:p>
        </w:tc>
        <w:tc>
          <w:tcPr>
            <w:tcW w:w="1095" w:type="dxa"/>
            <w:vAlign w:val="center"/>
          </w:tcPr>
          <w:p w14:paraId="6FC0E63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021D026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5CFEA88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6A5A5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4A767EF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31"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4</w:t>
            </w:r>
          </w:p>
        </w:tc>
        <w:tc>
          <w:tcPr>
            <w:tcW w:w="3259" w:type="dxa"/>
            <w:vAlign w:val="center"/>
          </w:tcPr>
          <w:p w14:paraId="24CB2BC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规划选址论证与土地预审</w:t>
            </w:r>
          </w:p>
        </w:tc>
        <w:tc>
          <w:tcPr>
            <w:tcW w:w="1456" w:type="dxa"/>
            <w:vAlign w:val="center"/>
          </w:tcPr>
          <w:p w14:paraId="6F2FDCE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项</w:t>
            </w:r>
          </w:p>
        </w:tc>
        <w:tc>
          <w:tcPr>
            <w:tcW w:w="1095" w:type="dxa"/>
            <w:vAlign w:val="center"/>
          </w:tcPr>
          <w:p w14:paraId="6A97730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7F134F8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6B6BE8F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06506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3925B321">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36"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5</w:t>
            </w:r>
          </w:p>
        </w:tc>
        <w:tc>
          <w:tcPr>
            <w:tcW w:w="3259" w:type="dxa"/>
            <w:vAlign w:val="center"/>
          </w:tcPr>
          <w:p w14:paraId="20DB80C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社会稳定风险分析</w:t>
            </w:r>
          </w:p>
        </w:tc>
        <w:tc>
          <w:tcPr>
            <w:tcW w:w="1456" w:type="dxa"/>
            <w:vAlign w:val="center"/>
          </w:tcPr>
          <w:p w14:paraId="285C791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项</w:t>
            </w:r>
          </w:p>
        </w:tc>
        <w:tc>
          <w:tcPr>
            <w:tcW w:w="1095" w:type="dxa"/>
            <w:vAlign w:val="center"/>
          </w:tcPr>
          <w:p w14:paraId="13E1743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1D791B9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73045A9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73BAE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50BD7EC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34"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6</w:t>
            </w:r>
          </w:p>
        </w:tc>
        <w:tc>
          <w:tcPr>
            <w:tcW w:w="3259" w:type="dxa"/>
            <w:vAlign w:val="center"/>
          </w:tcPr>
          <w:p w14:paraId="42840E52">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水土保持方案编制</w:t>
            </w:r>
          </w:p>
        </w:tc>
        <w:tc>
          <w:tcPr>
            <w:tcW w:w="1456" w:type="dxa"/>
            <w:vAlign w:val="center"/>
          </w:tcPr>
          <w:p w14:paraId="2D88317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项</w:t>
            </w:r>
          </w:p>
        </w:tc>
        <w:tc>
          <w:tcPr>
            <w:tcW w:w="1095" w:type="dxa"/>
            <w:vAlign w:val="center"/>
          </w:tcPr>
          <w:p w14:paraId="1F560AB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439D679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26D93B3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305BB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3BD9528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37"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7</w:t>
            </w:r>
          </w:p>
        </w:tc>
        <w:tc>
          <w:tcPr>
            <w:tcW w:w="3259" w:type="dxa"/>
            <w:vAlign w:val="center"/>
          </w:tcPr>
          <w:p w14:paraId="671BDA6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环境影响评价</w:t>
            </w:r>
          </w:p>
        </w:tc>
        <w:tc>
          <w:tcPr>
            <w:tcW w:w="1456" w:type="dxa"/>
            <w:vAlign w:val="center"/>
          </w:tcPr>
          <w:p w14:paraId="764A1A1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项</w:t>
            </w:r>
          </w:p>
        </w:tc>
        <w:tc>
          <w:tcPr>
            <w:tcW w:w="1095" w:type="dxa"/>
            <w:vAlign w:val="center"/>
          </w:tcPr>
          <w:p w14:paraId="65B7B88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7E30D098">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723243D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2DC1E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0DC858A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33"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8</w:t>
            </w:r>
          </w:p>
        </w:tc>
        <w:tc>
          <w:tcPr>
            <w:tcW w:w="3259" w:type="dxa"/>
            <w:vAlign w:val="center"/>
          </w:tcPr>
          <w:p w14:paraId="7DEE839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地质灾害评价</w:t>
            </w:r>
          </w:p>
        </w:tc>
        <w:tc>
          <w:tcPr>
            <w:tcW w:w="1456" w:type="dxa"/>
            <w:vAlign w:val="center"/>
          </w:tcPr>
          <w:p w14:paraId="63535EF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项</w:t>
            </w:r>
          </w:p>
        </w:tc>
        <w:tc>
          <w:tcPr>
            <w:tcW w:w="1095" w:type="dxa"/>
            <w:vAlign w:val="center"/>
          </w:tcPr>
          <w:p w14:paraId="0CABA5C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43F4DF5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76BA939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39C31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224DB8F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33"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9</w:t>
            </w:r>
          </w:p>
        </w:tc>
        <w:tc>
          <w:tcPr>
            <w:tcW w:w="3259" w:type="dxa"/>
            <w:vAlign w:val="center"/>
          </w:tcPr>
          <w:p w14:paraId="3140D0B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压覆矿产评估</w:t>
            </w:r>
          </w:p>
        </w:tc>
        <w:tc>
          <w:tcPr>
            <w:tcW w:w="1456" w:type="dxa"/>
            <w:vAlign w:val="center"/>
          </w:tcPr>
          <w:p w14:paraId="26B6091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项</w:t>
            </w:r>
          </w:p>
        </w:tc>
        <w:tc>
          <w:tcPr>
            <w:tcW w:w="1095" w:type="dxa"/>
            <w:vAlign w:val="center"/>
          </w:tcPr>
          <w:p w14:paraId="35DD2FE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5C90590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2ED3223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19EE6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113C8D2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9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10</w:t>
            </w:r>
          </w:p>
        </w:tc>
        <w:tc>
          <w:tcPr>
            <w:tcW w:w="3259" w:type="dxa"/>
            <w:vAlign w:val="center"/>
          </w:tcPr>
          <w:p w14:paraId="6F0050B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文物意见</w:t>
            </w:r>
          </w:p>
        </w:tc>
        <w:tc>
          <w:tcPr>
            <w:tcW w:w="1456" w:type="dxa"/>
            <w:vAlign w:val="center"/>
          </w:tcPr>
          <w:p w14:paraId="1C985634">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62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项</w:t>
            </w:r>
          </w:p>
        </w:tc>
        <w:tc>
          <w:tcPr>
            <w:tcW w:w="1095" w:type="dxa"/>
            <w:vAlign w:val="center"/>
          </w:tcPr>
          <w:p w14:paraId="731D49F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7548F22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4A716F5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6FF66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1B0EDDBE">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95"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11</w:t>
            </w:r>
          </w:p>
        </w:tc>
        <w:tc>
          <w:tcPr>
            <w:tcW w:w="3259" w:type="dxa"/>
            <w:vAlign w:val="center"/>
          </w:tcPr>
          <w:p w14:paraId="630FBD39">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防洪影响评价</w:t>
            </w:r>
          </w:p>
        </w:tc>
        <w:tc>
          <w:tcPr>
            <w:tcW w:w="1456" w:type="dxa"/>
            <w:vAlign w:val="center"/>
          </w:tcPr>
          <w:p w14:paraId="0A0D78D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项</w:t>
            </w:r>
          </w:p>
        </w:tc>
        <w:tc>
          <w:tcPr>
            <w:tcW w:w="1095" w:type="dxa"/>
            <w:vAlign w:val="center"/>
          </w:tcPr>
          <w:p w14:paraId="357AC5B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0EEC4E7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70FAA46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38748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exact"/>
          <w:jc w:val="center"/>
        </w:trPr>
        <w:tc>
          <w:tcPr>
            <w:tcW w:w="968" w:type="dxa"/>
            <w:vAlign w:val="center"/>
          </w:tcPr>
          <w:p w14:paraId="615A44C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95" w:leftChars="0" w:right="0" w:rightChars="0"/>
              <w:jc w:val="both"/>
              <w:textAlignment w:val="baseline"/>
              <w:rPr>
                <w:rFonts w:hint="default" w:eastAsia="宋体"/>
                <w:color w:val="auto"/>
                <w:spacing w:val="0"/>
                <w:w w:val="100"/>
                <w:position w:val="0"/>
                <w:highlight w:val="none"/>
                <w:lang w:val="en-US" w:eastAsia="zh-CN"/>
              </w:rPr>
            </w:pPr>
            <w:r>
              <w:rPr>
                <w:rFonts w:hint="eastAsia"/>
                <w:color w:val="auto"/>
                <w:spacing w:val="0"/>
                <w:w w:val="100"/>
                <w:position w:val="0"/>
                <w:highlight w:val="none"/>
                <w:lang w:val="en-US" w:eastAsia="zh-CN"/>
              </w:rPr>
              <w:t>12</w:t>
            </w:r>
          </w:p>
        </w:tc>
        <w:tc>
          <w:tcPr>
            <w:tcW w:w="3259" w:type="dxa"/>
            <w:vAlign w:val="center"/>
          </w:tcPr>
          <w:p w14:paraId="730D591F">
            <w:pPr>
              <w:pStyle w:val="10"/>
              <w:keepNext w:val="0"/>
              <w:keepLines w:val="0"/>
              <w:widowControl/>
              <w:suppressLineNumbers w:val="0"/>
              <w:spacing w:before="0" w:beforeAutospacing="0" w:after="0" w:afterAutospacing="0"/>
              <w:ind w:left="0" w:right="0"/>
              <w:jc w:val="center"/>
              <w:rPr>
                <w:rFonts w:hint="default"/>
                <w:color w:val="auto"/>
                <w:spacing w:val="0"/>
                <w:w w:val="100"/>
                <w:position w:val="0"/>
                <w:highlight w:val="none"/>
              </w:rPr>
            </w:pPr>
            <w:r>
              <w:rPr>
                <w:rFonts w:ascii="Segoe UI" w:hAnsi="Segoe UI" w:eastAsia="Segoe UI" w:cs="Segoe UI"/>
                <w:i w:val="0"/>
                <w:iCs w:val="0"/>
                <w:caps w:val="0"/>
                <w:color w:val="auto"/>
                <w:spacing w:val="0"/>
                <w:sz w:val="21"/>
                <w:szCs w:val="21"/>
                <w:highlight w:val="none"/>
                <w:shd w:val="clear" w:fill="FFFFFF"/>
              </w:rPr>
              <w:t>专项地质评价</w:t>
            </w:r>
          </w:p>
        </w:tc>
        <w:tc>
          <w:tcPr>
            <w:tcW w:w="1456" w:type="dxa"/>
            <w:vAlign w:val="center"/>
          </w:tcPr>
          <w:p w14:paraId="70CE14FA">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rightChars="0"/>
              <w:jc w:val="center"/>
              <w:textAlignment w:val="baseline"/>
              <w:rPr>
                <w:rFonts w:hint="default"/>
                <w:color w:val="auto"/>
                <w:spacing w:val="0"/>
                <w:w w:val="100"/>
                <w:position w:val="0"/>
                <w:highlight w:val="none"/>
              </w:rPr>
            </w:pPr>
            <w:r>
              <w:rPr>
                <w:rFonts w:hint="default"/>
                <w:color w:val="auto"/>
                <w:spacing w:val="0"/>
                <w:w w:val="100"/>
                <w:position w:val="0"/>
                <w:highlight w:val="none"/>
              </w:rPr>
              <w:t>项</w:t>
            </w:r>
          </w:p>
        </w:tc>
        <w:tc>
          <w:tcPr>
            <w:tcW w:w="1095" w:type="dxa"/>
            <w:vAlign w:val="center"/>
          </w:tcPr>
          <w:p w14:paraId="6B4DAE2D">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6F46671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6B94F2A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3E6A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44A10BD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95" w:leftChars="0" w:right="0" w:rightChars="0"/>
              <w:jc w:val="both"/>
              <w:textAlignment w:val="baseline"/>
              <w:rPr>
                <w:rFonts w:hint="default" w:eastAsia="宋体"/>
                <w:color w:val="auto"/>
                <w:spacing w:val="0"/>
                <w:w w:val="100"/>
                <w:position w:val="0"/>
                <w:highlight w:val="none"/>
                <w:lang w:val="en-US" w:eastAsia="zh-CN"/>
              </w:rPr>
            </w:pPr>
            <w:r>
              <w:rPr>
                <w:rFonts w:hint="eastAsia"/>
                <w:color w:val="auto"/>
                <w:spacing w:val="0"/>
                <w:w w:val="100"/>
                <w:position w:val="0"/>
                <w:highlight w:val="none"/>
                <w:lang w:val="en-US" w:eastAsia="zh-CN"/>
              </w:rPr>
              <w:t>13</w:t>
            </w:r>
          </w:p>
        </w:tc>
        <w:tc>
          <w:tcPr>
            <w:tcW w:w="3259" w:type="dxa"/>
            <w:vAlign w:val="center"/>
          </w:tcPr>
          <w:p w14:paraId="2A1AC88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default"/>
                <w:color w:val="auto"/>
                <w:spacing w:val="0"/>
                <w:w w:val="100"/>
                <w:position w:val="0"/>
                <w:highlight w:val="none"/>
              </w:rPr>
            </w:pPr>
            <w:r>
              <w:rPr>
                <w:rFonts w:hint="default" w:ascii="Segoe UI" w:hAnsi="Segoe UI" w:eastAsia="Segoe UI" w:cs="Segoe UI"/>
                <w:i w:val="0"/>
                <w:iCs w:val="0"/>
                <w:caps w:val="0"/>
                <w:color w:val="auto"/>
                <w:spacing w:val="0"/>
                <w:sz w:val="21"/>
                <w:szCs w:val="21"/>
                <w:highlight w:val="none"/>
                <w:shd w:val="clear" w:fill="FFFFFF"/>
              </w:rPr>
              <w:t>风险灾害评估</w:t>
            </w:r>
          </w:p>
        </w:tc>
        <w:tc>
          <w:tcPr>
            <w:tcW w:w="1456" w:type="dxa"/>
            <w:vAlign w:val="center"/>
          </w:tcPr>
          <w:p w14:paraId="26AAB534">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rightChars="0"/>
              <w:jc w:val="center"/>
              <w:textAlignment w:val="baseline"/>
              <w:rPr>
                <w:rFonts w:hint="default"/>
                <w:color w:val="auto"/>
                <w:spacing w:val="0"/>
                <w:w w:val="100"/>
                <w:position w:val="0"/>
                <w:highlight w:val="none"/>
              </w:rPr>
            </w:pPr>
            <w:r>
              <w:rPr>
                <w:rFonts w:hint="default"/>
                <w:color w:val="auto"/>
                <w:spacing w:val="0"/>
                <w:w w:val="100"/>
                <w:position w:val="0"/>
                <w:highlight w:val="none"/>
              </w:rPr>
              <w:t>项</w:t>
            </w:r>
          </w:p>
        </w:tc>
        <w:tc>
          <w:tcPr>
            <w:tcW w:w="1095" w:type="dxa"/>
            <w:vAlign w:val="center"/>
          </w:tcPr>
          <w:p w14:paraId="6D1CB5D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68FADAA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4C53752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7A62A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477CB03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95" w:leftChars="0" w:right="0" w:rightChars="0"/>
              <w:jc w:val="both"/>
              <w:textAlignment w:val="baseline"/>
              <w:rPr>
                <w:rFonts w:hint="default" w:eastAsia="宋体"/>
                <w:color w:val="auto"/>
                <w:spacing w:val="0"/>
                <w:w w:val="100"/>
                <w:position w:val="0"/>
                <w:highlight w:val="none"/>
                <w:lang w:val="en-US" w:eastAsia="zh-CN"/>
              </w:rPr>
            </w:pPr>
            <w:r>
              <w:rPr>
                <w:rFonts w:hint="eastAsia"/>
                <w:color w:val="auto"/>
                <w:spacing w:val="0"/>
                <w:w w:val="100"/>
                <w:position w:val="0"/>
                <w:highlight w:val="none"/>
                <w:lang w:val="en-US" w:eastAsia="zh-CN"/>
              </w:rPr>
              <w:t>14</w:t>
            </w:r>
          </w:p>
        </w:tc>
        <w:tc>
          <w:tcPr>
            <w:tcW w:w="3259" w:type="dxa"/>
            <w:vAlign w:val="center"/>
          </w:tcPr>
          <w:p w14:paraId="6B31B295">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default"/>
                <w:color w:val="auto"/>
                <w:spacing w:val="0"/>
                <w:w w:val="100"/>
                <w:position w:val="0"/>
                <w:highlight w:val="none"/>
              </w:rPr>
            </w:pPr>
            <w:r>
              <w:rPr>
                <w:rFonts w:hint="default" w:ascii="Segoe UI" w:hAnsi="Segoe UI" w:eastAsia="Segoe UI" w:cs="Segoe UI"/>
                <w:i w:val="0"/>
                <w:iCs w:val="0"/>
                <w:caps w:val="0"/>
                <w:color w:val="auto"/>
                <w:spacing w:val="0"/>
                <w:sz w:val="21"/>
                <w:szCs w:val="21"/>
                <w:highlight w:val="none"/>
                <w:shd w:val="clear" w:fill="FFFFFF"/>
              </w:rPr>
              <w:t>安全隐患排查</w:t>
            </w:r>
          </w:p>
        </w:tc>
        <w:tc>
          <w:tcPr>
            <w:tcW w:w="1456" w:type="dxa"/>
            <w:vAlign w:val="center"/>
          </w:tcPr>
          <w:p w14:paraId="6BFF7B3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rightChars="0"/>
              <w:jc w:val="center"/>
              <w:textAlignment w:val="baseline"/>
              <w:rPr>
                <w:rFonts w:hint="default"/>
                <w:color w:val="auto"/>
                <w:spacing w:val="0"/>
                <w:w w:val="100"/>
                <w:position w:val="0"/>
                <w:highlight w:val="none"/>
              </w:rPr>
            </w:pPr>
            <w:r>
              <w:rPr>
                <w:rFonts w:hint="default"/>
                <w:color w:val="auto"/>
                <w:spacing w:val="0"/>
                <w:w w:val="100"/>
                <w:position w:val="0"/>
                <w:highlight w:val="none"/>
              </w:rPr>
              <w:t>项</w:t>
            </w:r>
          </w:p>
        </w:tc>
        <w:tc>
          <w:tcPr>
            <w:tcW w:w="1095" w:type="dxa"/>
            <w:vAlign w:val="center"/>
          </w:tcPr>
          <w:p w14:paraId="220DA97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00AA385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7A650E2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03A3A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68654F80">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95" w:leftChars="0" w:right="0" w:rightChars="0"/>
              <w:jc w:val="both"/>
              <w:textAlignment w:val="baseline"/>
              <w:rPr>
                <w:rFonts w:hint="default" w:eastAsia="宋体"/>
                <w:color w:val="auto"/>
                <w:spacing w:val="0"/>
                <w:w w:val="100"/>
                <w:position w:val="0"/>
                <w:highlight w:val="none"/>
                <w:lang w:val="en-US" w:eastAsia="zh-CN"/>
              </w:rPr>
            </w:pPr>
            <w:r>
              <w:rPr>
                <w:rFonts w:hint="eastAsia"/>
                <w:color w:val="auto"/>
                <w:spacing w:val="0"/>
                <w:w w:val="100"/>
                <w:position w:val="0"/>
                <w:highlight w:val="none"/>
                <w:lang w:val="en-US" w:eastAsia="zh-CN"/>
              </w:rPr>
              <w:t>15</w:t>
            </w:r>
          </w:p>
        </w:tc>
        <w:tc>
          <w:tcPr>
            <w:tcW w:w="3259" w:type="dxa"/>
            <w:vAlign w:val="center"/>
          </w:tcPr>
          <w:p w14:paraId="5384EFD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default" w:eastAsia="宋体"/>
                <w:color w:val="auto"/>
                <w:spacing w:val="0"/>
                <w:w w:val="100"/>
                <w:position w:val="0"/>
                <w:highlight w:val="none"/>
                <w:lang w:val="en-US" w:eastAsia="zh-CN"/>
              </w:rPr>
            </w:pPr>
            <w:r>
              <w:rPr>
                <w:rFonts w:hint="eastAsia"/>
                <w:color w:val="auto"/>
                <w:spacing w:val="0"/>
                <w:w w:val="100"/>
                <w:position w:val="0"/>
                <w:highlight w:val="none"/>
                <w:lang w:val="en-US" w:eastAsia="zh-CN"/>
              </w:rPr>
              <w:t>气候可行性论证</w:t>
            </w:r>
          </w:p>
        </w:tc>
        <w:tc>
          <w:tcPr>
            <w:tcW w:w="1456" w:type="dxa"/>
            <w:vAlign w:val="center"/>
          </w:tcPr>
          <w:p w14:paraId="064AD40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rightChars="0"/>
              <w:jc w:val="center"/>
              <w:textAlignment w:val="baseline"/>
              <w:rPr>
                <w:rFonts w:hint="default"/>
                <w:color w:val="auto"/>
                <w:spacing w:val="0"/>
                <w:w w:val="100"/>
                <w:position w:val="0"/>
                <w:highlight w:val="none"/>
              </w:rPr>
            </w:pPr>
            <w:r>
              <w:rPr>
                <w:rFonts w:hint="default"/>
                <w:color w:val="auto"/>
                <w:spacing w:val="0"/>
                <w:w w:val="100"/>
                <w:position w:val="0"/>
                <w:highlight w:val="none"/>
              </w:rPr>
              <w:t>项</w:t>
            </w:r>
          </w:p>
        </w:tc>
        <w:tc>
          <w:tcPr>
            <w:tcW w:w="1095" w:type="dxa"/>
            <w:vAlign w:val="center"/>
          </w:tcPr>
          <w:p w14:paraId="74F02BB5">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34D645E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064B2D0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188BB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435AE1E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95" w:leftChars="0" w:right="0" w:rightChars="0"/>
              <w:jc w:val="both"/>
              <w:textAlignment w:val="baseline"/>
              <w:rPr>
                <w:rFonts w:hint="default" w:eastAsia="宋体"/>
                <w:color w:val="auto"/>
                <w:spacing w:val="0"/>
                <w:w w:val="100"/>
                <w:position w:val="0"/>
                <w:highlight w:val="none"/>
                <w:lang w:val="en-US" w:eastAsia="zh-CN"/>
              </w:rPr>
            </w:pPr>
            <w:r>
              <w:rPr>
                <w:rFonts w:hint="eastAsia"/>
                <w:color w:val="auto"/>
                <w:spacing w:val="0"/>
                <w:w w:val="100"/>
                <w:position w:val="0"/>
                <w:highlight w:val="none"/>
                <w:lang w:val="en-US" w:eastAsia="zh-CN"/>
              </w:rPr>
              <w:t>16</w:t>
            </w:r>
          </w:p>
        </w:tc>
        <w:tc>
          <w:tcPr>
            <w:tcW w:w="3259" w:type="dxa"/>
            <w:vAlign w:val="center"/>
          </w:tcPr>
          <w:p w14:paraId="684E124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default" w:eastAsia="宋体"/>
                <w:color w:val="auto"/>
                <w:spacing w:val="0"/>
                <w:w w:val="100"/>
                <w:position w:val="0"/>
                <w:highlight w:val="none"/>
                <w:lang w:val="en-US" w:eastAsia="zh-CN"/>
              </w:rPr>
            </w:pPr>
            <w:r>
              <w:rPr>
                <w:rFonts w:hint="eastAsia"/>
                <w:color w:val="auto"/>
                <w:spacing w:val="0"/>
                <w:w w:val="100"/>
                <w:position w:val="0"/>
                <w:highlight w:val="none"/>
                <w:lang w:val="en-US" w:eastAsia="zh-CN"/>
              </w:rPr>
              <w:t>水文站影响评价</w:t>
            </w:r>
          </w:p>
        </w:tc>
        <w:tc>
          <w:tcPr>
            <w:tcW w:w="1456" w:type="dxa"/>
            <w:vAlign w:val="center"/>
          </w:tcPr>
          <w:p w14:paraId="6758B095">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rightChars="0"/>
              <w:jc w:val="center"/>
              <w:textAlignment w:val="baseline"/>
              <w:rPr>
                <w:rFonts w:hint="eastAsia" w:eastAsia="宋体"/>
                <w:color w:val="auto"/>
                <w:spacing w:val="0"/>
                <w:w w:val="100"/>
                <w:position w:val="0"/>
                <w:highlight w:val="none"/>
                <w:lang w:val="en-US" w:eastAsia="zh-CN"/>
              </w:rPr>
            </w:pPr>
            <w:r>
              <w:rPr>
                <w:rFonts w:hint="default"/>
                <w:color w:val="auto"/>
                <w:spacing w:val="0"/>
                <w:w w:val="100"/>
                <w:position w:val="0"/>
                <w:highlight w:val="none"/>
              </w:rPr>
              <w:t>项</w:t>
            </w:r>
          </w:p>
        </w:tc>
        <w:tc>
          <w:tcPr>
            <w:tcW w:w="1095" w:type="dxa"/>
            <w:vAlign w:val="center"/>
          </w:tcPr>
          <w:p w14:paraId="193107F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27ED7F27">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34D1523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06185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6E9DE1CA">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395" w:leftChars="0" w:right="0" w:rightChars="0"/>
              <w:jc w:val="both"/>
              <w:textAlignment w:val="baseline"/>
              <w:rPr>
                <w:rFonts w:hint="default" w:eastAsia="宋体"/>
                <w:color w:val="auto"/>
                <w:spacing w:val="0"/>
                <w:w w:val="100"/>
                <w:position w:val="0"/>
                <w:highlight w:val="none"/>
                <w:lang w:val="en-US" w:eastAsia="zh-CN"/>
              </w:rPr>
            </w:pPr>
            <w:r>
              <w:rPr>
                <w:rFonts w:hint="eastAsia"/>
                <w:color w:val="auto"/>
                <w:spacing w:val="0"/>
                <w:w w:val="100"/>
                <w:position w:val="0"/>
                <w:highlight w:val="none"/>
                <w:lang w:val="en-US" w:eastAsia="zh-CN"/>
              </w:rPr>
              <w:t>17</w:t>
            </w:r>
          </w:p>
        </w:tc>
        <w:tc>
          <w:tcPr>
            <w:tcW w:w="3259" w:type="dxa"/>
            <w:vAlign w:val="center"/>
          </w:tcPr>
          <w:p w14:paraId="4A2EB74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default" w:eastAsia="宋体"/>
                <w:color w:val="auto"/>
                <w:spacing w:val="0"/>
                <w:w w:val="100"/>
                <w:position w:val="0"/>
                <w:highlight w:val="none"/>
                <w:lang w:val="en-US" w:eastAsia="zh-CN"/>
              </w:rPr>
            </w:pPr>
            <w:r>
              <w:rPr>
                <w:rFonts w:hint="eastAsia"/>
                <w:color w:val="auto"/>
                <w:spacing w:val="0"/>
                <w:w w:val="100"/>
                <w:position w:val="0"/>
                <w:highlight w:val="none"/>
                <w:lang w:val="en-US" w:eastAsia="zh-CN"/>
              </w:rPr>
              <w:t>表土玻璃方案</w:t>
            </w:r>
          </w:p>
        </w:tc>
        <w:tc>
          <w:tcPr>
            <w:tcW w:w="1456" w:type="dxa"/>
            <w:vAlign w:val="center"/>
          </w:tcPr>
          <w:p w14:paraId="21C847A9">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rightChars="0"/>
              <w:jc w:val="center"/>
              <w:textAlignment w:val="baseline"/>
              <w:rPr>
                <w:rFonts w:hint="default"/>
                <w:color w:val="auto"/>
                <w:spacing w:val="0"/>
                <w:w w:val="100"/>
                <w:position w:val="0"/>
                <w:highlight w:val="none"/>
              </w:rPr>
            </w:pPr>
            <w:r>
              <w:rPr>
                <w:rFonts w:hint="default"/>
                <w:color w:val="auto"/>
                <w:spacing w:val="0"/>
                <w:w w:val="100"/>
                <w:position w:val="0"/>
                <w:highlight w:val="none"/>
              </w:rPr>
              <w:t>项</w:t>
            </w:r>
          </w:p>
        </w:tc>
        <w:tc>
          <w:tcPr>
            <w:tcW w:w="1095" w:type="dxa"/>
            <w:vAlign w:val="center"/>
          </w:tcPr>
          <w:p w14:paraId="05F76D60">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310B10E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0132881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62DD7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58E08BBB">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176"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w:t>
            </w:r>
          </w:p>
        </w:tc>
        <w:tc>
          <w:tcPr>
            <w:tcW w:w="3259" w:type="dxa"/>
            <w:vAlign w:val="center"/>
          </w:tcPr>
          <w:p w14:paraId="510FAFB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1267"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w:t>
            </w:r>
          </w:p>
        </w:tc>
        <w:tc>
          <w:tcPr>
            <w:tcW w:w="1456" w:type="dxa"/>
            <w:vAlign w:val="center"/>
          </w:tcPr>
          <w:p w14:paraId="3246733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19"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w:t>
            </w:r>
          </w:p>
        </w:tc>
        <w:tc>
          <w:tcPr>
            <w:tcW w:w="1095" w:type="dxa"/>
            <w:vAlign w:val="center"/>
          </w:tcPr>
          <w:p w14:paraId="2637DF3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3B25224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1FDE0D03">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637D7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4227" w:type="dxa"/>
            <w:gridSpan w:val="2"/>
            <w:vAlign w:val="center"/>
          </w:tcPr>
          <w:p w14:paraId="15538507">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1907"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其他</w:t>
            </w:r>
          </w:p>
        </w:tc>
        <w:tc>
          <w:tcPr>
            <w:tcW w:w="1456" w:type="dxa"/>
            <w:vAlign w:val="center"/>
          </w:tcPr>
          <w:p w14:paraId="2A8C1D01">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p>
        </w:tc>
        <w:tc>
          <w:tcPr>
            <w:tcW w:w="1095" w:type="dxa"/>
            <w:vAlign w:val="center"/>
          </w:tcPr>
          <w:p w14:paraId="5D3B141F">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5FC4CF9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407B9162">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76D46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356349D8">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48"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1</w:t>
            </w:r>
          </w:p>
        </w:tc>
        <w:tc>
          <w:tcPr>
            <w:tcW w:w="3259" w:type="dxa"/>
            <w:vAlign w:val="center"/>
          </w:tcPr>
          <w:p w14:paraId="16724F0C">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999"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土地组卷报批</w:t>
            </w:r>
          </w:p>
        </w:tc>
        <w:tc>
          <w:tcPr>
            <w:tcW w:w="1456" w:type="dxa"/>
            <w:vAlign w:val="center"/>
          </w:tcPr>
          <w:p w14:paraId="767B57B8">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p>
        </w:tc>
        <w:tc>
          <w:tcPr>
            <w:tcW w:w="1095" w:type="dxa"/>
            <w:vAlign w:val="center"/>
          </w:tcPr>
          <w:p w14:paraId="0E5C613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4FE4F31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3805385C">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041F6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58BE7D4D">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35"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2</w:t>
            </w:r>
          </w:p>
        </w:tc>
        <w:tc>
          <w:tcPr>
            <w:tcW w:w="3259" w:type="dxa"/>
            <w:vAlign w:val="center"/>
          </w:tcPr>
          <w:p w14:paraId="7A680EEB">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p>
        </w:tc>
        <w:tc>
          <w:tcPr>
            <w:tcW w:w="1456" w:type="dxa"/>
            <w:vAlign w:val="center"/>
          </w:tcPr>
          <w:p w14:paraId="41A5692E">
            <w:pPr>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leftChars="0" w:right="0" w:rightChars="0"/>
              <w:jc w:val="center"/>
              <w:textAlignment w:val="baseline"/>
              <w:rPr>
                <w:rFonts w:hint="eastAsia" w:ascii="宋体" w:hAnsi="宋体" w:eastAsia="宋体" w:cs="宋体"/>
                <w:color w:val="auto"/>
                <w:spacing w:val="0"/>
                <w:w w:val="100"/>
                <w:position w:val="0"/>
                <w:sz w:val="21"/>
                <w:szCs w:val="21"/>
                <w:highlight w:val="none"/>
              </w:rPr>
            </w:pPr>
          </w:p>
        </w:tc>
        <w:tc>
          <w:tcPr>
            <w:tcW w:w="1095" w:type="dxa"/>
            <w:vAlign w:val="center"/>
          </w:tcPr>
          <w:p w14:paraId="691D9D5A">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0E6FF74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136CA6E1">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3D6C4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260847F6">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176"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w:t>
            </w:r>
          </w:p>
        </w:tc>
        <w:tc>
          <w:tcPr>
            <w:tcW w:w="3259" w:type="dxa"/>
            <w:vAlign w:val="center"/>
          </w:tcPr>
          <w:p w14:paraId="6BB8212F">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1267" w:leftChars="0" w:right="0" w:rightChars="0"/>
              <w:jc w:val="both"/>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w:t>
            </w:r>
          </w:p>
        </w:tc>
        <w:tc>
          <w:tcPr>
            <w:tcW w:w="1456" w:type="dxa"/>
            <w:vAlign w:val="center"/>
          </w:tcPr>
          <w:p w14:paraId="68A570E3">
            <w:pPr>
              <w:pStyle w:val="1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after="0" w:afterAutospacing="0" w:line="400" w:lineRule="exact"/>
              <w:ind w:left="419" w:leftChars="0" w:right="0" w:rightChars="0"/>
              <w:jc w:val="center"/>
              <w:textAlignment w:val="baseline"/>
              <w:rPr>
                <w:rFonts w:hint="eastAsia" w:ascii="宋体" w:hAnsi="宋体" w:eastAsia="宋体" w:cs="宋体"/>
                <w:color w:val="auto"/>
                <w:spacing w:val="0"/>
                <w:w w:val="100"/>
                <w:position w:val="0"/>
                <w:sz w:val="21"/>
                <w:szCs w:val="21"/>
                <w:highlight w:val="none"/>
              </w:rPr>
            </w:pPr>
            <w:r>
              <w:rPr>
                <w:rFonts w:hint="default"/>
                <w:color w:val="auto"/>
                <w:spacing w:val="0"/>
                <w:w w:val="100"/>
                <w:position w:val="0"/>
                <w:highlight w:val="none"/>
              </w:rPr>
              <w:t>......</w:t>
            </w:r>
          </w:p>
        </w:tc>
        <w:tc>
          <w:tcPr>
            <w:tcW w:w="1095" w:type="dxa"/>
            <w:vAlign w:val="center"/>
          </w:tcPr>
          <w:p w14:paraId="7C822F3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74DF5D2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48BBAD0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r w14:paraId="78798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exact"/>
          <w:jc w:val="center"/>
        </w:trPr>
        <w:tc>
          <w:tcPr>
            <w:tcW w:w="968" w:type="dxa"/>
            <w:vAlign w:val="center"/>
          </w:tcPr>
          <w:p w14:paraId="3F02E049">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3259" w:type="dxa"/>
            <w:vAlign w:val="center"/>
          </w:tcPr>
          <w:p w14:paraId="67B46BBC">
            <w:pPr>
              <w:pStyle w:val="19"/>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小   计</w:t>
            </w:r>
          </w:p>
        </w:tc>
        <w:tc>
          <w:tcPr>
            <w:tcW w:w="1456" w:type="dxa"/>
            <w:vAlign w:val="center"/>
          </w:tcPr>
          <w:p w14:paraId="503C9484">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95" w:type="dxa"/>
            <w:vAlign w:val="center"/>
          </w:tcPr>
          <w:p w14:paraId="5A998AEE">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082" w:type="dxa"/>
            <w:vAlign w:val="center"/>
          </w:tcPr>
          <w:p w14:paraId="47E1B70B">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c>
          <w:tcPr>
            <w:tcW w:w="1448" w:type="dxa"/>
            <w:vAlign w:val="center"/>
          </w:tcPr>
          <w:p w14:paraId="22480866">
            <w:pPr>
              <w:keepNext w:val="0"/>
              <w:keepLines w:val="0"/>
              <w:pageBreakBefore w:val="0"/>
              <w:widowControl w:val="0"/>
              <w:suppressLineNumbers w:val="0"/>
              <w:kinsoku w:val="0"/>
              <w:wordWrap/>
              <w:overflowPunct/>
              <w:topLinePunct w:val="0"/>
              <w:autoSpaceDE w:val="0"/>
              <w:autoSpaceDN w:val="0"/>
              <w:bidi w:val="0"/>
              <w:adjustRightInd w:val="0"/>
              <w:snapToGrid w:val="0"/>
              <w:spacing w:before="0" w:beforeAutospacing="0" w:after="0" w:afterAutospacing="0" w:line="320" w:lineRule="exact"/>
              <w:ind w:left="0" w:right="0"/>
              <w:jc w:val="center"/>
              <w:textAlignment w:val="baseline"/>
              <w:rPr>
                <w:rFonts w:hint="eastAsia" w:ascii="宋体" w:hAnsi="宋体" w:eastAsia="宋体" w:cs="宋体"/>
                <w:color w:val="auto"/>
                <w:spacing w:val="0"/>
                <w:w w:val="100"/>
                <w:position w:val="0"/>
                <w:sz w:val="21"/>
                <w:szCs w:val="21"/>
                <w:highlight w:val="none"/>
              </w:rPr>
            </w:pPr>
          </w:p>
        </w:tc>
      </w:tr>
    </w:tbl>
    <w:p w14:paraId="0769F23D">
      <w:pPr>
        <w:rPr>
          <w:rFonts w:ascii="Arial"/>
          <w:color w:val="auto"/>
          <w:spacing w:val="0"/>
          <w:w w:val="100"/>
          <w:position w:val="0"/>
          <w:sz w:val="21"/>
          <w:highlight w:val="none"/>
        </w:rPr>
      </w:pPr>
    </w:p>
    <w:p w14:paraId="4AF3FCDB">
      <w:pPr>
        <w:keepNext w:val="0"/>
        <w:keepLines w:val="0"/>
        <w:pageBreakBefore w:val="0"/>
        <w:widowControl/>
        <w:kinsoku w:val="0"/>
        <w:wordWrap/>
        <w:overflowPunct/>
        <w:topLinePunct w:val="0"/>
        <w:autoSpaceDE w:val="0"/>
        <w:autoSpaceDN w:val="0"/>
        <w:bidi w:val="0"/>
        <w:adjustRightInd w:val="0"/>
        <w:snapToGrid w:val="0"/>
        <w:spacing w:line="320" w:lineRule="exact"/>
        <w:ind w:left="40" w:right="24" w:hanging="3"/>
        <w:jc w:val="both"/>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注：1.本清单格式仅为示例，投标人应根据本招标项目工程特点，按照规范及合同条款的相关规定，核实工程可行性研究工作内容及工作量，分别列出并填写本表各工程可行性研究项目的分项及子项。</w:t>
      </w:r>
    </w:p>
    <w:p w14:paraId="7BD1615D">
      <w:pPr>
        <w:keepNext w:val="0"/>
        <w:keepLines w:val="0"/>
        <w:pageBreakBefore w:val="0"/>
        <w:widowControl/>
        <w:kinsoku w:val="0"/>
        <w:wordWrap/>
        <w:overflowPunct/>
        <w:topLinePunct w:val="0"/>
        <w:autoSpaceDE w:val="0"/>
        <w:autoSpaceDN w:val="0"/>
        <w:bidi w:val="0"/>
        <w:adjustRightInd w:val="0"/>
        <w:snapToGrid w:val="0"/>
        <w:spacing w:line="320" w:lineRule="exact"/>
        <w:ind w:left="38" w:right="26"/>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2.投标人应将详细的计算说明（包括每一分项、子项的计算依据及计算过程等）附在报价清单后面，各项报价应包含评审费、论证费、报批费等一切费用。</w:t>
      </w:r>
    </w:p>
    <w:p w14:paraId="33E3763B">
      <w:pPr>
        <w:keepNext w:val="0"/>
        <w:keepLines w:val="0"/>
        <w:pageBreakBefore w:val="0"/>
        <w:widowControl/>
        <w:kinsoku w:val="0"/>
        <w:wordWrap/>
        <w:overflowPunct/>
        <w:topLinePunct w:val="0"/>
        <w:autoSpaceDE w:val="0"/>
        <w:autoSpaceDN w:val="0"/>
        <w:bidi w:val="0"/>
        <w:adjustRightInd w:val="0"/>
        <w:snapToGrid w:val="0"/>
        <w:spacing w:line="320" w:lineRule="exact"/>
        <w:ind w:left="22" w:right="27" w:firstLine="18"/>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本清单表中“其它”是指开展工程可行性研究实际需要或提供相关服务收取的在其他分项中未能包含的所有费用。对于本清单未列出、但投标人认为应该列入的子项，请一并列入“其它费用”分项，并在其备注栏注明子项名称和相应工作内容。</w:t>
      </w:r>
    </w:p>
    <w:p w14:paraId="711D5866">
      <w:pPr>
        <w:keepNext w:val="0"/>
        <w:keepLines w:val="0"/>
        <w:pageBreakBefore w:val="0"/>
        <w:widowControl/>
        <w:kinsoku w:val="0"/>
        <w:wordWrap/>
        <w:overflowPunct/>
        <w:topLinePunct w:val="0"/>
        <w:autoSpaceDE w:val="0"/>
        <w:autoSpaceDN w:val="0"/>
        <w:bidi w:val="0"/>
        <w:adjustRightInd w:val="0"/>
        <w:snapToGrid w:val="0"/>
        <w:spacing w:line="320" w:lineRule="exact"/>
        <w:ind w:left="35" w:right="2"/>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专题研究清单表”中列明的各项支撑性专题结合项目实际开展情况，取得批复的专题按清单报价进行支付。如项目在路线方案研究分析后无法实施，或部分相应支撑性专题未开展，则按清单报价扣除该费用，不予以支付。未在报价文件的“专题研究清单表”中列明的，但后期服务中可能涉及开展的其他专题费用投标人因综合考虑在投标报价中，不另行支付。</w:t>
      </w:r>
    </w:p>
    <w:p w14:paraId="24D87BFD">
      <w:pPr>
        <w:spacing w:line="234" w:lineRule="auto"/>
        <w:rPr>
          <w:rFonts w:ascii="宋体" w:hAnsi="宋体" w:eastAsia="宋体" w:cs="宋体"/>
          <w:color w:val="auto"/>
          <w:spacing w:val="0"/>
          <w:w w:val="100"/>
          <w:position w:val="0"/>
          <w:sz w:val="21"/>
          <w:szCs w:val="21"/>
          <w:highlight w:val="none"/>
        </w:rPr>
        <w:sectPr>
          <w:headerReference r:id="rId91" w:type="default"/>
          <w:footerReference r:id="rId92" w:type="default"/>
          <w:pgSz w:w="11900" w:h="16843"/>
          <w:pgMar w:top="1378" w:right="1417" w:bottom="1208" w:left="1417" w:header="1366" w:footer="1003" w:gutter="0"/>
          <w:pgNumType w:fmt="decimal"/>
          <w:cols w:space="0" w:num="1"/>
          <w:rtlGutter w:val="0"/>
          <w:docGrid w:linePitch="0" w:charSpace="0"/>
        </w:sectPr>
      </w:pPr>
    </w:p>
    <w:p w14:paraId="18002546">
      <w:pPr>
        <w:spacing w:before="91" w:line="219" w:lineRule="auto"/>
        <w:ind w:left="1377"/>
        <w:outlineLvl w:val="1"/>
        <w:rPr>
          <w:rFonts w:ascii="宋体" w:hAnsi="宋体" w:eastAsia="宋体" w:cs="宋体"/>
          <w:color w:val="auto"/>
          <w:spacing w:val="0"/>
          <w:w w:val="100"/>
          <w:position w:val="0"/>
          <w:sz w:val="28"/>
          <w:szCs w:val="28"/>
          <w:highlight w:val="none"/>
        </w:rPr>
      </w:pPr>
      <w:bookmarkStart w:id="49" w:name="bookmark57"/>
      <w:bookmarkEnd w:id="49"/>
      <w:bookmarkStart w:id="50" w:name="bookmark44"/>
      <w:bookmarkEnd w:id="50"/>
      <w:r>
        <w:rPr>
          <w:rFonts w:ascii="宋体" w:hAnsi="宋体" w:eastAsia="宋体" w:cs="宋体"/>
          <w:b/>
          <w:bCs/>
          <w:color w:val="auto"/>
          <w:spacing w:val="0"/>
          <w:w w:val="100"/>
          <w:position w:val="0"/>
          <w:sz w:val="28"/>
          <w:szCs w:val="28"/>
          <w:highlight w:val="none"/>
        </w:rPr>
        <w:t>4.工程可行性研究工作量计算及报价计算说明</w:t>
      </w:r>
    </w:p>
    <w:p w14:paraId="0573294F">
      <w:pPr>
        <w:spacing w:before="91" w:line="219" w:lineRule="auto"/>
        <w:jc w:val="center"/>
        <w:outlineLvl w:val="3"/>
        <w:rPr>
          <w:rFonts w:ascii="宋体" w:hAnsi="宋体" w:eastAsia="宋体" w:cs="宋体"/>
          <w:b/>
          <w:bCs/>
          <w:color w:val="auto"/>
          <w:spacing w:val="0"/>
          <w:w w:val="100"/>
          <w:position w:val="0"/>
          <w:sz w:val="28"/>
          <w:szCs w:val="28"/>
          <w:highlight w:val="none"/>
        </w:rPr>
      </w:pPr>
    </w:p>
    <w:p w14:paraId="6F4A300F">
      <w:pPr>
        <w:spacing w:before="91" w:line="219" w:lineRule="auto"/>
        <w:jc w:val="center"/>
        <w:outlineLvl w:val="3"/>
        <w:rPr>
          <w:rFonts w:hint="default" w:ascii="宋体" w:hAnsi="宋体" w:eastAsia="宋体" w:cs="宋体"/>
          <w:color w:val="auto"/>
          <w:spacing w:val="0"/>
          <w:w w:val="100"/>
          <w:position w:val="0"/>
          <w:sz w:val="28"/>
          <w:szCs w:val="28"/>
          <w:highlight w:val="none"/>
          <w:lang w:val="en-US" w:eastAsia="zh-CN"/>
        </w:rPr>
      </w:pPr>
      <w:r>
        <w:rPr>
          <w:rFonts w:ascii="宋体" w:hAnsi="宋体" w:eastAsia="宋体" w:cs="宋体"/>
          <w:b/>
          <w:bCs/>
          <w:color w:val="auto"/>
          <w:spacing w:val="0"/>
          <w:w w:val="100"/>
          <w:position w:val="0"/>
          <w:sz w:val="28"/>
          <w:szCs w:val="28"/>
          <w:highlight w:val="none"/>
        </w:rPr>
        <w:t>（</w:t>
      </w:r>
      <w:r>
        <w:rPr>
          <w:rFonts w:hint="eastAsia" w:ascii="宋体" w:hAnsi="宋体" w:eastAsia="宋体" w:cs="宋体"/>
          <w:b/>
          <w:bCs/>
          <w:color w:val="auto"/>
          <w:spacing w:val="0"/>
          <w:w w:val="100"/>
          <w:position w:val="0"/>
          <w:sz w:val="28"/>
          <w:szCs w:val="28"/>
          <w:highlight w:val="none"/>
          <w:lang w:val="en-US" w:eastAsia="zh-CN"/>
        </w:rPr>
        <w:t>二</w:t>
      </w:r>
      <w:r>
        <w:rPr>
          <w:rFonts w:ascii="宋体" w:hAnsi="宋体" w:eastAsia="宋体" w:cs="宋体"/>
          <w:b/>
          <w:bCs/>
          <w:color w:val="auto"/>
          <w:spacing w:val="0"/>
          <w:w w:val="100"/>
          <w:position w:val="0"/>
          <w:sz w:val="28"/>
          <w:szCs w:val="28"/>
          <w:highlight w:val="none"/>
        </w:rPr>
        <w:t>）公路工程勘察</w:t>
      </w:r>
      <w:r>
        <w:rPr>
          <w:rFonts w:hint="eastAsia" w:ascii="宋体" w:hAnsi="宋体" w:eastAsia="宋体" w:cs="宋体"/>
          <w:b/>
          <w:bCs/>
          <w:color w:val="auto"/>
          <w:spacing w:val="0"/>
          <w:w w:val="100"/>
          <w:position w:val="0"/>
          <w:sz w:val="28"/>
          <w:szCs w:val="28"/>
          <w:highlight w:val="none"/>
          <w:lang w:val="en-US" w:eastAsia="zh-CN"/>
        </w:rPr>
        <w:t>分项报价</w:t>
      </w:r>
      <w:r>
        <w:rPr>
          <w:rFonts w:ascii="宋体" w:hAnsi="宋体" w:eastAsia="宋体" w:cs="宋体"/>
          <w:b/>
          <w:bCs/>
          <w:color w:val="auto"/>
          <w:spacing w:val="0"/>
          <w:w w:val="100"/>
          <w:position w:val="0"/>
          <w:sz w:val="28"/>
          <w:szCs w:val="28"/>
          <w:highlight w:val="none"/>
        </w:rPr>
        <w:t>清单</w:t>
      </w:r>
    </w:p>
    <w:p w14:paraId="7CCA2278">
      <w:pPr>
        <w:spacing w:before="249" w:line="212" w:lineRule="auto"/>
        <w:ind w:left="121"/>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第</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标段                                                      单位：</w:t>
      </w:r>
      <w:r>
        <w:rPr>
          <w:rFonts w:hint="eastAsia" w:ascii="宋体" w:hAnsi="宋体" w:eastAsia="宋体" w:cs="宋体"/>
          <w:color w:val="auto"/>
          <w:spacing w:val="0"/>
          <w:w w:val="100"/>
          <w:position w:val="0"/>
          <w:sz w:val="21"/>
          <w:szCs w:val="21"/>
          <w:highlight w:val="none"/>
          <w:lang w:val="en-US" w:eastAsia="zh-CN"/>
        </w:rPr>
        <w:t xml:space="preserve">   元（人民币）</w:t>
      </w:r>
    </w:p>
    <w:tbl>
      <w:tblPr>
        <w:tblStyle w:val="18"/>
        <w:tblW w:w="878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5"/>
        <w:gridCol w:w="1464"/>
        <w:gridCol w:w="1461"/>
        <w:gridCol w:w="1463"/>
        <w:gridCol w:w="1464"/>
        <w:gridCol w:w="1465"/>
      </w:tblGrid>
      <w:tr w14:paraId="34E7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jc w:val="center"/>
        </w:trPr>
        <w:tc>
          <w:tcPr>
            <w:tcW w:w="1465" w:type="dxa"/>
            <w:vAlign w:val="top"/>
          </w:tcPr>
          <w:p w14:paraId="214C0F36">
            <w:pPr>
              <w:pStyle w:val="19"/>
              <w:keepNext w:val="0"/>
              <w:keepLines w:val="0"/>
              <w:widowControl/>
              <w:suppressLineNumbers w:val="0"/>
              <w:spacing w:before="175" w:beforeAutospacing="0" w:after="0" w:afterAutospacing="0" w:line="222" w:lineRule="auto"/>
              <w:ind w:left="115" w:right="0"/>
              <w:rPr>
                <w:rFonts w:hint="default"/>
                <w:color w:val="auto"/>
                <w:spacing w:val="0"/>
                <w:w w:val="100"/>
                <w:position w:val="0"/>
                <w:highlight w:val="none"/>
              </w:rPr>
            </w:pPr>
            <w:r>
              <w:rPr>
                <w:rFonts w:hint="default"/>
                <w:b/>
                <w:bCs/>
                <w:color w:val="auto"/>
                <w:spacing w:val="0"/>
                <w:w w:val="100"/>
                <w:position w:val="0"/>
                <w:highlight w:val="none"/>
              </w:rPr>
              <w:t>序号</w:t>
            </w:r>
          </w:p>
        </w:tc>
        <w:tc>
          <w:tcPr>
            <w:tcW w:w="1464" w:type="dxa"/>
            <w:vAlign w:val="top"/>
          </w:tcPr>
          <w:p w14:paraId="38B50102">
            <w:pPr>
              <w:pStyle w:val="19"/>
              <w:keepNext w:val="0"/>
              <w:keepLines w:val="0"/>
              <w:widowControl/>
              <w:suppressLineNumbers w:val="0"/>
              <w:spacing w:before="176" w:beforeAutospacing="0" w:after="0" w:afterAutospacing="0" w:line="221" w:lineRule="auto"/>
              <w:ind w:left="115" w:right="0"/>
              <w:rPr>
                <w:rFonts w:hint="default"/>
                <w:color w:val="auto"/>
                <w:spacing w:val="0"/>
                <w:w w:val="100"/>
                <w:position w:val="0"/>
                <w:highlight w:val="none"/>
              </w:rPr>
            </w:pPr>
            <w:r>
              <w:rPr>
                <w:rFonts w:hint="default"/>
                <w:b/>
                <w:bCs/>
                <w:color w:val="auto"/>
                <w:spacing w:val="0"/>
                <w:w w:val="100"/>
                <w:position w:val="0"/>
                <w:highlight w:val="none"/>
              </w:rPr>
              <w:t>项目名称</w:t>
            </w:r>
          </w:p>
        </w:tc>
        <w:tc>
          <w:tcPr>
            <w:tcW w:w="1461" w:type="dxa"/>
            <w:vAlign w:val="top"/>
          </w:tcPr>
          <w:p w14:paraId="60899E4B">
            <w:pPr>
              <w:pStyle w:val="19"/>
              <w:keepNext w:val="0"/>
              <w:keepLines w:val="0"/>
              <w:widowControl/>
              <w:suppressLineNumbers w:val="0"/>
              <w:spacing w:before="176" w:beforeAutospacing="0" w:after="0" w:afterAutospacing="0" w:line="221" w:lineRule="auto"/>
              <w:ind w:left="113" w:right="0"/>
              <w:rPr>
                <w:rFonts w:hint="default"/>
                <w:color w:val="auto"/>
                <w:spacing w:val="0"/>
                <w:w w:val="100"/>
                <w:position w:val="0"/>
                <w:highlight w:val="none"/>
              </w:rPr>
            </w:pPr>
            <w:r>
              <w:rPr>
                <w:rFonts w:hint="default"/>
                <w:b/>
                <w:bCs/>
                <w:color w:val="auto"/>
                <w:spacing w:val="0"/>
                <w:w w:val="100"/>
                <w:position w:val="0"/>
                <w:highlight w:val="none"/>
              </w:rPr>
              <w:t>计量单位</w:t>
            </w:r>
          </w:p>
        </w:tc>
        <w:tc>
          <w:tcPr>
            <w:tcW w:w="1463" w:type="dxa"/>
            <w:vAlign w:val="top"/>
          </w:tcPr>
          <w:p w14:paraId="38966742">
            <w:pPr>
              <w:pStyle w:val="19"/>
              <w:keepNext w:val="0"/>
              <w:keepLines w:val="0"/>
              <w:widowControl/>
              <w:suppressLineNumbers w:val="0"/>
              <w:spacing w:before="176" w:beforeAutospacing="0" w:after="0" w:afterAutospacing="0" w:line="221" w:lineRule="auto"/>
              <w:ind w:left="118" w:right="0"/>
              <w:rPr>
                <w:rFonts w:hint="default"/>
                <w:color w:val="auto"/>
                <w:spacing w:val="0"/>
                <w:w w:val="100"/>
                <w:position w:val="0"/>
                <w:highlight w:val="none"/>
              </w:rPr>
            </w:pPr>
            <w:r>
              <w:rPr>
                <w:rFonts w:hint="default"/>
                <w:b/>
                <w:bCs/>
                <w:color w:val="auto"/>
                <w:spacing w:val="0"/>
                <w:w w:val="100"/>
                <w:position w:val="0"/>
                <w:highlight w:val="none"/>
              </w:rPr>
              <w:t>实物工作量</w:t>
            </w:r>
          </w:p>
        </w:tc>
        <w:tc>
          <w:tcPr>
            <w:tcW w:w="1464" w:type="dxa"/>
            <w:vAlign w:val="top"/>
          </w:tcPr>
          <w:p w14:paraId="13CBC660">
            <w:pPr>
              <w:pStyle w:val="19"/>
              <w:keepNext w:val="0"/>
              <w:keepLines w:val="0"/>
              <w:widowControl/>
              <w:suppressLineNumbers w:val="0"/>
              <w:spacing w:before="176" w:beforeAutospacing="0" w:after="0" w:afterAutospacing="0" w:line="219" w:lineRule="auto"/>
              <w:ind w:left="116" w:right="0"/>
              <w:rPr>
                <w:rFonts w:hint="default"/>
                <w:color w:val="auto"/>
                <w:spacing w:val="0"/>
                <w:w w:val="100"/>
                <w:position w:val="0"/>
                <w:highlight w:val="none"/>
              </w:rPr>
            </w:pPr>
            <w:r>
              <w:rPr>
                <w:rFonts w:hint="default"/>
                <w:b/>
                <w:bCs/>
                <w:color w:val="auto"/>
                <w:spacing w:val="0"/>
                <w:w w:val="100"/>
                <w:position w:val="0"/>
                <w:highlight w:val="none"/>
              </w:rPr>
              <w:t>单价金额</w:t>
            </w:r>
          </w:p>
        </w:tc>
        <w:tc>
          <w:tcPr>
            <w:tcW w:w="1465" w:type="dxa"/>
            <w:vAlign w:val="top"/>
          </w:tcPr>
          <w:p w14:paraId="320C2212">
            <w:pPr>
              <w:pStyle w:val="19"/>
              <w:keepNext w:val="0"/>
              <w:keepLines w:val="0"/>
              <w:widowControl/>
              <w:suppressLineNumbers w:val="0"/>
              <w:spacing w:before="176" w:beforeAutospacing="0" w:after="0" w:afterAutospacing="0" w:line="219" w:lineRule="auto"/>
              <w:ind w:left="114" w:right="0"/>
              <w:rPr>
                <w:rFonts w:hint="default"/>
                <w:color w:val="auto"/>
                <w:spacing w:val="0"/>
                <w:w w:val="100"/>
                <w:position w:val="0"/>
                <w:highlight w:val="none"/>
              </w:rPr>
            </w:pPr>
            <w:r>
              <w:rPr>
                <w:rFonts w:hint="default"/>
                <w:b/>
                <w:bCs/>
                <w:color w:val="auto"/>
                <w:spacing w:val="0"/>
                <w:w w:val="100"/>
                <w:position w:val="0"/>
                <w:highlight w:val="none"/>
              </w:rPr>
              <w:t>合价金额</w:t>
            </w:r>
          </w:p>
        </w:tc>
      </w:tr>
      <w:tr w14:paraId="4C9DE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jc w:val="center"/>
        </w:trPr>
        <w:tc>
          <w:tcPr>
            <w:tcW w:w="1465" w:type="dxa"/>
            <w:vAlign w:val="top"/>
          </w:tcPr>
          <w:p w14:paraId="5F62193D">
            <w:pPr>
              <w:pStyle w:val="19"/>
              <w:keepNext w:val="0"/>
              <w:keepLines w:val="0"/>
              <w:widowControl/>
              <w:suppressLineNumbers w:val="0"/>
              <w:spacing w:before="157" w:beforeAutospacing="0" w:after="0" w:afterAutospacing="0" w:line="228" w:lineRule="auto"/>
              <w:ind w:left="131" w:right="0"/>
              <w:rPr>
                <w:rFonts w:hint="default"/>
                <w:color w:val="auto"/>
                <w:spacing w:val="0"/>
                <w:w w:val="100"/>
                <w:position w:val="0"/>
                <w:highlight w:val="none"/>
              </w:rPr>
            </w:pPr>
            <w:r>
              <w:rPr>
                <w:rFonts w:hint="default"/>
                <w:b/>
                <w:bCs/>
                <w:color w:val="auto"/>
                <w:spacing w:val="0"/>
                <w:w w:val="100"/>
                <w:position w:val="0"/>
                <w:highlight w:val="none"/>
              </w:rPr>
              <w:t>1</w:t>
            </w:r>
          </w:p>
        </w:tc>
        <w:tc>
          <w:tcPr>
            <w:tcW w:w="1464" w:type="dxa"/>
            <w:vAlign w:val="top"/>
          </w:tcPr>
          <w:p w14:paraId="54BE8138">
            <w:pPr>
              <w:pStyle w:val="19"/>
              <w:keepNext w:val="0"/>
              <w:keepLines w:val="0"/>
              <w:widowControl/>
              <w:suppressLineNumbers w:val="0"/>
              <w:spacing w:before="157" w:beforeAutospacing="0" w:after="0" w:afterAutospacing="0" w:line="221" w:lineRule="auto"/>
              <w:ind w:left="111" w:right="0"/>
              <w:rPr>
                <w:rFonts w:hint="default"/>
                <w:color w:val="auto"/>
                <w:spacing w:val="0"/>
                <w:w w:val="100"/>
                <w:position w:val="0"/>
                <w:highlight w:val="none"/>
              </w:rPr>
            </w:pPr>
            <w:r>
              <w:rPr>
                <w:rFonts w:hint="default"/>
                <w:b/>
                <w:bCs/>
                <w:color w:val="auto"/>
                <w:spacing w:val="0"/>
                <w:w w:val="100"/>
                <w:position w:val="0"/>
                <w:highlight w:val="none"/>
              </w:rPr>
              <w:t>控制测量</w:t>
            </w:r>
          </w:p>
        </w:tc>
        <w:tc>
          <w:tcPr>
            <w:tcW w:w="1461" w:type="dxa"/>
            <w:vAlign w:val="top"/>
          </w:tcPr>
          <w:p w14:paraId="0FEE3BD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17E8412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3E8A739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3FD4AEE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669C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465" w:type="dxa"/>
            <w:vAlign w:val="top"/>
          </w:tcPr>
          <w:p w14:paraId="1DB725AF">
            <w:pPr>
              <w:pStyle w:val="19"/>
              <w:keepNext w:val="0"/>
              <w:keepLines w:val="0"/>
              <w:widowControl/>
              <w:suppressLineNumbers w:val="0"/>
              <w:spacing w:before="154"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-1</w:t>
            </w:r>
          </w:p>
        </w:tc>
        <w:tc>
          <w:tcPr>
            <w:tcW w:w="1464" w:type="dxa"/>
            <w:vAlign w:val="top"/>
          </w:tcPr>
          <w:p w14:paraId="26ACD742">
            <w:pPr>
              <w:pStyle w:val="19"/>
              <w:keepNext w:val="0"/>
              <w:keepLines w:val="0"/>
              <w:widowControl/>
              <w:suppressLineNumbers w:val="0"/>
              <w:spacing w:before="154" w:beforeAutospacing="0" w:after="0" w:afterAutospacing="0" w:line="223" w:lineRule="auto"/>
              <w:ind w:left="115" w:right="0"/>
              <w:rPr>
                <w:rFonts w:hint="default"/>
                <w:color w:val="auto"/>
                <w:spacing w:val="0"/>
                <w:w w:val="100"/>
                <w:position w:val="0"/>
                <w:highlight w:val="none"/>
              </w:rPr>
            </w:pPr>
            <w:r>
              <w:rPr>
                <w:rFonts w:hint="default"/>
                <w:color w:val="auto"/>
                <w:spacing w:val="0"/>
                <w:w w:val="100"/>
                <w:position w:val="0"/>
                <w:highlight w:val="none"/>
              </w:rPr>
              <w:t>一级</w:t>
            </w:r>
          </w:p>
        </w:tc>
        <w:tc>
          <w:tcPr>
            <w:tcW w:w="1461" w:type="dxa"/>
            <w:vAlign w:val="top"/>
          </w:tcPr>
          <w:p w14:paraId="013CB0C6">
            <w:pPr>
              <w:pStyle w:val="19"/>
              <w:keepNext w:val="0"/>
              <w:keepLines w:val="0"/>
              <w:widowControl/>
              <w:suppressLineNumbers w:val="0"/>
              <w:spacing w:before="154" w:beforeAutospacing="0" w:after="0" w:afterAutospacing="0" w:line="228" w:lineRule="auto"/>
              <w:ind w:left="111" w:right="0"/>
              <w:rPr>
                <w:rFonts w:hint="default"/>
                <w:color w:val="auto"/>
                <w:spacing w:val="0"/>
                <w:w w:val="100"/>
                <w:position w:val="0"/>
                <w:highlight w:val="none"/>
              </w:rPr>
            </w:pPr>
            <w:r>
              <w:rPr>
                <w:rFonts w:hint="default"/>
                <w:color w:val="auto"/>
                <w:spacing w:val="0"/>
                <w:w w:val="100"/>
                <w:position w:val="0"/>
                <w:highlight w:val="none"/>
              </w:rPr>
              <w:t>km</w:t>
            </w:r>
          </w:p>
        </w:tc>
        <w:tc>
          <w:tcPr>
            <w:tcW w:w="1463" w:type="dxa"/>
            <w:vAlign w:val="top"/>
          </w:tcPr>
          <w:p w14:paraId="43B783C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2416AAD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37984EB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3387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1465" w:type="dxa"/>
            <w:vAlign w:val="top"/>
          </w:tcPr>
          <w:p w14:paraId="745BE0A7">
            <w:pPr>
              <w:pStyle w:val="19"/>
              <w:keepNext w:val="0"/>
              <w:keepLines w:val="0"/>
              <w:widowControl/>
              <w:suppressLineNumbers w:val="0"/>
              <w:spacing w:before="155"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-2</w:t>
            </w:r>
          </w:p>
        </w:tc>
        <w:tc>
          <w:tcPr>
            <w:tcW w:w="1464" w:type="dxa"/>
            <w:vAlign w:val="top"/>
          </w:tcPr>
          <w:p w14:paraId="6CE8171A">
            <w:pPr>
              <w:pStyle w:val="19"/>
              <w:keepNext w:val="0"/>
              <w:keepLines w:val="0"/>
              <w:widowControl/>
              <w:suppressLineNumbers w:val="0"/>
              <w:spacing w:before="155" w:beforeAutospacing="0" w:after="0" w:afterAutospacing="0" w:line="223" w:lineRule="auto"/>
              <w:ind w:left="115" w:right="0"/>
              <w:rPr>
                <w:rFonts w:hint="default"/>
                <w:color w:val="auto"/>
                <w:spacing w:val="0"/>
                <w:w w:val="100"/>
                <w:position w:val="0"/>
                <w:highlight w:val="none"/>
              </w:rPr>
            </w:pPr>
            <w:r>
              <w:rPr>
                <w:rFonts w:hint="default"/>
                <w:color w:val="auto"/>
                <w:spacing w:val="0"/>
                <w:w w:val="100"/>
                <w:position w:val="0"/>
                <w:highlight w:val="none"/>
              </w:rPr>
              <w:t>二级</w:t>
            </w:r>
          </w:p>
        </w:tc>
        <w:tc>
          <w:tcPr>
            <w:tcW w:w="1461" w:type="dxa"/>
            <w:vAlign w:val="top"/>
          </w:tcPr>
          <w:p w14:paraId="6F39206D">
            <w:pPr>
              <w:pStyle w:val="19"/>
              <w:keepNext w:val="0"/>
              <w:keepLines w:val="0"/>
              <w:widowControl/>
              <w:suppressLineNumbers w:val="0"/>
              <w:spacing w:before="155" w:beforeAutospacing="0" w:after="0" w:afterAutospacing="0" w:line="228" w:lineRule="auto"/>
              <w:ind w:left="111" w:right="0"/>
              <w:rPr>
                <w:rFonts w:hint="default"/>
                <w:color w:val="auto"/>
                <w:spacing w:val="0"/>
                <w:w w:val="100"/>
                <w:position w:val="0"/>
                <w:highlight w:val="none"/>
              </w:rPr>
            </w:pPr>
            <w:r>
              <w:rPr>
                <w:rFonts w:hint="default"/>
                <w:color w:val="auto"/>
                <w:spacing w:val="0"/>
                <w:w w:val="100"/>
                <w:position w:val="0"/>
                <w:highlight w:val="none"/>
              </w:rPr>
              <w:t>km</w:t>
            </w:r>
          </w:p>
        </w:tc>
        <w:tc>
          <w:tcPr>
            <w:tcW w:w="1463" w:type="dxa"/>
            <w:vAlign w:val="top"/>
          </w:tcPr>
          <w:p w14:paraId="29B9187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66FCA0A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1B01C2A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2BDB4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1465" w:type="dxa"/>
            <w:vAlign w:val="top"/>
          </w:tcPr>
          <w:p w14:paraId="0E406BCB">
            <w:pPr>
              <w:pStyle w:val="19"/>
              <w:keepNext w:val="0"/>
              <w:keepLines w:val="0"/>
              <w:widowControl/>
              <w:suppressLineNumbers w:val="0"/>
              <w:spacing w:before="155"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-3</w:t>
            </w:r>
          </w:p>
        </w:tc>
        <w:tc>
          <w:tcPr>
            <w:tcW w:w="1464" w:type="dxa"/>
            <w:vAlign w:val="top"/>
          </w:tcPr>
          <w:p w14:paraId="53BC7AE8">
            <w:pPr>
              <w:pStyle w:val="19"/>
              <w:keepNext w:val="0"/>
              <w:keepLines w:val="0"/>
              <w:widowControl/>
              <w:suppressLineNumbers w:val="0"/>
              <w:spacing w:before="155" w:beforeAutospacing="0" w:after="0" w:afterAutospacing="0" w:line="221" w:lineRule="auto"/>
              <w:ind w:left="115" w:right="0"/>
              <w:rPr>
                <w:rFonts w:hint="default"/>
                <w:color w:val="auto"/>
                <w:spacing w:val="0"/>
                <w:w w:val="100"/>
                <w:position w:val="0"/>
                <w:highlight w:val="none"/>
              </w:rPr>
            </w:pPr>
            <w:r>
              <w:rPr>
                <w:rFonts w:hint="default"/>
                <w:color w:val="auto"/>
                <w:spacing w:val="0"/>
                <w:w w:val="100"/>
                <w:position w:val="0"/>
                <w:highlight w:val="none"/>
              </w:rPr>
              <w:t>二等</w:t>
            </w:r>
          </w:p>
        </w:tc>
        <w:tc>
          <w:tcPr>
            <w:tcW w:w="1461" w:type="dxa"/>
            <w:vAlign w:val="top"/>
          </w:tcPr>
          <w:p w14:paraId="68230819">
            <w:pPr>
              <w:pStyle w:val="19"/>
              <w:keepNext w:val="0"/>
              <w:keepLines w:val="0"/>
              <w:widowControl/>
              <w:suppressLineNumbers w:val="0"/>
              <w:spacing w:before="155" w:beforeAutospacing="0" w:after="0" w:afterAutospacing="0" w:line="228" w:lineRule="auto"/>
              <w:ind w:left="111" w:right="0"/>
              <w:rPr>
                <w:rFonts w:hint="default"/>
                <w:color w:val="auto"/>
                <w:spacing w:val="0"/>
                <w:w w:val="100"/>
                <w:position w:val="0"/>
                <w:highlight w:val="none"/>
              </w:rPr>
            </w:pPr>
            <w:r>
              <w:rPr>
                <w:rFonts w:hint="default"/>
                <w:color w:val="auto"/>
                <w:spacing w:val="0"/>
                <w:w w:val="100"/>
                <w:position w:val="0"/>
                <w:highlight w:val="none"/>
              </w:rPr>
              <w:t>km</w:t>
            </w:r>
          </w:p>
        </w:tc>
        <w:tc>
          <w:tcPr>
            <w:tcW w:w="1463" w:type="dxa"/>
            <w:vAlign w:val="top"/>
          </w:tcPr>
          <w:p w14:paraId="047105E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209F759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1516B32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DF42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1465" w:type="dxa"/>
            <w:vAlign w:val="top"/>
          </w:tcPr>
          <w:p w14:paraId="3BAE840E">
            <w:pPr>
              <w:pStyle w:val="19"/>
              <w:keepNext w:val="0"/>
              <w:keepLines w:val="0"/>
              <w:widowControl/>
              <w:suppressLineNumbers w:val="0"/>
              <w:spacing w:before="155"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-4</w:t>
            </w:r>
          </w:p>
        </w:tc>
        <w:tc>
          <w:tcPr>
            <w:tcW w:w="1464" w:type="dxa"/>
            <w:vAlign w:val="top"/>
          </w:tcPr>
          <w:p w14:paraId="0FB20567">
            <w:pPr>
              <w:pStyle w:val="19"/>
              <w:keepNext w:val="0"/>
              <w:keepLines w:val="0"/>
              <w:widowControl/>
              <w:suppressLineNumbers w:val="0"/>
              <w:spacing w:before="154" w:beforeAutospacing="0" w:after="0" w:afterAutospacing="0" w:line="221" w:lineRule="auto"/>
              <w:ind w:left="112" w:right="0"/>
              <w:rPr>
                <w:rFonts w:hint="default"/>
                <w:color w:val="auto"/>
                <w:spacing w:val="0"/>
                <w:w w:val="100"/>
                <w:position w:val="0"/>
                <w:highlight w:val="none"/>
              </w:rPr>
            </w:pPr>
            <w:r>
              <w:rPr>
                <w:rFonts w:hint="default"/>
                <w:color w:val="auto"/>
                <w:spacing w:val="0"/>
                <w:w w:val="100"/>
                <w:position w:val="0"/>
                <w:highlight w:val="none"/>
              </w:rPr>
              <w:t>三等</w:t>
            </w:r>
          </w:p>
        </w:tc>
        <w:tc>
          <w:tcPr>
            <w:tcW w:w="1461" w:type="dxa"/>
            <w:vAlign w:val="top"/>
          </w:tcPr>
          <w:p w14:paraId="6141293B">
            <w:pPr>
              <w:pStyle w:val="19"/>
              <w:keepNext w:val="0"/>
              <w:keepLines w:val="0"/>
              <w:widowControl/>
              <w:suppressLineNumbers w:val="0"/>
              <w:spacing w:before="155" w:beforeAutospacing="0" w:after="0" w:afterAutospacing="0" w:line="228" w:lineRule="auto"/>
              <w:ind w:left="111" w:right="0"/>
              <w:rPr>
                <w:rFonts w:hint="default"/>
                <w:color w:val="auto"/>
                <w:spacing w:val="0"/>
                <w:w w:val="100"/>
                <w:position w:val="0"/>
                <w:highlight w:val="none"/>
              </w:rPr>
            </w:pPr>
            <w:r>
              <w:rPr>
                <w:rFonts w:hint="default"/>
                <w:color w:val="auto"/>
                <w:spacing w:val="0"/>
                <w:w w:val="100"/>
                <w:position w:val="0"/>
                <w:highlight w:val="none"/>
              </w:rPr>
              <w:t>km</w:t>
            </w:r>
          </w:p>
        </w:tc>
        <w:tc>
          <w:tcPr>
            <w:tcW w:w="1463" w:type="dxa"/>
            <w:vAlign w:val="top"/>
          </w:tcPr>
          <w:p w14:paraId="05DD1BE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4F67FE4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789ED40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A74F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465" w:type="dxa"/>
            <w:vAlign w:val="top"/>
          </w:tcPr>
          <w:p w14:paraId="0A5DA976">
            <w:pPr>
              <w:pStyle w:val="19"/>
              <w:keepNext w:val="0"/>
              <w:keepLines w:val="0"/>
              <w:widowControl/>
              <w:suppressLineNumbers w:val="0"/>
              <w:spacing w:before="154"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-5</w:t>
            </w:r>
          </w:p>
        </w:tc>
        <w:tc>
          <w:tcPr>
            <w:tcW w:w="1464" w:type="dxa"/>
            <w:vAlign w:val="top"/>
          </w:tcPr>
          <w:p w14:paraId="00F9BF5D">
            <w:pPr>
              <w:pStyle w:val="19"/>
              <w:keepNext w:val="0"/>
              <w:keepLines w:val="0"/>
              <w:widowControl/>
              <w:suppressLineNumbers w:val="0"/>
              <w:spacing w:before="154" w:beforeAutospacing="0" w:after="0" w:afterAutospacing="0" w:line="221" w:lineRule="auto"/>
              <w:ind w:left="132" w:right="0"/>
              <w:rPr>
                <w:rFonts w:hint="default"/>
                <w:color w:val="auto"/>
                <w:spacing w:val="0"/>
                <w:w w:val="100"/>
                <w:position w:val="0"/>
                <w:highlight w:val="none"/>
              </w:rPr>
            </w:pPr>
            <w:r>
              <w:rPr>
                <w:rFonts w:hint="default"/>
                <w:color w:val="auto"/>
                <w:spacing w:val="0"/>
                <w:w w:val="100"/>
                <w:position w:val="0"/>
                <w:highlight w:val="none"/>
              </w:rPr>
              <w:t>四等</w:t>
            </w:r>
          </w:p>
        </w:tc>
        <w:tc>
          <w:tcPr>
            <w:tcW w:w="1461" w:type="dxa"/>
            <w:vAlign w:val="top"/>
          </w:tcPr>
          <w:p w14:paraId="0D7B21E1">
            <w:pPr>
              <w:pStyle w:val="19"/>
              <w:keepNext w:val="0"/>
              <w:keepLines w:val="0"/>
              <w:widowControl/>
              <w:suppressLineNumbers w:val="0"/>
              <w:spacing w:before="154" w:beforeAutospacing="0" w:after="0" w:afterAutospacing="0" w:line="228" w:lineRule="auto"/>
              <w:ind w:left="111" w:right="0"/>
              <w:rPr>
                <w:rFonts w:hint="default"/>
                <w:color w:val="auto"/>
                <w:spacing w:val="0"/>
                <w:w w:val="100"/>
                <w:position w:val="0"/>
                <w:highlight w:val="none"/>
              </w:rPr>
            </w:pPr>
            <w:r>
              <w:rPr>
                <w:rFonts w:hint="default"/>
                <w:color w:val="auto"/>
                <w:spacing w:val="0"/>
                <w:w w:val="100"/>
                <w:position w:val="0"/>
                <w:highlight w:val="none"/>
              </w:rPr>
              <w:t>km</w:t>
            </w:r>
          </w:p>
        </w:tc>
        <w:tc>
          <w:tcPr>
            <w:tcW w:w="1463" w:type="dxa"/>
            <w:vAlign w:val="top"/>
          </w:tcPr>
          <w:p w14:paraId="5843B7C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5548FAA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1690EB7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4CAB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jc w:val="center"/>
        </w:trPr>
        <w:tc>
          <w:tcPr>
            <w:tcW w:w="1465" w:type="dxa"/>
            <w:vAlign w:val="top"/>
          </w:tcPr>
          <w:p w14:paraId="7B90CBC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3679EFE3">
            <w:pPr>
              <w:pStyle w:val="19"/>
              <w:keepNext w:val="0"/>
              <w:keepLines w:val="0"/>
              <w:widowControl/>
              <w:suppressLineNumbers w:val="0"/>
              <w:spacing w:before="157" w:beforeAutospacing="0" w:after="0" w:afterAutospacing="0" w:line="228" w:lineRule="auto"/>
              <w:ind w:left="125" w:right="0"/>
              <w:rPr>
                <w:rFonts w:hint="default"/>
                <w:color w:val="auto"/>
                <w:spacing w:val="0"/>
                <w:w w:val="100"/>
                <w:position w:val="0"/>
                <w:highlight w:val="none"/>
              </w:rPr>
            </w:pPr>
            <w:r>
              <w:rPr>
                <w:rFonts w:hint="default"/>
                <w:color w:val="auto"/>
                <w:spacing w:val="0"/>
                <w:w w:val="100"/>
                <w:position w:val="0"/>
                <w:highlight w:val="none"/>
              </w:rPr>
              <w:t>…</w:t>
            </w:r>
          </w:p>
        </w:tc>
        <w:tc>
          <w:tcPr>
            <w:tcW w:w="1461" w:type="dxa"/>
            <w:vAlign w:val="top"/>
          </w:tcPr>
          <w:p w14:paraId="5780EC8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01E674E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331A0CB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14B3DEE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4DCF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jc w:val="center"/>
        </w:trPr>
        <w:tc>
          <w:tcPr>
            <w:tcW w:w="1465" w:type="dxa"/>
            <w:vAlign w:val="top"/>
          </w:tcPr>
          <w:p w14:paraId="4D5F07D0">
            <w:pPr>
              <w:pStyle w:val="19"/>
              <w:keepNext w:val="0"/>
              <w:keepLines w:val="0"/>
              <w:widowControl/>
              <w:suppressLineNumbers w:val="0"/>
              <w:spacing w:before="155" w:beforeAutospacing="0" w:after="0" w:afterAutospacing="0" w:line="242" w:lineRule="auto"/>
              <w:ind w:left="118" w:right="0"/>
              <w:rPr>
                <w:rFonts w:hint="default"/>
                <w:color w:val="auto"/>
                <w:spacing w:val="0"/>
                <w:w w:val="100"/>
                <w:position w:val="0"/>
                <w:highlight w:val="none"/>
              </w:rPr>
            </w:pPr>
            <w:r>
              <w:rPr>
                <w:rFonts w:hint="default"/>
                <w:b/>
                <w:bCs/>
                <w:color w:val="auto"/>
                <w:spacing w:val="0"/>
                <w:w w:val="100"/>
                <w:position w:val="0"/>
                <w:highlight w:val="none"/>
              </w:rPr>
              <w:t>2</w:t>
            </w:r>
          </w:p>
        </w:tc>
        <w:tc>
          <w:tcPr>
            <w:tcW w:w="1464" w:type="dxa"/>
            <w:vAlign w:val="top"/>
          </w:tcPr>
          <w:p w14:paraId="0DD370A7">
            <w:pPr>
              <w:pStyle w:val="19"/>
              <w:keepNext w:val="0"/>
              <w:keepLines w:val="0"/>
              <w:widowControl/>
              <w:suppressLineNumbers w:val="0"/>
              <w:spacing w:before="156" w:beforeAutospacing="0" w:after="0" w:afterAutospacing="0" w:line="298" w:lineRule="auto"/>
              <w:ind w:left="0" w:right="298"/>
              <w:rPr>
                <w:rFonts w:hint="default"/>
                <w:color w:val="auto"/>
                <w:spacing w:val="0"/>
                <w:w w:val="100"/>
                <w:position w:val="0"/>
                <w:highlight w:val="none"/>
              </w:rPr>
            </w:pPr>
            <w:r>
              <w:rPr>
                <w:rFonts w:hint="default"/>
                <w:b/>
                <w:bCs/>
                <w:color w:val="auto"/>
                <w:spacing w:val="0"/>
                <w:w w:val="100"/>
                <w:position w:val="0"/>
                <w:highlight w:val="none"/>
              </w:rPr>
              <w:t>地形图测绘（陆地）</w:t>
            </w:r>
          </w:p>
        </w:tc>
        <w:tc>
          <w:tcPr>
            <w:tcW w:w="1461" w:type="dxa"/>
            <w:vAlign w:val="top"/>
          </w:tcPr>
          <w:p w14:paraId="34C6B31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52222CD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6048DBC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6815B3A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F0CC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465" w:type="dxa"/>
            <w:vAlign w:val="top"/>
          </w:tcPr>
          <w:p w14:paraId="34144003">
            <w:pPr>
              <w:pStyle w:val="19"/>
              <w:keepNext w:val="0"/>
              <w:keepLines w:val="0"/>
              <w:widowControl/>
              <w:suppressLineNumbers w:val="0"/>
              <w:spacing w:before="155" w:beforeAutospacing="0" w:after="0" w:afterAutospacing="0" w:line="227" w:lineRule="auto"/>
              <w:ind w:left="114" w:right="0"/>
              <w:rPr>
                <w:rFonts w:hint="default"/>
                <w:color w:val="auto"/>
                <w:spacing w:val="0"/>
                <w:w w:val="100"/>
                <w:position w:val="0"/>
                <w:highlight w:val="none"/>
              </w:rPr>
            </w:pPr>
            <w:r>
              <w:rPr>
                <w:rFonts w:hint="default"/>
                <w:color w:val="auto"/>
                <w:spacing w:val="0"/>
                <w:w w:val="100"/>
                <w:position w:val="0"/>
                <w:highlight w:val="none"/>
              </w:rPr>
              <w:t>-1</w:t>
            </w:r>
          </w:p>
        </w:tc>
        <w:tc>
          <w:tcPr>
            <w:tcW w:w="1464" w:type="dxa"/>
            <w:vAlign w:val="top"/>
          </w:tcPr>
          <w:p w14:paraId="449A69F8">
            <w:pPr>
              <w:pStyle w:val="19"/>
              <w:keepNext w:val="0"/>
              <w:keepLines w:val="0"/>
              <w:widowControl/>
              <w:suppressLineNumbers w:val="0"/>
              <w:spacing w:before="155" w:beforeAutospacing="0" w:after="0" w:afterAutospacing="0" w:line="227" w:lineRule="auto"/>
              <w:ind w:left="128" w:right="0"/>
              <w:rPr>
                <w:rFonts w:hint="default"/>
                <w:color w:val="auto"/>
                <w:spacing w:val="0"/>
                <w:w w:val="100"/>
                <w:position w:val="0"/>
                <w:highlight w:val="none"/>
              </w:rPr>
            </w:pPr>
            <w:r>
              <w:rPr>
                <w:rFonts w:hint="default"/>
                <w:color w:val="auto"/>
                <w:spacing w:val="0"/>
                <w:w w:val="100"/>
                <w:position w:val="0"/>
                <w:highlight w:val="none"/>
              </w:rPr>
              <w:t>1：500</w:t>
            </w:r>
          </w:p>
        </w:tc>
        <w:tc>
          <w:tcPr>
            <w:tcW w:w="1461" w:type="dxa"/>
            <w:vAlign w:val="top"/>
          </w:tcPr>
          <w:p w14:paraId="00065F18">
            <w:pPr>
              <w:pStyle w:val="19"/>
              <w:keepNext w:val="0"/>
              <w:keepLines w:val="0"/>
              <w:widowControl/>
              <w:suppressLineNumbers w:val="0"/>
              <w:spacing w:before="132" w:beforeAutospacing="0" w:after="0" w:afterAutospacing="0" w:line="282"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6818638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42165DA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2316293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3C55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1465" w:type="dxa"/>
            <w:vAlign w:val="top"/>
          </w:tcPr>
          <w:p w14:paraId="555408E8">
            <w:pPr>
              <w:pStyle w:val="19"/>
              <w:keepNext w:val="0"/>
              <w:keepLines w:val="0"/>
              <w:widowControl/>
              <w:suppressLineNumbers w:val="0"/>
              <w:spacing w:before="156" w:beforeAutospacing="0" w:after="0" w:afterAutospacing="0" w:line="227" w:lineRule="auto"/>
              <w:ind w:left="114" w:right="0"/>
              <w:rPr>
                <w:rFonts w:hint="default"/>
                <w:color w:val="auto"/>
                <w:spacing w:val="0"/>
                <w:w w:val="100"/>
                <w:position w:val="0"/>
                <w:highlight w:val="none"/>
              </w:rPr>
            </w:pPr>
            <w:r>
              <w:rPr>
                <w:rFonts w:hint="default"/>
                <w:color w:val="auto"/>
                <w:spacing w:val="0"/>
                <w:w w:val="100"/>
                <w:position w:val="0"/>
                <w:highlight w:val="none"/>
              </w:rPr>
              <w:t>-2</w:t>
            </w:r>
          </w:p>
        </w:tc>
        <w:tc>
          <w:tcPr>
            <w:tcW w:w="1464" w:type="dxa"/>
            <w:vAlign w:val="top"/>
          </w:tcPr>
          <w:p w14:paraId="00EA34CA">
            <w:pPr>
              <w:pStyle w:val="19"/>
              <w:keepNext w:val="0"/>
              <w:keepLines w:val="0"/>
              <w:widowControl/>
              <w:suppressLineNumbers w:val="0"/>
              <w:spacing w:before="156" w:beforeAutospacing="0" w:after="0" w:afterAutospacing="0" w:line="227" w:lineRule="auto"/>
              <w:ind w:left="128" w:right="0"/>
              <w:rPr>
                <w:rFonts w:hint="default"/>
                <w:color w:val="auto"/>
                <w:spacing w:val="0"/>
                <w:w w:val="100"/>
                <w:position w:val="0"/>
                <w:highlight w:val="none"/>
              </w:rPr>
            </w:pPr>
            <w:r>
              <w:rPr>
                <w:rFonts w:hint="default"/>
                <w:color w:val="auto"/>
                <w:spacing w:val="0"/>
                <w:w w:val="100"/>
                <w:position w:val="0"/>
                <w:highlight w:val="none"/>
              </w:rPr>
              <w:t>1：1000</w:t>
            </w:r>
          </w:p>
        </w:tc>
        <w:tc>
          <w:tcPr>
            <w:tcW w:w="1461" w:type="dxa"/>
            <w:vAlign w:val="top"/>
          </w:tcPr>
          <w:p w14:paraId="4970F188">
            <w:pPr>
              <w:pStyle w:val="19"/>
              <w:keepNext w:val="0"/>
              <w:keepLines w:val="0"/>
              <w:widowControl/>
              <w:suppressLineNumbers w:val="0"/>
              <w:spacing w:before="132" w:beforeAutospacing="0" w:after="0" w:afterAutospacing="0" w:line="282"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7D1A9F8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03E7298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7C7363B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58AF4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465" w:type="dxa"/>
            <w:vAlign w:val="top"/>
          </w:tcPr>
          <w:p w14:paraId="1B112BC6">
            <w:pPr>
              <w:pStyle w:val="19"/>
              <w:keepNext w:val="0"/>
              <w:keepLines w:val="0"/>
              <w:widowControl/>
              <w:suppressLineNumbers w:val="0"/>
              <w:spacing w:before="156" w:beforeAutospacing="0" w:after="0" w:afterAutospacing="0" w:line="226" w:lineRule="auto"/>
              <w:ind w:left="114" w:right="0"/>
              <w:rPr>
                <w:rFonts w:hint="default"/>
                <w:color w:val="auto"/>
                <w:spacing w:val="0"/>
                <w:w w:val="100"/>
                <w:position w:val="0"/>
                <w:highlight w:val="none"/>
              </w:rPr>
            </w:pPr>
            <w:r>
              <w:rPr>
                <w:rFonts w:hint="default"/>
                <w:color w:val="auto"/>
                <w:spacing w:val="0"/>
                <w:w w:val="100"/>
                <w:position w:val="0"/>
                <w:highlight w:val="none"/>
              </w:rPr>
              <w:t>-3</w:t>
            </w:r>
          </w:p>
        </w:tc>
        <w:tc>
          <w:tcPr>
            <w:tcW w:w="1464" w:type="dxa"/>
            <w:vAlign w:val="top"/>
          </w:tcPr>
          <w:p w14:paraId="05FD2DE2">
            <w:pPr>
              <w:pStyle w:val="19"/>
              <w:keepNext w:val="0"/>
              <w:keepLines w:val="0"/>
              <w:widowControl/>
              <w:suppressLineNumbers w:val="0"/>
              <w:spacing w:before="156" w:beforeAutospacing="0" w:after="0" w:afterAutospacing="0" w:line="226" w:lineRule="auto"/>
              <w:ind w:left="128" w:right="0"/>
              <w:rPr>
                <w:rFonts w:hint="default"/>
                <w:color w:val="auto"/>
                <w:spacing w:val="0"/>
                <w:w w:val="100"/>
                <w:position w:val="0"/>
                <w:highlight w:val="none"/>
              </w:rPr>
            </w:pPr>
            <w:r>
              <w:rPr>
                <w:rFonts w:hint="default"/>
                <w:color w:val="auto"/>
                <w:spacing w:val="0"/>
                <w:w w:val="100"/>
                <w:position w:val="0"/>
                <w:highlight w:val="none"/>
              </w:rPr>
              <w:t>1：2000</w:t>
            </w:r>
          </w:p>
        </w:tc>
        <w:tc>
          <w:tcPr>
            <w:tcW w:w="1461" w:type="dxa"/>
            <w:vAlign w:val="top"/>
          </w:tcPr>
          <w:p w14:paraId="03BDBAD6">
            <w:pPr>
              <w:pStyle w:val="19"/>
              <w:keepNext w:val="0"/>
              <w:keepLines w:val="0"/>
              <w:widowControl/>
              <w:suppressLineNumbers w:val="0"/>
              <w:spacing w:before="132" w:beforeAutospacing="0" w:after="0" w:afterAutospacing="0" w:line="282"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48970C0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4938A0F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0B3045B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56EC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1465" w:type="dxa"/>
            <w:vAlign w:val="top"/>
          </w:tcPr>
          <w:p w14:paraId="3CAFF44C">
            <w:pPr>
              <w:pStyle w:val="19"/>
              <w:keepNext w:val="0"/>
              <w:keepLines w:val="0"/>
              <w:widowControl/>
              <w:suppressLineNumbers w:val="0"/>
              <w:spacing w:before="157" w:beforeAutospacing="0" w:after="0" w:afterAutospacing="0" w:line="226" w:lineRule="auto"/>
              <w:ind w:left="114" w:right="0"/>
              <w:rPr>
                <w:rFonts w:hint="default"/>
                <w:color w:val="auto"/>
                <w:spacing w:val="0"/>
                <w:w w:val="100"/>
                <w:position w:val="0"/>
                <w:highlight w:val="none"/>
              </w:rPr>
            </w:pPr>
            <w:r>
              <w:rPr>
                <w:rFonts w:hint="default"/>
                <w:color w:val="auto"/>
                <w:spacing w:val="0"/>
                <w:w w:val="100"/>
                <w:position w:val="0"/>
                <w:highlight w:val="none"/>
              </w:rPr>
              <w:t>-4</w:t>
            </w:r>
          </w:p>
        </w:tc>
        <w:tc>
          <w:tcPr>
            <w:tcW w:w="1464" w:type="dxa"/>
            <w:vAlign w:val="top"/>
          </w:tcPr>
          <w:p w14:paraId="118A2B08">
            <w:pPr>
              <w:pStyle w:val="19"/>
              <w:keepNext w:val="0"/>
              <w:keepLines w:val="0"/>
              <w:widowControl/>
              <w:suppressLineNumbers w:val="0"/>
              <w:spacing w:before="157" w:beforeAutospacing="0" w:after="0" w:afterAutospacing="0" w:line="226" w:lineRule="auto"/>
              <w:ind w:left="128" w:right="0"/>
              <w:rPr>
                <w:rFonts w:hint="default"/>
                <w:color w:val="auto"/>
                <w:spacing w:val="0"/>
                <w:w w:val="100"/>
                <w:position w:val="0"/>
                <w:highlight w:val="none"/>
              </w:rPr>
            </w:pPr>
            <w:r>
              <w:rPr>
                <w:rFonts w:hint="default"/>
                <w:color w:val="auto"/>
                <w:spacing w:val="0"/>
                <w:w w:val="100"/>
                <w:position w:val="0"/>
                <w:highlight w:val="none"/>
              </w:rPr>
              <w:t>1：5000</w:t>
            </w:r>
          </w:p>
        </w:tc>
        <w:tc>
          <w:tcPr>
            <w:tcW w:w="1461" w:type="dxa"/>
            <w:vAlign w:val="top"/>
          </w:tcPr>
          <w:p w14:paraId="07F1A553">
            <w:pPr>
              <w:pStyle w:val="19"/>
              <w:keepNext w:val="0"/>
              <w:keepLines w:val="0"/>
              <w:widowControl/>
              <w:suppressLineNumbers w:val="0"/>
              <w:spacing w:before="133" w:beforeAutospacing="0" w:after="0" w:afterAutospacing="0" w:line="282"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7803022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1EE82C4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5B720C5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19CD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jc w:val="center"/>
        </w:trPr>
        <w:tc>
          <w:tcPr>
            <w:tcW w:w="1465" w:type="dxa"/>
            <w:vAlign w:val="top"/>
          </w:tcPr>
          <w:p w14:paraId="4CAB7256">
            <w:pPr>
              <w:pStyle w:val="19"/>
              <w:keepNext w:val="0"/>
              <w:keepLines w:val="0"/>
              <w:widowControl/>
              <w:suppressLineNumbers w:val="0"/>
              <w:spacing w:before="159" w:beforeAutospacing="0" w:after="0" w:afterAutospacing="0" w:line="226" w:lineRule="auto"/>
              <w:ind w:left="114" w:right="0"/>
              <w:rPr>
                <w:rFonts w:hint="default"/>
                <w:color w:val="auto"/>
                <w:spacing w:val="0"/>
                <w:w w:val="100"/>
                <w:position w:val="0"/>
                <w:highlight w:val="none"/>
              </w:rPr>
            </w:pPr>
            <w:r>
              <w:rPr>
                <w:rFonts w:hint="default"/>
                <w:color w:val="auto"/>
                <w:spacing w:val="0"/>
                <w:w w:val="100"/>
                <w:position w:val="0"/>
                <w:highlight w:val="none"/>
              </w:rPr>
              <w:t>-5</w:t>
            </w:r>
          </w:p>
        </w:tc>
        <w:tc>
          <w:tcPr>
            <w:tcW w:w="1464" w:type="dxa"/>
            <w:vAlign w:val="top"/>
          </w:tcPr>
          <w:p w14:paraId="6D757D41">
            <w:pPr>
              <w:pStyle w:val="19"/>
              <w:keepNext w:val="0"/>
              <w:keepLines w:val="0"/>
              <w:widowControl/>
              <w:suppressLineNumbers w:val="0"/>
              <w:spacing w:before="159" w:beforeAutospacing="0" w:after="0" w:afterAutospacing="0" w:line="226" w:lineRule="auto"/>
              <w:ind w:left="128" w:right="0"/>
              <w:rPr>
                <w:rFonts w:hint="default"/>
                <w:color w:val="auto"/>
                <w:spacing w:val="0"/>
                <w:w w:val="100"/>
                <w:position w:val="0"/>
                <w:highlight w:val="none"/>
              </w:rPr>
            </w:pPr>
            <w:r>
              <w:rPr>
                <w:rFonts w:hint="default"/>
                <w:color w:val="auto"/>
                <w:spacing w:val="0"/>
                <w:w w:val="100"/>
                <w:position w:val="0"/>
                <w:highlight w:val="none"/>
              </w:rPr>
              <w:t>1：10000</w:t>
            </w:r>
          </w:p>
        </w:tc>
        <w:tc>
          <w:tcPr>
            <w:tcW w:w="1461" w:type="dxa"/>
            <w:vAlign w:val="top"/>
          </w:tcPr>
          <w:p w14:paraId="0F17752A">
            <w:pPr>
              <w:pStyle w:val="19"/>
              <w:keepNext w:val="0"/>
              <w:keepLines w:val="0"/>
              <w:widowControl/>
              <w:suppressLineNumbers w:val="0"/>
              <w:spacing w:before="135" w:beforeAutospacing="0" w:after="0" w:afterAutospacing="0" w:line="282"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58C4C95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23A4EAB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722DCB1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4A74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465" w:type="dxa"/>
            <w:vAlign w:val="top"/>
          </w:tcPr>
          <w:p w14:paraId="40408AC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50C2FBD2">
            <w:pPr>
              <w:pStyle w:val="19"/>
              <w:keepNext w:val="0"/>
              <w:keepLines w:val="0"/>
              <w:widowControl/>
              <w:suppressLineNumbers w:val="0"/>
              <w:spacing w:before="156" w:beforeAutospacing="0" w:after="0" w:afterAutospacing="0" w:line="226" w:lineRule="auto"/>
              <w:ind w:left="125" w:right="0"/>
              <w:rPr>
                <w:rFonts w:hint="default"/>
                <w:color w:val="auto"/>
                <w:spacing w:val="0"/>
                <w:w w:val="100"/>
                <w:position w:val="0"/>
                <w:highlight w:val="none"/>
              </w:rPr>
            </w:pPr>
            <w:r>
              <w:rPr>
                <w:rFonts w:hint="default"/>
                <w:color w:val="auto"/>
                <w:spacing w:val="0"/>
                <w:w w:val="100"/>
                <w:position w:val="0"/>
                <w:highlight w:val="none"/>
              </w:rPr>
              <w:t>…</w:t>
            </w:r>
          </w:p>
        </w:tc>
        <w:tc>
          <w:tcPr>
            <w:tcW w:w="1461" w:type="dxa"/>
            <w:vAlign w:val="top"/>
          </w:tcPr>
          <w:p w14:paraId="013E022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6623A5F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1FDB756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3639904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324EA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jc w:val="center"/>
        </w:trPr>
        <w:tc>
          <w:tcPr>
            <w:tcW w:w="1465" w:type="dxa"/>
            <w:vAlign w:val="top"/>
          </w:tcPr>
          <w:p w14:paraId="3B8BF4BA">
            <w:pPr>
              <w:pStyle w:val="19"/>
              <w:keepNext w:val="0"/>
              <w:keepLines w:val="0"/>
              <w:widowControl/>
              <w:suppressLineNumbers w:val="0"/>
              <w:spacing w:before="157" w:beforeAutospacing="0" w:after="0" w:afterAutospacing="0" w:line="241" w:lineRule="auto"/>
              <w:ind w:left="120" w:right="0"/>
              <w:rPr>
                <w:rFonts w:hint="default"/>
                <w:color w:val="auto"/>
                <w:spacing w:val="0"/>
                <w:w w:val="100"/>
                <w:position w:val="0"/>
                <w:highlight w:val="none"/>
              </w:rPr>
            </w:pPr>
            <w:r>
              <w:rPr>
                <w:rFonts w:hint="default"/>
                <w:b/>
                <w:bCs/>
                <w:color w:val="auto"/>
                <w:spacing w:val="0"/>
                <w:w w:val="100"/>
                <w:position w:val="0"/>
                <w:highlight w:val="none"/>
              </w:rPr>
              <w:t>3</w:t>
            </w:r>
          </w:p>
        </w:tc>
        <w:tc>
          <w:tcPr>
            <w:tcW w:w="1464" w:type="dxa"/>
            <w:vAlign w:val="top"/>
          </w:tcPr>
          <w:p w14:paraId="42844ECD">
            <w:pPr>
              <w:pStyle w:val="19"/>
              <w:keepNext w:val="0"/>
              <w:keepLines w:val="0"/>
              <w:widowControl/>
              <w:suppressLineNumbers w:val="0"/>
              <w:spacing w:before="158" w:beforeAutospacing="0" w:after="0" w:afterAutospacing="0" w:line="297" w:lineRule="auto"/>
              <w:ind w:left="0" w:right="298"/>
              <w:rPr>
                <w:rFonts w:hint="default"/>
                <w:color w:val="auto"/>
                <w:spacing w:val="0"/>
                <w:w w:val="100"/>
                <w:position w:val="0"/>
                <w:highlight w:val="none"/>
              </w:rPr>
            </w:pPr>
            <w:r>
              <w:rPr>
                <w:rFonts w:hint="default"/>
                <w:b/>
                <w:bCs/>
                <w:color w:val="auto"/>
                <w:spacing w:val="0"/>
                <w:w w:val="100"/>
                <w:position w:val="0"/>
                <w:highlight w:val="none"/>
              </w:rPr>
              <w:t>水下地形图测绘</w:t>
            </w:r>
          </w:p>
        </w:tc>
        <w:tc>
          <w:tcPr>
            <w:tcW w:w="1461" w:type="dxa"/>
            <w:vAlign w:val="top"/>
          </w:tcPr>
          <w:p w14:paraId="528CC9D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4E05C4D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1940729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54E11A9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98BE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465" w:type="dxa"/>
            <w:vAlign w:val="top"/>
          </w:tcPr>
          <w:p w14:paraId="5B99E79C">
            <w:pPr>
              <w:pStyle w:val="19"/>
              <w:keepNext w:val="0"/>
              <w:keepLines w:val="0"/>
              <w:widowControl/>
              <w:suppressLineNumbers w:val="0"/>
              <w:spacing w:before="158" w:beforeAutospacing="0" w:after="0" w:afterAutospacing="0" w:line="225" w:lineRule="auto"/>
              <w:ind w:left="114" w:right="0"/>
              <w:rPr>
                <w:rFonts w:hint="default"/>
                <w:color w:val="auto"/>
                <w:spacing w:val="0"/>
                <w:w w:val="100"/>
                <w:position w:val="0"/>
                <w:highlight w:val="none"/>
              </w:rPr>
            </w:pPr>
            <w:r>
              <w:rPr>
                <w:rFonts w:hint="default"/>
                <w:color w:val="auto"/>
                <w:spacing w:val="0"/>
                <w:w w:val="100"/>
                <w:position w:val="0"/>
                <w:highlight w:val="none"/>
              </w:rPr>
              <w:t>-1</w:t>
            </w:r>
          </w:p>
        </w:tc>
        <w:tc>
          <w:tcPr>
            <w:tcW w:w="1464" w:type="dxa"/>
            <w:vAlign w:val="top"/>
          </w:tcPr>
          <w:p w14:paraId="16DFD9A2">
            <w:pPr>
              <w:pStyle w:val="19"/>
              <w:keepNext w:val="0"/>
              <w:keepLines w:val="0"/>
              <w:widowControl/>
              <w:suppressLineNumbers w:val="0"/>
              <w:spacing w:before="158" w:beforeAutospacing="0" w:after="0" w:afterAutospacing="0" w:line="225" w:lineRule="auto"/>
              <w:ind w:left="128" w:right="0"/>
              <w:rPr>
                <w:rFonts w:hint="default"/>
                <w:color w:val="auto"/>
                <w:spacing w:val="0"/>
                <w:w w:val="100"/>
                <w:position w:val="0"/>
                <w:highlight w:val="none"/>
              </w:rPr>
            </w:pPr>
            <w:r>
              <w:rPr>
                <w:rFonts w:hint="default"/>
                <w:color w:val="auto"/>
                <w:spacing w:val="0"/>
                <w:w w:val="100"/>
                <w:position w:val="0"/>
                <w:highlight w:val="none"/>
              </w:rPr>
              <w:t>1：200</w:t>
            </w:r>
          </w:p>
        </w:tc>
        <w:tc>
          <w:tcPr>
            <w:tcW w:w="1461" w:type="dxa"/>
            <w:vAlign w:val="top"/>
          </w:tcPr>
          <w:p w14:paraId="7DC8DC00">
            <w:pPr>
              <w:pStyle w:val="19"/>
              <w:keepNext w:val="0"/>
              <w:keepLines w:val="0"/>
              <w:widowControl/>
              <w:suppressLineNumbers w:val="0"/>
              <w:spacing w:before="134" w:beforeAutospacing="0" w:after="0" w:afterAutospacing="0" w:line="280"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6DF704C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4D2B17F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226DECF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0D00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1465" w:type="dxa"/>
            <w:vAlign w:val="top"/>
          </w:tcPr>
          <w:p w14:paraId="0A3DB46F">
            <w:pPr>
              <w:pStyle w:val="19"/>
              <w:keepNext w:val="0"/>
              <w:keepLines w:val="0"/>
              <w:widowControl/>
              <w:suppressLineNumbers w:val="0"/>
              <w:spacing w:before="159" w:beforeAutospacing="0" w:after="0" w:afterAutospacing="0" w:line="225" w:lineRule="auto"/>
              <w:ind w:left="114" w:right="0"/>
              <w:rPr>
                <w:rFonts w:hint="default"/>
                <w:color w:val="auto"/>
                <w:spacing w:val="0"/>
                <w:w w:val="100"/>
                <w:position w:val="0"/>
                <w:highlight w:val="none"/>
              </w:rPr>
            </w:pPr>
            <w:r>
              <w:rPr>
                <w:rFonts w:hint="default"/>
                <w:color w:val="auto"/>
                <w:spacing w:val="0"/>
                <w:w w:val="100"/>
                <w:position w:val="0"/>
                <w:highlight w:val="none"/>
              </w:rPr>
              <w:t>-2</w:t>
            </w:r>
          </w:p>
        </w:tc>
        <w:tc>
          <w:tcPr>
            <w:tcW w:w="1464" w:type="dxa"/>
            <w:vAlign w:val="top"/>
          </w:tcPr>
          <w:p w14:paraId="75311D3F">
            <w:pPr>
              <w:pStyle w:val="19"/>
              <w:keepNext w:val="0"/>
              <w:keepLines w:val="0"/>
              <w:widowControl/>
              <w:suppressLineNumbers w:val="0"/>
              <w:spacing w:before="159" w:beforeAutospacing="0" w:after="0" w:afterAutospacing="0" w:line="225" w:lineRule="auto"/>
              <w:ind w:left="128" w:right="0"/>
              <w:rPr>
                <w:rFonts w:hint="default"/>
                <w:color w:val="auto"/>
                <w:spacing w:val="0"/>
                <w:w w:val="100"/>
                <w:position w:val="0"/>
                <w:highlight w:val="none"/>
              </w:rPr>
            </w:pPr>
            <w:r>
              <w:rPr>
                <w:rFonts w:hint="default"/>
                <w:color w:val="auto"/>
                <w:spacing w:val="0"/>
                <w:w w:val="100"/>
                <w:position w:val="0"/>
                <w:highlight w:val="none"/>
              </w:rPr>
              <w:t>1：500</w:t>
            </w:r>
          </w:p>
        </w:tc>
        <w:tc>
          <w:tcPr>
            <w:tcW w:w="1461" w:type="dxa"/>
            <w:vAlign w:val="top"/>
          </w:tcPr>
          <w:p w14:paraId="73EA0A61">
            <w:pPr>
              <w:pStyle w:val="19"/>
              <w:keepNext w:val="0"/>
              <w:keepLines w:val="0"/>
              <w:widowControl/>
              <w:suppressLineNumbers w:val="0"/>
              <w:spacing w:before="135" w:beforeAutospacing="0" w:after="0" w:afterAutospacing="0" w:line="280"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4F21279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21A6B94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7F6E09F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A4C2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465" w:type="dxa"/>
            <w:vAlign w:val="top"/>
          </w:tcPr>
          <w:p w14:paraId="7D8365D5">
            <w:pPr>
              <w:pStyle w:val="19"/>
              <w:keepNext w:val="0"/>
              <w:keepLines w:val="0"/>
              <w:widowControl/>
              <w:suppressLineNumbers w:val="0"/>
              <w:spacing w:before="159" w:beforeAutospacing="0" w:after="0" w:afterAutospacing="0" w:line="224" w:lineRule="auto"/>
              <w:ind w:left="114" w:right="0"/>
              <w:rPr>
                <w:rFonts w:hint="default"/>
                <w:color w:val="auto"/>
                <w:spacing w:val="0"/>
                <w:w w:val="100"/>
                <w:position w:val="0"/>
                <w:highlight w:val="none"/>
              </w:rPr>
            </w:pPr>
            <w:r>
              <w:rPr>
                <w:rFonts w:hint="default"/>
                <w:color w:val="auto"/>
                <w:spacing w:val="0"/>
                <w:w w:val="100"/>
                <w:position w:val="0"/>
                <w:highlight w:val="none"/>
              </w:rPr>
              <w:t>-3</w:t>
            </w:r>
          </w:p>
        </w:tc>
        <w:tc>
          <w:tcPr>
            <w:tcW w:w="1464" w:type="dxa"/>
            <w:vAlign w:val="top"/>
          </w:tcPr>
          <w:p w14:paraId="397D8634">
            <w:pPr>
              <w:pStyle w:val="19"/>
              <w:keepNext w:val="0"/>
              <w:keepLines w:val="0"/>
              <w:widowControl/>
              <w:suppressLineNumbers w:val="0"/>
              <w:spacing w:before="159" w:beforeAutospacing="0" w:after="0" w:afterAutospacing="0" w:line="224" w:lineRule="auto"/>
              <w:ind w:left="128" w:right="0"/>
              <w:rPr>
                <w:rFonts w:hint="default"/>
                <w:color w:val="auto"/>
                <w:spacing w:val="0"/>
                <w:w w:val="100"/>
                <w:position w:val="0"/>
                <w:highlight w:val="none"/>
              </w:rPr>
            </w:pPr>
            <w:r>
              <w:rPr>
                <w:rFonts w:hint="default"/>
                <w:color w:val="auto"/>
                <w:spacing w:val="0"/>
                <w:w w:val="100"/>
                <w:position w:val="0"/>
                <w:highlight w:val="none"/>
              </w:rPr>
              <w:t>1：1000</w:t>
            </w:r>
          </w:p>
        </w:tc>
        <w:tc>
          <w:tcPr>
            <w:tcW w:w="1461" w:type="dxa"/>
            <w:vAlign w:val="top"/>
          </w:tcPr>
          <w:p w14:paraId="0D582A71">
            <w:pPr>
              <w:pStyle w:val="19"/>
              <w:keepNext w:val="0"/>
              <w:keepLines w:val="0"/>
              <w:widowControl/>
              <w:suppressLineNumbers w:val="0"/>
              <w:spacing w:before="135" w:beforeAutospacing="0" w:after="0" w:afterAutospacing="0" w:line="279"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55805E8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2FBDA3A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4379D91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0892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jc w:val="center"/>
        </w:trPr>
        <w:tc>
          <w:tcPr>
            <w:tcW w:w="1465" w:type="dxa"/>
            <w:vAlign w:val="top"/>
          </w:tcPr>
          <w:p w14:paraId="75A21C0B">
            <w:pPr>
              <w:pStyle w:val="19"/>
              <w:keepNext w:val="0"/>
              <w:keepLines w:val="0"/>
              <w:widowControl/>
              <w:suppressLineNumbers w:val="0"/>
              <w:spacing w:before="162" w:beforeAutospacing="0" w:after="0" w:afterAutospacing="0" w:line="224" w:lineRule="auto"/>
              <w:ind w:left="114" w:right="0"/>
              <w:rPr>
                <w:rFonts w:hint="default"/>
                <w:color w:val="auto"/>
                <w:spacing w:val="0"/>
                <w:w w:val="100"/>
                <w:position w:val="0"/>
                <w:highlight w:val="none"/>
              </w:rPr>
            </w:pPr>
            <w:r>
              <w:rPr>
                <w:rFonts w:hint="default"/>
                <w:color w:val="auto"/>
                <w:spacing w:val="0"/>
                <w:w w:val="100"/>
                <w:position w:val="0"/>
                <w:highlight w:val="none"/>
              </w:rPr>
              <w:t>-4</w:t>
            </w:r>
          </w:p>
        </w:tc>
        <w:tc>
          <w:tcPr>
            <w:tcW w:w="1464" w:type="dxa"/>
            <w:vAlign w:val="top"/>
          </w:tcPr>
          <w:p w14:paraId="2018C688">
            <w:pPr>
              <w:pStyle w:val="19"/>
              <w:keepNext w:val="0"/>
              <w:keepLines w:val="0"/>
              <w:widowControl/>
              <w:suppressLineNumbers w:val="0"/>
              <w:spacing w:before="162" w:beforeAutospacing="0" w:after="0" w:afterAutospacing="0" w:line="224" w:lineRule="auto"/>
              <w:ind w:left="128" w:right="0"/>
              <w:rPr>
                <w:rFonts w:hint="default"/>
                <w:color w:val="auto"/>
                <w:spacing w:val="0"/>
                <w:w w:val="100"/>
                <w:position w:val="0"/>
                <w:highlight w:val="none"/>
              </w:rPr>
            </w:pPr>
            <w:r>
              <w:rPr>
                <w:rFonts w:hint="default"/>
                <w:color w:val="auto"/>
                <w:spacing w:val="0"/>
                <w:w w:val="100"/>
                <w:position w:val="0"/>
                <w:highlight w:val="none"/>
              </w:rPr>
              <w:t>1：2000</w:t>
            </w:r>
          </w:p>
        </w:tc>
        <w:tc>
          <w:tcPr>
            <w:tcW w:w="1461" w:type="dxa"/>
            <w:vAlign w:val="top"/>
          </w:tcPr>
          <w:p w14:paraId="7298ED67">
            <w:pPr>
              <w:pStyle w:val="19"/>
              <w:keepNext w:val="0"/>
              <w:keepLines w:val="0"/>
              <w:widowControl/>
              <w:suppressLineNumbers w:val="0"/>
              <w:spacing w:before="138" w:beforeAutospacing="0" w:after="0" w:afterAutospacing="0" w:line="279"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26C564A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1FB3275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61366CA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B9CA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465" w:type="dxa"/>
            <w:vAlign w:val="top"/>
          </w:tcPr>
          <w:p w14:paraId="545A563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358BA98F">
            <w:pPr>
              <w:pStyle w:val="19"/>
              <w:keepNext w:val="0"/>
              <w:keepLines w:val="0"/>
              <w:widowControl/>
              <w:suppressLineNumbers w:val="0"/>
              <w:spacing w:before="159" w:beforeAutospacing="0" w:after="0" w:afterAutospacing="0" w:line="224" w:lineRule="auto"/>
              <w:ind w:left="125" w:right="0"/>
              <w:rPr>
                <w:rFonts w:hint="default"/>
                <w:color w:val="auto"/>
                <w:spacing w:val="0"/>
                <w:w w:val="100"/>
                <w:position w:val="0"/>
                <w:highlight w:val="none"/>
              </w:rPr>
            </w:pPr>
            <w:r>
              <w:rPr>
                <w:rFonts w:hint="default"/>
                <w:color w:val="auto"/>
                <w:spacing w:val="0"/>
                <w:w w:val="100"/>
                <w:position w:val="0"/>
                <w:highlight w:val="none"/>
              </w:rPr>
              <w:t>…</w:t>
            </w:r>
          </w:p>
        </w:tc>
        <w:tc>
          <w:tcPr>
            <w:tcW w:w="1461" w:type="dxa"/>
            <w:vAlign w:val="top"/>
          </w:tcPr>
          <w:p w14:paraId="1A57620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53AEEE9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545D931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7B52346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AF00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1465" w:type="dxa"/>
            <w:vAlign w:val="top"/>
          </w:tcPr>
          <w:p w14:paraId="5847E350">
            <w:pPr>
              <w:pStyle w:val="19"/>
              <w:keepNext w:val="0"/>
              <w:keepLines w:val="0"/>
              <w:widowControl/>
              <w:suppressLineNumbers w:val="0"/>
              <w:spacing w:before="160" w:beforeAutospacing="0" w:after="0" w:afterAutospacing="0" w:line="224" w:lineRule="auto"/>
              <w:ind w:left="115" w:right="0"/>
              <w:rPr>
                <w:rFonts w:hint="default"/>
                <w:color w:val="auto"/>
                <w:spacing w:val="0"/>
                <w:w w:val="100"/>
                <w:position w:val="0"/>
                <w:highlight w:val="none"/>
              </w:rPr>
            </w:pPr>
            <w:r>
              <w:rPr>
                <w:rFonts w:hint="default"/>
                <w:b/>
                <w:bCs/>
                <w:color w:val="auto"/>
                <w:spacing w:val="0"/>
                <w:w w:val="100"/>
                <w:position w:val="0"/>
                <w:highlight w:val="none"/>
              </w:rPr>
              <w:t>4</w:t>
            </w:r>
          </w:p>
        </w:tc>
        <w:tc>
          <w:tcPr>
            <w:tcW w:w="1464" w:type="dxa"/>
            <w:vAlign w:val="top"/>
          </w:tcPr>
          <w:p w14:paraId="13FE7B12">
            <w:pPr>
              <w:pStyle w:val="19"/>
              <w:keepNext w:val="0"/>
              <w:keepLines w:val="0"/>
              <w:widowControl/>
              <w:suppressLineNumbers w:val="0"/>
              <w:spacing w:before="160" w:beforeAutospacing="0" w:after="0" w:afterAutospacing="0" w:line="221" w:lineRule="auto"/>
              <w:ind w:left="112" w:right="0"/>
              <w:rPr>
                <w:rFonts w:hint="default"/>
                <w:color w:val="auto"/>
                <w:spacing w:val="0"/>
                <w:w w:val="100"/>
                <w:position w:val="0"/>
                <w:highlight w:val="none"/>
              </w:rPr>
            </w:pPr>
            <w:r>
              <w:rPr>
                <w:rFonts w:hint="default"/>
                <w:b/>
                <w:bCs/>
                <w:color w:val="auto"/>
                <w:spacing w:val="0"/>
                <w:w w:val="100"/>
                <w:position w:val="0"/>
                <w:highlight w:val="none"/>
              </w:rPr>
              <w:t>航空测绘</w:t>
            </w:r>
          </w:p>
        </w:tc>
        <w:tc>
          <w:tcPr>
            <w:tcW w:w="1461" w:type="dxa"/>
            <w:vAlign w:val="top"/>
          </w:tcPr>
          <w:p w14:paraId="3036FA1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45E7577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23E2968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79EFDDD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81A8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1465" w:type="dxa"/>
            <w:vAlign w:val="top"/>
          </w:tcPr>
          <w:p w14:paraId="51E5FC7C">
            <w:pPr>
              <w:pStyle w:val="19"/>
              <w:keepNext w:val="0"/>
              <w:keepLines w:val="0"/>
              <w:widowControl/>
              <w:suppressLineNumbers w:val="0"/>
              <w:spacing w:before="160" w:beforeAutospacing="0" w:after="0" w:afterAutospacing="0" w:line="224" w:lineRule="auto"/>
              <w:ind w:left="114" w:right="0"/>
              <w:rPr>
                <w:rFonts w:hint="default"/>
                <w:color w:val="auto"/>
                <w:spacing w:val="0"/>
                <w:w w:val="100"/>
                <w:position w:val="0"/>
                <w:highlight w:val="none"/>
              </w:rPr>
            </w:pPr>
            <w:r>
              <w:rPr>
                <w:rFonts w:hint="default"/>
                <w:color w:val="auto"/>
                <w:spacing w:val="0"/>
                <w:w w:val="100"/>
                <w:position w:val="0"/>
                <w:highlight w:val="none"/>
              </w:rPr>
              <w:t>-1</w:t>
            </w:r>
          </w:p>
        </w:tc>
        <w:tc>
          <w:tcPr>
            <w:tcW w:w="1464" w:type="dxa"/>
            <w:vAlign w:val="top"/>
          </w:tcPr>
          <w:p w14:paraId="66756B99">
            <w:pPr>
              <w:pStyle w:val="19"/>
              <w:keepNext w:val="0"/>
              <w:keepLines w:val="0"/>
              <w:widowControl/>
              <w:suppressLineNumbers w:val="0"/>
              <w:spacing w:before="160" w:beforeAutospacing="0" w:after="0" w:afterAutospacing="0" w:line="224" w:lineRule="auto"/>
              <w:ind w:left="128" w:right="0"/>
              <w:rPr>
                <w:rFonts w:hint="default"/>
                <w:color w:val="auto"/>
                <w:spacing w:val="0"/>
                <w:w w:val="100"/>
                <w:position w:val="0"/>
                <w:highlight w:val="none"/>
              </w:rPr>
            </w:pPr>
            <w:r>
              <w:rPr>
                <w:rFonts w:hint="default"/>
                <w:color w:val="auto"/>
                <w:spacing w:val="0"/>
                <w:w w:val="100"/>
                <w:position w:val="0"/>
                <w:highlight w:val="none"/>
              </w:rPr>
              <w:t>1：500</w:t>
            </w:r>
          </w:p>
        </w:tc>
        <w:tc>
          <w:tcPr>
            <w:tcW w:w="1461" w:type="dxa"/>
            <w:vAlign w:val="top"/>
          </w:tcPr>
          <w:p w14:paraId="4011A25F">
            <w:pPr>
              <w:pStyle w:val="19"/>
              <w:keepNext w:val="0"/>
              <w:keepLines w:val="0"/>
              <w:widowControl/>
              <w:suppressLineNumbers w:val="0"/>
              <w:spacing w:before="135" w:beforeAutospacing="0" w:after="0" w:afterAutospacing="0" w:line="280"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3E2F2A5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4E25E2D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7A078B7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D7CE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465" w:type="dxa"/>
            <w:vAlign w:val="top"/>
          </w:tcPr>
          <w:p w14:paraId="4FC2B46D">
            <w:pPr>
              <w:pStyle w:val="19"/>
              <w:keepNext w:val="0"/>
              <w:keepLines w:val="0"/>
              <w:widowControl/>
              <w:suppressLineNumbers w:val="0"/>
              <w:spacing w:before="159" w:beforeAutospacing="0" w:after="0" w:afterAutospacing="0" w:line="224" w:lineRule="auto"/>
              <w:ind w:left="114" w:right="0"/>
              <w:rPr>
                <w:rFonts w:hint="default"/>
                <w:color w:val="auto"/>
                <w:spacing w:val="0"/>
                <w:w w:val="100"/>
                <w:position w:val="0"/>
                <w:highlight w:val="none"/>
              </w:rPr>
            </w:pPr>
            <w:r>
              <w:rPr>
                <w:rFonts w:hint="default"/>
                <w:color w:val="auto"/>
                <w:spacing w:val="0"/>
                <w:w w:val="100"/>
                <w:position w:val="0"/>
                <w:highlight w:val="none"/>
              </w:rPr>
              <w:t>-2</w:t>
            </w:r>
          </w:p>
        </w:tc>
        <w:tc>
          <w:tcPr>
            <w:tcW w:w="1464" w:type="dxa"/>
            <w:vAlign w:val="top"/>
          </w:tcPr>
          <w:p w14:paraId="2EB9C290">
            <w:pPr>
              <w:pStyle w:val="19"/>
              <w:keepNext w:val="0"/>
              <w:keepLines w:val="0"/>
              <w:widowControl/>
              <w:suppressLineNumbers w:val="0"/>
              <w:spacing w:before="159" w:beforeAutospacing="0" w:after="0" w:afterAutospacing="0" w:line="224" w:lineRule="auto"/>
              <w:ind w:left="128" w:right="0"/>
              <w:rPr>
                <w:rFonts w:hint="default"/>
                <w:color w:val="auto"/>
                <w:spacing w:val="0"/>
                <w:w w:val="100"/>
                <w:position w:val="0"/>
                <w:highlight w:val="none"/>
              </w:rPr>
            </w:pPr>
            <w:r>
              <w:rPr>
                <w:rFonts w:hint="default"/>
                <w:color w:val="auto"/>
                <w:spacing w:val="0"/>
                <w:w w:val="100"/>
                <w:position w:val="0"/>
                <w:highlight w:val="none"/>
              </w:rPr>
              <w:t>1：1000</w:t>
            </w:r>
          </w:p>
        </w:tc>
        <w:tc>
          <w:tcPr>
            <w:tcW w:w="1461" w:type="dxa"/>
            <w:vAlign w:val="top"/>
          </w:tcPr>
          <w:p w14:paraId="4E329534">
            <w:pPr>
              <w:pStyle w:val="19"/>
              <w:keepNext w:val="0"/>
              <w:keepLines w:val="0"/>
              <w:widowControl/>
              <w:suppressLineNumbers w:val="0"/>
              <w:spacing w:before="135" w:beforeAutospacing="0" w:after="0" w:afterAutospacing="0" w:line="278"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6B08821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09B0B77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76996ED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92AC4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1465" w:type="dxa"/>
            <w:vAlign w:val="top"/>
          </w:tcPr>
          <w:p w14:paraId="6C43CC51">
            <w:pPr>
              <w:pStyle w:val="19"/>
              <w:keepNext w:val="0"/>
              <w:keepLines w:val="0"/>
              <w:widowControl/>
              <w:suppressLineNumbers w:val="0"/>
              <w:spacing w:before="160" w:beforeAutospacing="0" w:after="0" w:afterAutospacing="0" w:line="224" w:lineRule="auto"/>
              <w:ind w:left="114" w:right="0"/>
              <w:rPr>
                <w:rFonts w:hint="default"/>
                <w:color w:val="auto"/>
                <w:spacing w:val="0"/>
                <w:w w:val="100"/>
                <w:position w:val="0"/>
                <w:highlight w:val="none"/>
              </w:rPr>
            </w:pPr>
            <w:r>
              <w:rPr>
                <w:rFonts w:hint="default"/>
                <w:color w:val="auto"/>
                <w:spacing w:val="0"/>
                <w:w w:val="100"/>
                <w:position w:val="0"/>
                <w:highlight w:val="none"/>
              </w:rPr>
              <w:t>-3</w:t>
            </w:r>
          </w:p>
        </w:tc>
        <w:tc>
          <w:tcPr>
            <w:tcW w:w="1464" w:type="dxa"/>
            <w:vAlign w:val="top"/>
          </w:tcPr>
          <w:p w14:paraId="00505409">
            <w:pPr>
              <w:pStyle w:val="19"/>
              <w:keepNext w:val="0"/>
              <w:keepLines w:val="0"/>
              <w:widowControl/>
              <w:suppressLineNumbers w:val="0"/>
              <w:spacing w:before="160" w:beforeAutospacing="0" w:after="0" w:afterAutospacing="0" w:line="224" w:lineRule="auto"/>
              <w:ind w:left="128" w:right="0"/>
              <w:rPr>
                <w:rFonts w:hint="default"/>
                <w:color w:val="auto"/>
                <w:spacing w:val="0"/>
                <w:w w:val="100"/>
                <w:position w:val="0"/>
                <w:highlight w:val="none"/>
              </w:rPr>
            </w:pPr>
            <w:r>
              <w:rPr>
                <w:rFonts w:hint="default"/>
                <w:color w:val="auto"/>
                <w:spacing w:val="0"/>
                <w:w w:val="100"/>
                <w:position w:val="0"/>
                <w:highlight w:val="none"/>
              </w:rPr>
              <w:t>1：2000</w:t>
            </w:r>
          </w:p>
        </w:tc>
        <w:tc>
          <w:tcPr>
            <w:tcW w:w="1461" w:type="dxa"/>
            <w:vAlign w:val="top"/>
          </w:tcPr>
          <w:p w14:paraId="207C9C9B">
            <w:pPr>
              <w:pStyle w:val="19"/>
              <w:keepNext w:val="0"/>
              <w:keepLines w:val="0"/>
              <w:widowControl/>
              <w:suppressLineNumbers w:val="0"/>
              <w:spacing w:before="136" w:beforeAutospacing="0" w:after="0" w:afterAutospacing="0" w:line="278" w:lineRule="exact"/>
              <w:ind w:left="111" w:right="0"/>
              <w:rPr>
                <w:rFonts w:hint="default"/>
                <w:color w:val="auto"/>
                <w:spacing w:val="0"/>
                <w:w w:val="100"/>
                <w:position w:val="0"/>
                <w:sz w:val="11"/>
                <w:szCs w:val="11"/>
                <w:highlight w:val="none"/>
              </w:rPr>
            </w:pPr>
            <w:r>
              <w:rPr>
                <w:rFonts w:hint="default"/>
                <w:color w:val="auto"/>
                <w:spacing w:val="0"/>
                <w:w w:val="100"/>
                <w:position w:val="0"/>
                <w:highlight w:val="none"/>
              </w:rPr>
              <w:t xml:space="preserve">km </w:t>
            </w:r>
            <w:r>
              <w:rPr>
                <w:rFonts w:hint="default"/>
                <w:color w:val="auto"/>
                <w:spacing w:val="0"/>
                <w:w w:val="100"/>
                <w:position w:val="0"/>
                <w:sz w:val="11"/>
                <w:szCs w:val="11"/>
                <w:highlight w:val="none"/>
              </w:rPr>
              <w:t>2</w:t>
            </w:r>
          </w:p>
        </w:tc>
        <w:tc>
          <w:tcPr>
            <w:tcW w:w="1463" w:type="dxa"/>
            <w:vAlign w:val="top"/>
          </w:tcPr>
          <w:p w14:paraId="0038B99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7C0876F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094644B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48B6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jc w:val="center"/>
        </w:trPr>
        <w:tc>
          <w:tcPr>
            <w:tcW w:w="1465" w:type="dxa"/>
            <w:vAlign w:val="top"/>
          </w:tcPr>
          <w:p w14:paraId="0BAFCA3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70FC55D9">
            <w:pPr>
              <w:pStyle w:val="19"/>
              <w:keepNext w:val="0"/>
              <w:keepLines w:val="0"/>
              <w:widowControl/>
              <w:suppressLineNumbers w:val="0"/>
              <w:spacing w:before="162" w:beforeAutospacing="0" w:after="0" w:afterAutospacing="0" w:line="224" w:lineRule="auto"/>
              <w:ind w:left="125" w:right="0"/>
              <w:rPr>
                <w:rFonts w:hint="default"/>
                <w:color w:val="auto"/>
                <w:spacing w:val="0"/>
                <w:w w:val="100"/>
                <w:position w:val="0"/>
                <w:highlight w:val="none"/>
              </w:rPr>
            </w:pPr>
            <w:r>
              <w:rPr>
                <w:rFonts w:hint="default"/>
                <w:color w:val="auto"/>
                <w:spacing w:val="0"/>
                <w:w w:val="100"/>
                <w:position w:val="0"/>
                <w:highlight w:val="none"/>
              </w:rPr>
              <w:t>…</w:t>
            </w:r>
          </w:p>
        </w:tc>
        <w:tc>
          <w:tcPr>
            <w:tcW w:w="1461" w:type="dxa"/>
            <w:vAlign w:val="top"/>
          </w:tcPr>
          <w:p w14:paraId="6E98FAC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4685340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30B425A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0900F3A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9AE4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1465" w:type="dxa"/>
            <w:vAlign w:val="top"/>
          </w:tcPr>
          <w:p w14:paraId="2E94E533">
            <w:pPr>
              <w:pStyle w:val="19"/>
              <w:keepNext w:val="0"/>
              <w:keepLines w:val="0"/>
              <w:widowControl/>
              <w:suppressLineNumbers w:val="0"/>
              <w:spacing w:before="159" w:beforeAutospacing="0" w:after="0" w:afterAutospacing="0" w:line="228" w:lineRule="auto"/>
              <w:ind w:left="120" w:right="0"/>
              <w:rPr>
                <w:rFonts w:hint="default"/>
                <w:color w:val="auto"/>
                <w:spacing w:val="0"/>
                <w:w w:val="100"/>
                <w:position w:val="0"/>
                <w:highlight w:val="none"/>
              </w:rPr>
            </w:pPr>
            <w:r>
              <w:rPr>
                <w:rFonts w:hint="default"/>
                <w:b/>
                <w:bCs/>
                <w:color w:val="auto"/>
                <w:spacing w:val="0"/>
                <w:w w:val="100"/>
                <w:position w:val="0"/>
                <w:highlight w:val="none"/>
              </w:rPr>
              <w:t>5</w:t>
            </w:r>
          </w:p>
        </w:tc>
        <w:tc>
          <w:tcPr>
            <w:tcW w:w="1464" w:type="dxa"/>
            <w:vAlign w:val="top"/>
          </w:tcPr>
          <w:p w14:paraId="6971EEBE">
            <w:pPr>
              <w:pStyle w:val="19"/>
              <w:keepNext w:val="0"/>
              <w:keepLines w:val="0"/>
              <w:widowControl/>
              <w:suppressLineNumbers w:val="0"/>
              <w:spacing w:before="159" w:beforeAutospacing="0" w:after="0" w:afterAutospacing="0" w:line="221" w:lineRule="auto"/>
              <w:ind w:left="111" w:right="0"/>
              <w:rPr>
                <w:rFonts w:hint="default"/>
                <w:color w:val="auto"/>
                <w:spacing w:val="0"/>
                <w:w w:val="100"/>
                <w:position w:val="0"/>
                <w:highlight w:val="none"/>
              </w:rPr>
            </w:pPr>
            <w:r>
              <w:rPr>
                <w:rFonts w:hint="default"/>
                <w:b/>
                <w:bCs/>
                <w:color w:val="auto"/>
                <w:spacing w:val="0"/>
                <w:w w:val="100"/>
                <w:position w:val="0"/>
                <w:highlight w:val="none"/>
              </w:rPr>
              <w:t>勘探</w:t>
            </w:r>
          </w:p>
        </w:tc>
        <w:tc>
          <w:tcPr>
            <w:tcW w:w="1461" w:type="dxa"/>
            <w:vAlign w:val="top"/>
          </w:tcPr>
          <w:p w14:paraId="6A3E756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0459575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432328D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5" w:type="dxa"/>
            <w:vAlign w:val="top"/>
          </w:tcPr>
          <w:p w14:paraId="30D50EE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217C3AAD">
      <w:pPr>
        <w:spacing w:line="62" w:lineRule="exact"/>
        <w:rPr>
          <w:color w:val="auto"/>
          <w:spacing w:val="0"/>
          <w:w w:val="100"/>
          <w:position w:val="0"/>
          <w:highlight w:val="none"/>
        </w:rPr>
      </w:pPr>
    </w:p>
    <w:tbl>
      <w:tblPr>
        <w:tblStyle w:val="18"/>
        <w:tblW w:w="90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65"/>
        <w:gridCol w:w="1464"/>
        <w:gridCol w:w="1461"/>
        <w:gridCol w:w="1463"/>
        <w:gridCol w:w="1464"/>
        <w:gridCol w:w="1776"/>
      </w:tblGrid>
      <w:tr w14:paraId="482D1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1465" w:type="dxa"/>
            <w:vAlign w:val="top"/>
          </w:tcPr>
          <w:p w14:paraId="39660611">
            <w:pPr>
              <w:pStyle w:val="19"/>
              <w:keepNext w:val="0"/>
              <w:keepLines w:val="0"/>
              <w:widowControl/>
              <w:suppressLineNumbers w:val="0"/>
              <w:spacing w:before="159" w:beforeAutospacing="0" w:after="0" w:afterAutospacing="0" w:line="229" w:lineRule="auto"/>
              <w:ind w:left="114" w:right="0"/>
              <w:rPr>
                <w:rFonts w:hint="default"/>
                <w:color w:val="auto"/>
                <w:spacing w:val="0"/>
                <w:w w:val="100"/>
                <w:position w:val="0"/>
                <w:highlight w:val="none"/>
              </w:rPr>
            </w:pPr>
            <w:r>
              <w:rPr>
                <w:rFonts w:hint="default"/>
                <w:color w:val="auto"/>
                <w:spacing w:val="0"/>
                <w:w w:val="100"/>
                <w:position w:val="0"/>
                <w:highlight w:val="none"/>
              </w:rPr>
              <w:t>-1</w:t>
            </w:r>
          </w:p>
        </w:tc>
        <w:tc>
          <w:tcPr>
            <w:tcW w:w="1464" w:type="dxa"/>
            <w:vAlign w:val="top"/>
          </w:tcPr>
          <w:p w14:paraId="3BAC4470">
            <w:pPr>
              <w:pStyle w:val="19"/>
              <w:keepNext w:val="0"/>
              <w:keepLines w:val="0"/>
              <w:widowControl/>
              <w:suppressLineNumbers w:val="0"/>
              <w:spacing w:before="159" w:beforeAutospacing="0" w:after="0" w:afterAutospacing="0" w:line="222" w:lineRule="auto"/>
              <w:ind w:left="112" w:right="0"/>
              <w:rPr>
                <w:rFonts w:hint="default"/>
                <w:color w:val="auto"/>
                <w:spacing w:val="0"/>
                <w:w w:val="100"/>
                <w:position w:val="0"/>
                <w:highlight w:val="none"/>
              </w:rPr>
            </w:pPr>
            <w:r>
              <w:rPr>
                <w:rFonts w:hint="default"/>
                <w:color w:val="auto"/>
                <w:spacing w:val="0"/>
                <w:w w:val="100"/>
                <w:position w:val="0"/>
                <w:highlight w:val="none"/>
              </w:rPr>
              <w:t>钻孔</w:t>
            </w:r>
          </w:p>
        </w:tc>
        <w:tc>
          <w:tcPr>
            <w:tcW w:w="1461" w:type="dxa"/>
            <w:vAlign w:val="top"/>
          </w:tcPr>
          <w:p w14:paraId="2855EFFA">
            <w:pPr>
              <w:pStyle w:val="19"/>
              <w:keepNext w:val="0"/>
              <w:keepLines w:val="0"/>
              <w:widowControl/>
              <w:suppressLineNumbers w:val="0"/>
              <w:spacing w:before="159" w:beforeAutospacing="0" w:after="0" w:afterAutospacing="0" w:line="229" w:lineRule="auto"/>
              <w:ind w:left="107" w:right="0"/>
              <w:rPr>
                <w:rFonts w:hint="default"/>
                <w:color w:val="auto"/>
                <w:spacing w:val="0"/>
                <w:w w:val="100"/>
                <w:position w:val="0"/>
                <w:highlight w:val="none"/>
              </w:rPr>
            </w:pPr>
            <w:r>
              <w:rPr>
                <w:rFonts w:hint="default"/>
                <w:color w:val="auto"/>
                <w:spacing w:val="0"/>
                <w:w w:val="100"/>
                <w:position w:val="0"/>
                <w:highlight w:val="none"/>
              </w:rPr>
              <w:t>m</w:t>
            </w:r>
          </w:p>
        </w:tc>
        <w:tc>
          <w:tcPr>
            <w:tcW w:w="1463" w:type="dxa"/>
            <w:vAlign w:val="top"/>
          </w:tcPr>
          <w:p w14:paraId="5CD62DC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11D2791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4FF7771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EAE4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465" w:type="dxa"/>
            <w:vAlign w:val="top"/>
          </w:tcPr>
          <w:p w14:paraId="5451E716">
            <w:pPr>
              <w:pStyle w:val="19"/>
              <w:keepNext w:val="0"/>
              <w:keepLines w:val="0"/>
              <w:widowControl/>
              <w:suppressLineNumbers w:val="0"/>
              <w:spacing w:before="154"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-2</w:t>
            </w:r>
          </w:p>
        </w:tc>
        <w:tc>
          <w:tcPr>
            <w:tcW w:w="1464" w:type="dxa"/>
            <w:vAlign w:val="top"/>
          </w:tcPr>
          <w:p w14:paraId="38EA5D47">
            <w:pPr>
              <w:pStyle w:val="19"/>
              <w:keepNext w:val="0"/>
              <w:keepLines w:val="0"/>
              <w:widowControl/>
              <w:suppressLineNumbers w:val="0"/>
              <w:spacing w:before="154" w:beforeAutospacing="0" w:after="0" w:afterAutospacing="0" w:line="221" w:lineRule="auto"/>
              <w:ind w:left="112" w:right="0"/>
              <w:rPr>
                <w:rFonts w:hint="default"/>
                <w:color w:val="auto"/>
                <w:spacing w:val="0"/>
                <w:w w:val="100"/>
                <w:position w:val="0"/>
                <w:highlight w:val="none"/>
              </w:rPr>
            </w:pPr>
            <w:r>
              <w:rPr>
                <w:rFonts w:hint="default"/>
                <w:color w:val="auto"/>
                <w:spacing w:val="0"/>
                <w:w w:val="100"/>
                <w:position w:val="0"/>
                <w:highlight w:val="none"/>
              </w:rPr>
              <w:t>井探</w:t>
            </w:r>
          </w:p>
        </w:tc>
        <w:tc>
          <w:tcPr>
            <w:tcW w:w="1461" w:type="dxa"/>
            <w:vAlign w:val="top"/>
          </w:tcPr>
          <w:p w14:paraId="6D7D1AEB">
            <w:pPr>
              <w:pStyle w:val="19"/>
              <w:keepNext w:val="0"/>
              <w:keepLines w:val="0"/>
              <w:widowControl/>
              <w:suppressLineNumbers w:val="0"/>
              <w:spacing w:before="154" w:beforeAutospacing="0" w:after="0" w:afterAutospacing="0" w:line="228" w:lineRule="auto"/>
              <w:ind w:left="107" w:right="0"/>
              <w:rPr>
                <w:rFonts w:hint="default"/>
                <w:color w:val="auto"/>
                <w:spacing w:val="0"/>
                <w:w w:val="100"/>
                <w:position w:val="0"/>
                <w:highlight w:val="none"/>
              </w:rPr>
            </w:pPr>
            <w:r>
              <w:rPr>
                <w:rFonts w:hint="default"/>
                <w:color w:val="auto"/>
                <w:spacing w:val="0"/>
                <w:w w:val="100"/>
                <w:position w:val="0"/>
                <w:highlight w:val="none"/>
              </w:rPr>
              <w:t>m</w:t>
            </w:r>
          </w:p>
        </w:tc>
        <w:tc>
          <w:tcPr>
            <w:tcW w:w="1463" w:type="dxa"/>
            <w:vAlign w:val="top"/>
          </w:tcPr>
          <w:p w14:paraId="361E94D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6CEFDBB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0808A43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93EC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465" w:type="dxa"/>
            <w:vAlign w:val="top"/>
          </w:tcPr>
          <w:p w14:paraId="77D9BD83">
            <w:pPr>
              <w:pStyle w:val="19"/>
              <w:keepNext w:val="0"/>
              <w:keepLines w:val="0"/>
              <w:widowControl/>
              <w:suppressLineNumbers w:val="0"/>
              <w:spacing w:before="157"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-3</w:t>
            </w:r>
          </w:p>
        </w:tc>
        <w:tc>
          <w:tcPr>
            <w:tcW w:w="1464" w:type="dxa"/>
            <w:vAlign w:val="top"/>
          </w:tcPr>
          <w:p w14:paraId="34EAEBA9">
            <w:pPr>
              <w:pStyle w:val="19"/>
              <w:keepNext w:val="0"/>
              <w:keepLines w:val="0"/>
              <w:widowControl/>
              <w:suppressLineNumbers w:val="0"/>
              <w:spacing w:before="156" w:beforeAutospacing="0" w:after="0" w:afterAutospacing="0" w:line="221" w:lineRule="auto"/>
              <w:ind w:left="111" w:right="0"/>
              <w:rPr>
                <w:rFonts w:hint="default"/>
                <w:color w:val="auto"/>
                <w:spacing w:val="0"/>
                <w:w w:val="100"/>
                <w:position w:val="0"/>
                <w:highlight w:val="none"/>
              </w:rPr>
            </w:pPr>
            <w:r>
              <w:rPr>
                <w:rFonts w:hint="default"/>
                <w:color w:val="auto"/>
                <w:spacing w:val="0"/>
                <w:w w:val="100"/>
                <w:position w:val="0"/>
                <w:highlight w:val="none"/>
              </w:rPr>
              <w:t>槽探</w:t>
            </w:r>
          </w:p>
        </w:tc>
        <w:tc>
          <w:tcPr>
            <w:tcW w:w="1461" w:type="dxa"/>
            <w:vAlign w:val="top"/>
          </w:tcPr>
          <w:p w14:paraId="19D963C3">
            <w:pPr>
              <w:pStyle w:val="19"/>
              <w:keepNext w:val="0"/>
              <w:keepLines w:val="0"/>
              <w:widowControl/>
              <w:suppressLineNumbers w:val="0"/>
              <w:spacing w:before="157" w:beforeAutospacing="0" w:after="0" w:afterAutospacing="0" w:line="228" w:lineRule="auto"/>
              <w:ind w:left="107" w:right="0"/>
              <w:rPr>
                <w:rFonts w:hint="default"/>
                <w:color w:val="auto"/>
                <w:spacing w:val="0"/>
                <w:w w:val="100"/>
                <w:position w:val="0"/>
                <w:highlight w:val="none"/>
              </w:rPr>
            </w:pPr>
            <w:r>
              <w:rPr>
                <w:rFonts w:hint="default"/>
                <w:color w:val="auto"/>
                <w:spacing w:val="0"/>
                <w:w w:val="100"/>
                <w:position w:val="0"/>
                <w:highlight w:val="none"/>
              </w:rPr>
              <w:t>m</w:t>
            </w:r>
          </w:p>
        </w:tc>
        <w:tc>
          <w:tcPr>
            <w:tcW w:w="1463" w:type="dxa"/>
            <w:vAlign w:val="top"/>
          </w:tcPr>
          <w:p w14:paraId="2205554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23904C2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471796F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0398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465" w:type="dxa"/>
            <w:vAlign w:val="top"/>
          </w:tcPr>
          <w:p w14:paraId="200C27EF">
            <w:pPr>
              <w:pStyle w:val="19"/>
              <w:keepNext w:val="0"/>
              <w:keepLines w:val="0"/>
              <w:widowControl/>
              <w:suppressLineNumbers w:val="0"/>
              <w:spacing w:before="154"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-4</w:t>
            </w:r>
          </w:p>
        </w:tc>
        <w:tc>
          <w:tcPr>
            <w:tcW w:w="1464" w:type="dxa"/>
            <w:vAlign w:val="top"/>
          </w:tcPr>
          <w:p w14:paraId="083306A1">
            <w:pPr>
              <w:pStyle w:val="19"/>
              <w:keepNext w:val="0"/>
              <w:keepLines w:val="0"/>
              <w:widowControl/>
              <w:suppressLineNumbers w:val="0"/>
              <w:spacing w:before="154" w:beforeAutospacing="0" w:after="0" w:afterAutospacing="0" w:line="222" w:lineRule="auto"/>
              <w:ind w:left="113" w:right="0"/>
              <w:rPr>
                <w:rFonts w:hint="default"/>
                <w:color w:val="auto"/>
                <w:spacing w:val="0"/>
                <w:w w:val="100"/>
                <w:position w:val="0"/>
                <w:highlight w:val="none"/>
              </w:rPr>
            </w:pPr>
            <w:r>
              <w:rPr>
                <w:rFonts w:hint="default"/>
                <w:color w:val="auto"/>
                <w:spacing w:val="0"/>
                <w:w w:val="100"/>
                <w:position w:val="0"/>
                <w:highlight w:val="none"/>
              </w:rPr>
              <w:t>洞探</w:t>
            </w:r>
          </w:p>
        </w:tc>
        <w:tc>
          <w:tcPr>
            <w:tcW w:w="1461" w:type="dxa"/>
            <w:vAlign w:val="top"/>
          </w:tcPr>
          <w:p w14:paraId="75073041">
            <w:pPr>
              <w:pStyle w:val="19"/>
              <w:keepNext w:val="0"/>
              <w:keepLines w:val="0"/>
              <w:widowControl/>
              <w:suppressLineNumbers w:val="0"/>
              <w:spacing w:before="154" w:beforeAutospacing="0" w:after="0" w:afterAutospacing="0" w:line="228" w:lineRule="auto"/>
              <w:ind w:left="107" w:right="0"/>
              <w:rPr>
                <w:rFonts w:hint="default"/>
                <w:color w:val="auto"/>
                <w:spacing w:val="0"/>
                <w:w w:val="100"/>
                <w:position w:val="0"/>
                <w:highlight w:val="none"/>
              </w:rPr>
            </w:pPr>
            <w:r>
              <w:rPr>
                <w:rFonts w:hint="default"/>
                <w:color w:val="auto"/>
                <w:spacing w:val="0"/>
                <w:w w:val="100"/>
                <w:position w:val="0"/>
                <w:highlight w:val="none"/>
              </w:rPr>
              <w:t>m</w:t>
            </w:r>
          </w:p>
        </w:tc>
        <w:tc>
          <w:tcPr>
            <w:tcW w:w="1463" w:type="dxa"/>
            <w:vAlign w:val="top"/>
          </w:tcPr>
          <w:p w14:paraId="614BA9B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4F85C1A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6124F0C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4F1AC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1465" w:type="dxa"/>
            <w:vAlign w:val="top"/>
          </w:tcPr>
          <w:p w14:paraId="24B447CA">
            <w:pPr>
              <w:pStyle w:val="19"/>
              <w:keepNext w:val="0"/>
              <w:keepLines w:val="0"/>
              <w:widowControl/>
              <w:suppressLineNumbers w:val="0"/>
              <w:spacing w:before="155" w:beforeAutospacing="0" w:after="0" w:afterAutospacing="0" w:line="241" w:lineRule="auto"/>
              <w:ind w:left="114" w:right="0"/>
              <w:rPr>
                <w:rFonts w:hint="default"/>
                <w:color w:val="auto"/>
                <w:spacing w:val="0"/>
                <w:w w:val="100"/>
                <w:position w:val="0"/>
                <w:highlight w:val="none"/>
              </w:rPr>
            </w:pPr>
            <w:r>
              <w:rPr>
                <w:rFonts w:hint="default"/>
                <w:color w:val="auto"/>
                <w:spacing w:val="0"/>
                <w:w w:val="100"/>
                <w:position w:val="0"/>
                <w:highlight w:val="none"/>
              </w:rPr>
              <w:t>-5</w:t>
            </w:r>
          </w:p>
        </w:tc>
        <w:tc>
          <w:tcPr>
            <w:tcW w:w="1464" w:type="dxa"/>
            <w:vAlign w:val="top"/>
          </w:tcPr>
          <w:p w14:paraId="14BE565F">
            <w:pPr>
              <w:pStyle w:val="19"/>
              <w:keepNext w:val="0"/>
              <w:keepLines w:val="0"/>
              <w:widowControl/>
              <w:suppressLineNumbers w:val="0"/>
              <w:spacing w:before="156" w:beforeAutospacing="0" w:after="0" w:afterAutospacing="0" w:line="298" w:lineRule="auto"/>
              <w:ind w:left="111" w:right="301" w:firstLine="1"/>
              <w:rPr>
                <w:rFonts w:hint="default"/>
                <w:color w:val="auto"/>
                <w:spacing w:val="0"/>
                <w:w w:val="100"/>
                <w:position w:val="0"/>
                <w:highlight w:val="none"/>
              </w:rPr>
            </w:pPr>
            <w:r>
              <w:rPr>
                <w:rFonts w:hint="default"/>
                <w:color w:val="auto"/>
                <w:spacing w:val="0"/>
                <w:w w:val="100"/>
                <w:position w:val="0"/>
                <w:highlight w:val="none"/>
              </w:rPr>
              <w:t>标准贯入试 验</w:t>
            </w:r>
          </w:p>
        </w:tc>
        <w:tc>
          <w:tcPr>
            <w:tcW w:w="1461" w:type="dxa"/>
            <w:vAlign w:val="top"/>
          </w:tcPr>
          <w:p w14:paraId="51500132">
            <w:pPr>
              <w:pStyle w:val="19"/>
              <w:keepNext w:val="0"/>
              <w:keepLines w:val="0"/>
              <w:widowControl/>
              <w:suppressLineNumbers w:val="0"/>
              <w:spacing w:before="155" w:beforeAutospacing="0" w:after="0" w:afterAutospacing="0" w:line="242" w:lineRule="auto"/>
              <w:ind w:left="107" w:right="0"/>
              <w:rPr>
                <w:rFonts w:hint="default"/>
                <w:color w:val="auto"/>
                <w:spacing w:val="0"/>
                <w:w w:val="100"/>
                <w:position w:val="0"/>
                <w:highlight w:val="none"/>
              </w:rPr>
            </w:pPr>
            <w:r>
              <w:rPr>
                <w:rFonts w:hint="default"/>
                <w:color w:val="auto"/>
                <w:spacing w:val="0"/>
                <w:w w:val="100"/>
                <w:position w:val="0"/>
                <w:highlight w:val="none"/>
              </w:rPr>
              <w:t>m</w:t>
            </w:r>
          </w:p>
        </w:tc>
        <w:tc>
          <w:tcPr>
            <w:tcW w:w="1463" w:type="dxa"/>
            <w:vAlign w:val="top"/>
          </w:tcPr>
          <w:p w14:paraId="22E5142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5252EFE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36258BE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C3F3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465" w:type="dxa"/>
            <w:vAlign w:val="top"/>
          </w:tcPr>
          <w:p w14:paraId="383AD84F">
            <w:pPr>
              <w:pStyle w:val="19"/>
              <w:keepNext w:val="0"/>
              <w:keepLines w:val="0"/>
              <w:widowControl/>
              <w:suppressLineNumbers w:val="0"/>
              <w:spacing w:before="155"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-6</w:t>
            </w:r>
          </w:p>
        </w:tc>
        <w:tc>
          <w:tcPr>
            <w:tcW w:w="1464" w:type="dxa"/>
            <w:vAlign w:val="top"/>
          </w:tcPr>
          <w:p w14:paraId="4B0EE73F">
            <w:pPr>
              <w:pStyle w:val="19"/>
              <w:keepNext w:val="0"/>
              <w:keepLines w:val="0"/>
              <w:widowControl/>
              <w:suppressLineNumbers w:val="0"/>
              <w:spacing w:before="155" w:beforeAutospacing="0" w:after="0" w:afterAutospacing="0" w:line="221" w:lineRule="auto"/>
              <w:ind w:left="113" w:right="0"/>
              <w:rPr>
                <w:rFonts w:hint="default"/>
                <w:color w:val="auto"/>
                <w:spacing w:val="0"/>
                <w:w w:val="100"/>
                <w:position w:val="0"/>
                <w:highlight w:val="none"/>
              </w:rPr>
            </w:pPr>
            <w:r>
              <w:rPr>
                <w:rFonts w:hint="default"/>
                <w:color w:val="auto"/>
                <w:spacing w:val="0"/>
                <w:w w:val="100"/>
                <w:position w:val="0"/>
                <w:highlight w:val="none"/>
              </w:rPr>
              <w:t>动力触探</w:t>
            </w:r>
          </w:p>
        </w:tc>
        <w:tc>
          <w:tcPr>
            <w:tcW w:w="1461" w:type="dxa"/>
            <w:vAlign w:val="top"/>
          </w:tcPr>
          <w:p w14:paraId="0835F1BF">
            <w:pPr>
              <w:pStyle w:val="19"/>
              <w:keepNext w:val="0"/>
              <w:keepLines w:val="0"/>
              <w:widowControl/>
              <w:suppressLineNumbers w:val="0"/>
              <w:spacing w:before="155" w:beforeAutospacing="0" w:after="0" w:afterAutospacing="0" w:line="228" w:lineRule="auto"/>
              <w:ind w:left="107" w:right="0"/>
              <w:rPr>
                <w:rFonts w:hint="default"/>
                <w:color w:val="auto"/>
                <w:spacing w:val="0"/>
                <w:w w:val="100"/>
                <w:position w:val="0"/>
                <w:highlight w:val="none"/>
              </w:rPr>
            </w:pPr>
            <w:r>
              <w:rPr>
                <w:rFonts w:hint="default"/>
                <w:color w:val="auto"/>
                <w:spacing w:val="0"/>
                <w:w w:val="100"/>
                <w:position w:val="0"/>
                <w:highlight w:val="none"/>
              </w:rPr>
              <w:t>m</w:t>
            </w:r>
          </w:p>
        </w:tc>
        <w:tc>
          <w:tcPr>
            <w:tcW w:w="1463" w:type="dxa"/>
            <w:vAlign w:val="top"/>
          </w:tcPr>
          <w:p w14:paraId="072ED9B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48B2505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78C9ACE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2818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465" w:type="dxa"/>
            <w:vAlign w:val="top"/>
          </w:tcPr>
          <w:p w14:paraId="6D716937">
            <w:pPr>
              <w:pStyle w:val="19"/>
              <w:keepNext w:val="0"/>
              <w:keepLines w:val="0"/>
              <w:widowControl/>
              <w:suppressLineNumbers w:val="0"/>
              <w:spacing w:before="155"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-7</w:t>
            </w:r>
          </w:p>
        </w:tc>
        <w:tc>
          <w:tcPr>
            <w:tcW w:w="1464" w:type="dxa"/>
            <w:vAlign w:val="top"/>
          </w:tcPr>
          <w:p w14:paraId="02012D4F">
            <w:pPr>
              <w:pStyle w:val="19"/>
              <w:keepNext w:val="0"/>
              <w:keepLines w:val="0"/>
              <w:widowControl/>
              <w:suppressLineNumbers w:val="0"/>
              <w:spacing w:before="156" w:beforeAutospacing="0" w:after="0" w:afterAutospacing="0" w:line="220" w:lineRule="auto"/>
              <w:ind w:left="113" w:right="0"/>
              <w:rPr>
                <w:rFonts w:hint="default"/>
                <w:color w:val="auto"/>
                <w:spacing w:val="0"/>
                <w:w w:val="100"/>
                <w:position w:val="0"/>
                <w:highlight w:val="none"/>
              </w:rPr>
            </w:pPr>
            <w:r>
              <w:rPr>
                <w:rFonts w:hint="default"/>
                <w:color w:val="auto"/>
                <w:spacing w:val="0"/>
                <w:w w:val="100"/>
                <w:position w:val="0"/>
                <w:highlight w:val="none"/>
              </w:rPr>
              <w:t>静力触探</w:t>
            </w:r>
          </w:p>
        </w:tc>
        <w:tc>
          <w:tcPr>
            <w:tcW w:w="1461" w:type="dxa"/>
            <w:vAlign w:val="top"/>
          </w:tcPr>
          <w:p w14:paraId="629C18F9">
            <w:pPr>
              <w:pStyle w:val="19"/>
              <w:keepNext w:val="0"/>
              <w:keepLines w:val="0"/>
              <w:widowControl/>
              <w:suppressLineNumbers w:val="0"/>
              <w:spacing w:before="155" w:beforeAutospacing="0" w:after="0" w:afterAutospacing="0" w:line="228" w:lineRule="auto"/>
              <w:ind w:left="107" w:right="0"/>
              <w:rPr>
                <w:rFonts w:hint="default"/>
                <w:color w:val="auto"/>
                <w:spacing w:val="0"/>
                <w:w w:val="100"/>
                <w:position w:val="0"/>
                <w:highlight w:val="none"/>
              </w:rPr>
            </w:pPr>
            <w:r>
              <w:rPr>
                <w:rFonts w:hint="default"/>
                <w:color w:val="auto"/>
                <w:spacing w:val="0"/>
                <w:w w:val="100"/>
                <w:position w:val="0"/>
                <w:highlight w:val="none"/>
              </w:rPr>
              <w:t>m</w:t>
            </w:r>
          </w:p>
        </w:tc>
        <w:tc>
          <w:tcPr>
            <w:tcW w:w="1463" w:type="dxa"/>
            <w:vAlign w:val="top"/>
          </w:tcPr>
          <w:p w14:paraId="67180D7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053C7AC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5EDA79D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E5A8F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465" w:type="dxa"/>
            <w:vAlign w:val="top"/>
          </w:tcPr>
          <w:p w14:paraId="2590AC96">
            <w:pPr>
              <w:pStyle w:val="19"/>
              <w:keepNext w:val="0"/>
              <w:keepLines w:val="0"/>
              <w:widowControl/>
              <w:suppressLineNumbers w:val="0"/>
              <w:spacing w:before="155"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-8</w:t>
            </w:r>
          </w:p>
        </w:tc>
        <w:tc>
          <w:tcPr>
            <w:tcW w:w="1464" w:type="dxa"/>
            <w:vAlign w:val="top"/>
          </w:tcPr>
          <w:p w14:paraId="21085401">
            <w:pPr>
              <w:pStyle w:val="19"/>
              <w:keepNext w:val="0"/>
              <w:keepLines w:val="0"/>
              <w:widowControl/>
              <w:suppressLineNumbers w:val="0"/>
              <w:spacing w:before="156" w:beforeAutospacing="0" w:after="0" w:afterAutospacing="0" w:line="221" w:lineRule="auto"/>
              <w:ind w:left="112" w:right="0"/>
              <w:rPr>
                <w:rFonts w:hint="default"/>
                <w:color w:val="auto"/>
                <w:spacing w:val="0"/>
                <w:w w:val="100"/>
                <w:position w:val="0"/>
                <w:highlight w:val="none"/>
              </w:rPr>
            </w:pPr>
            <w:r>
              <w:rPr>
                <w:rFonts w:hint="default"/>
                <w:color w:val="auto"/>
                <w:spacing w:val="0"/>
                <w:w w:val="100"/>
                <w:position w:val="0"/>
                <w:highlight w:val="none"/>
              </w:rPr>
              <w:t>地质雷达</w:t>
            </w:r>
          </w:p>
        </w:tc>
        <w:tc>
          <w:tcPr>
            <w:tcW w:w="1461" w:type="dxa"/>
            <w:vAlign w:val="top"/>
          </w:tcPr>
          <w:p w14:paraId="76273486">
            <w:pPr>
              <w:pStyle w:val="19"/>
              <w:keepNext w:val="0"/>
              <w:keepLines w:val="0"/>
              <w:widowControl/>
              <w:suppressLineNumbers w:val="0"/>
              <w:spacing w:before="155" w:beforeAutospacing="0" w:after="0" w:afterAutospacing="0" w:line="225" w:lineRule="auto"/>
              <w:ind w:left="123" w:right="0"/>
              <w:rPr>
                <w:rFonts w:hint="default"/>
                <w:color w:val="auto"/>
                <w:spacing w:val="0"/>
                <w:w w:val="100"/>
                <w:position w:val="0"/>
                <w:highlight w:val="none"/>
              </w:rPr>
            </w:pPr>
            <w:r>
              <w:rPr>
                <w:rFonts w:hint="default"/>
                <w:color w:val="auto"/>
                <w:spacing w:val="0"/>
                <w:w w:val="100"/>
                <w:position w:val="0"/>
                <w:highlight w:val="none"/>
              </w:rPr>
              <w:t>点</w:t>
            </w:r>
          </w:p>
        </w:tc>
        <w:tc>
          <w:tcPr>
            <w:tcW w:w="1463" w:type="dxa"/>
            <w:vAlign w:val="top"/>
          </w:tcPr>
          <w:p w14:paraId="2164E9A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4A1E84B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60E3454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30E4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465" w:type="dxa"/>
            <w:vAlign w:val="top"/>
          </w:tcPr>
          <w:p w14:paraId="6BB15CB7">
            <w:pPr>
              <w:pStyle w:val="19"/>
              <w:keepNext w:val="0"/>
              <w:keepLines w:val="0"/>
              <w:widowControl/>
              <w:suppressLineNumbers w:val="0"/>
              <w:spacing w:before="157"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-9</w:t>
            </w:r>
          </w:p>
        </w:tc>
        <w:tc>
          <w:tcPr>
            <w:tcW w:w="1464" w:type="dxa"/>
            <w:vAlign w:val="top"/>
          </w:tcPr>
          <w:p w14:paraId="7B56C282">
            <w:pPr>
              <w:pStyle w:val="19"/>
              <w:keepNext w:val="0"/>
              <w:keepLines w:val="0"/>
              <w:widowControl/>
              <w:suppressLineNumbers w:val="0"/>
              <w:spacing w:before="158" w:beforeAutospacing="0" w:after="0" w:afterAutospacing="0" w:line="221" w:lineRule="auto"/>
              <w:ind w:left="112" w:right="0"/>
              <w:rPr>
                <w:rFonts w:hint="default"/>
                <w:color w:val="auto"/>
                <w:spacing w:val="0"/>
                <w:w w:val="100"/>
                <w:position w:val="0"/>
                <w:highlight w:val="none"/>
              </w:rPr>
            </w:pPr>
            <w:r>
              <w:rPr>
                <w:rFonts w:hint="default"/>
                <w:color w:val="auto"/>
                <w:spacing w:val="0"/>
                <w:w w:val="100"/>
                <w:position w:val="0"/>
                <w:highlight w:val="none"/>
              </w:rPr>
              <w:t>地质雷达</w:t>
            </w:r>
          </w:p>
        </w:tc>
        <w:tc>
          <w:tcPr>
            <w:tcW w:w="1461" w:type="dxa"/>
            <w:vAlign w:val="top"/>
          </w:tcPr>
          <w:p w14:paraId="639ACED5">
            <w:pPr>
              <w:pStyle w:val="19"/>
              <w:keepNext w:val="0"/>
              <w:keepLines w:val="0"/>
              <w:widowControl/>
              <w:suppressLineNumbers w:val="0"/>
              <w:spacing w:before="157" w:beforeAutospacing="0" w:after="0" w:afterAutospacing="0" w:line="228" w:lineRule="auto"/>
              <w:ind w:left="111" w:right="0"/>
              <w:rPr>
                <w:rFonts w:hint="default"/>
                <w:color w:val="auto"/>
                <w:spacing w:val="0"/>
                <w:w w:val="100"/>
                <w:position w:val="0"/>
                <w:highlight w:val="none"/>
              </w:rPr>
            </w:pPr>
            <w:r>
              <w:rPr>
                <w:rFonts w:hint="default"/>
                <w:color w:val="auto"/>
                <w:spacing w:val="0"/>
                <w:w w:val="100"/>
                <w:position w:val="0"/>
                <w:highlight w:val="none"/>
              </w:rPr>
              <w:t>km</w:t>
            </w:r>
          </w:p>
        </w:tc>
        <w:tc>
          <w:tcPr>
            <w:tcW w:w="1463" w:type="dxa"/>
            <w:vAlign w:val="top"/>
          </w:tcPr>
          <w:p w14:paraId="2E786CD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6995F74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385FCD2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F2D39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465" w:type="dxa"/>
            <w:vAlign w:val="top"/>
          </w:tcPr>
          <w:p w14:paraId="1985DCCF">
            <w:pPr>
              <w:pStyle w:val="19"/>
              <w:keepNext w:val="0"/>
              <w:keepLines w:val="0"/>
              <w:widowControl/>
              <w:suppressLineNumbers w:val="0"/>
              <w:spacing w:before="155" w:beforeAutospacing="0" w:after="0" w:afterAutospacing="0" w:line="227" w:lineRule="auto"/>
              <w:ind w:left="114" w:right="0"/>
              <w:rPr>
                <w:rFonts w:hint="default"/>
                <w:color w:val="auto"/>
                <w:spacing w:val="0"/>
                <w:w w:val="100"/>
                <w:position w:val="0"/>
                <w:highlight w:val="none"/>
              </w:rPr>
            </w:pPr>
            <w:r>
              <w:rPr>
                <w:rFonts w:hint="default"/>
                <w:color w:val="auto"/>
                <w:spacing w:val="0"/>
                <w:w w:val="100"/>
                <w:position w:val="0"/>
                <w:highlight w:val="none"/>
              </w:rPr>
              <w:t>-10</w:t>
            </w:r>
          </w:p>
        </w:tc>
        <w:tc>
          <w:tcPr>
            <w:tcW w:w="1464" w:type="dxa"/>
            <w:vAlign w:val="top"/>
          </w:tcPr>
          <w:p w14:paraId="5305A777">
            <w:pPr>
              <w:pStyle w:val="19"/>
              <w:keepNext w:val="0"/>
              <w:keepLines w:val="0"/>
              <w:widowControl/>
              <w:suppressLineNumbers w:val="0"/>
              <w:spacing w:before="155" w:beforeAutospacing="0" w:after="0" w:afterAutospacing="0" w:line="222" w:lineRule="auto"/>
              <w:ind w:left="112" w:right="0"/>
              <w:rPr>
                <w:rFonts w:hint="default"/>
                <w:color w:val="auto"/>
                <w:spacing w:val="0"/>
                <w:w w:val="100"/>
                <w:position w:val="0"/>
                <w:highlight w:val="none"/>
              </w:rPr>
            </w:pPr>
            <w:r>
              <w:rPr>
                <w:rFonts w:hint="default"/>
                <w:color w:val="auto"/>
                <w:spacing w:val="0"/>
                <w:w w:val="100"/>
                <w:position w:val="0"/>
                <w:highlight w:val="none"/>
              </w:rPr>
              <w:t>物探</w:t>
            </w:r>
          </w:p>
        </w:tc>
        <w:tc>
          <w:tcPr>
            <w:tcW w:w="1461" w:type="dxa"/>
            <w:vAlign w:val="top"/>
          </w:tcPr>
          <w:p w14:paraId="103CAAB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6432450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3983ED1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03566D0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E09AA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465" w:type="dxa"/>
            <w:vAlign w:val="top"/>
          </w:tcPr>
          <w:p w14:paraId="3D5CB730">
            <w:pPr>
              <w:pStyle w:val="19"/>
              <w:keepNext w:val="0"/>
              <w:keepLines w:val="0"/>
              <w:widowControl/>
              <w:suppressLineNumbers w:val="0"/>
              <w:spacing w:before="155" w:beforeAutospacing="0" w:after="0" w:afterAutospacing="0" w:line="228" w:lineRule="auto"/>
              <w:ind w:left="114" w:right="0"/>
              <w:rPr>
                <w:rFonts w:hint="default"/>
                <w:color w:val="auto"/>
                <w:spacing w:val="0"/>
                <w:w w:val="100"/>
                <w:position w:val="0"/>
                <w:highlight w:val="none"/>
              </w:rPr>
            </w:pPr>
            <w:r>
              <w:rPr>
                <w:rFonts w:hint="default"/>
                <w:color w:val="auto"/>
                <w:spacing w:val="0"/>
                <w:w w:val="100"/>
                <w:position w:val="0"/>
                <w:highlight w:val="none"/>
              </w:rPr>
              <w:t>-a</w:t>
            </w:r>
          </w:p>
        </w:tc>
        <w:tc>
          <w:tcPr>
            <w:tcW w:w="1464" w:type="dxa"/>
            <w:vAlign w:val="top"/>
          </w:tcPr>
          <w:p w14:paraId="08E87207">
            <w:pPr>
              <w:pStyle w:val="19"/>
              <w:keepNext w:val="0"/>
              <w:keepLines w:val="0"/>
              <w:widowControl/>
              <w:suppressLineNumbers w:val="0"/>
              <w:spacing w:before="156" w:beforeAutospacing="0" w:after="0" w:afterAutospacing="0" w:line="226" w:lineRule="auto"/>
              <w:ind w:left="137" w:right="0"/>
              <w:rPr>
                <w:rFonts w:hint="default"/>
                <w:color w:val="auto"/>
                <w:spacing w:val="0"/>
                <w:w w:val="100"/>
                <w:position w:val="0"/>
                <w:highlight w:val="none"/>
              </w:rPr>
            </w:pPr>
            <w:r>
              <w:rPr>
                <w:rFonts w:hint="default"/>
                <w:color w:val="auto"/>
                <w:spacing w:val="0"/>
                <w:w w:val="100"/>
                <w:position w:val="0"/>
                <w:highlight w:val="none"/>
              </w:rPr>
              <w:t>电法</w:t>
            </w:r>
          </w:p>
        </w:tc>
        <w:tc>
          <w:tcPr>
            <w:tcW w:w="1461" w:type="dxa"/>
            <w:vAlign w:val="top"/>
          </w:tcPr>
          <w:p w14:paraId="7A618A06">
            <w:pPr>
              <w:pStyle w:val="19"/>
              <w:keepNext w:val="0"/>
              <w:keepLines w:val="0"/>
              <w:widowControl/>
              <w:suppressLineNumbers w:val="0"/>
              <w:spacing w:before="155" w:beforeAutospacing="0" w:after="0" w:afterAutospacing="0" w:line="225" w:lineRule="auto"/>
              <w:ind w:left="123" w:right="0"/>
              <w:rPr>
                <w:rFonts w:hint="default"/>
                <w:color w:val="auto"/>
                <w:spacing w:val="0"/>
                <w:w w:val="100"/>
                <w:position w:val="0"/>
                <w:highlight w:val="none"/>
              </w:rPr>
            </w:pPr>
            <w:r>
              <w:rPr>
                <w:rFonts w:hint="default"/>
                <w:color w:val="auto"/>
                <w:spacing w:val="0"/>
                <w:w w:val="100"/>
                <w:position w:val="0"/>
                <w:highlight w:val="none"/>
              </w:rPr>
              <w:t>点</w:t>
            </w:r>
          </w:p>
        </w:tc>
        <w:tc>
          <w:tcPr>
            <w:tcW w:w="1463" w:type="dxa"/>
            <w:vAlign w:val="top"/>
          </w:tcPr>
          <w:p w14:paraId="729ED8D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2326BF9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65B97ED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3065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465" w:type="dxa"/>
            <w:vAlign w:val="top"/>
          </w:tcPr>
          <w:p w14:paraId="7626F578">
            <w:pPr>
              <w:pStyle w:val="19"/>
              <w:keepNext w:val="0"/>
              <w:keepLines w:val="0"/>
              <w:widowControl/>
              <w:suppressLineNumbers w:val="0"/>
              <w:spacing w:before="155" w:beforeAutospacing="0" w:after="0" w:afterAutospacing="0" w:line="227" w:lineRule="auto"/>
              <w:ind w:left="114" w:right="0"/>
              <w:rPr>
                <w:rFonts w:hint="default"/>
                <w:color w:val="auto"/>
                <w:spacing w:val="0"/>
                <w:w w:val="100"/>
                <w:position w:val="0"/>
                <w:highlight w:val="none"/>
              </w:rPr>
            </w:pPr>
            <w:r>
              <w:rPr>
                <w:rFonts w:hint="default"/>
                <w:color w:val="auto"/>
                <w:spacing w:val="0"/>
                <w:w w:val="100"/>
                <w:position w:val="0"/>
                <w:highlight w:val="none"/>
              </w:rPr>
              <w:t>-b</w:t>
            </w:r>
          </w:p>
        </w:tc>
        <w:tc>
          <w:tcPr>
            <w:tcW w:w="1464" w:type="dxa"/>
            <w:vAlign w:val="top"/>
          </w:tcPr>
          <w:p w14:paraId="64F0B0C0">
            <w:pPr>
              <w:pStyle w:val="19"/>
              <w:keepNext w:val="0"/>
              <w:keepLines w:val="0"/>
              <w:widowControl/>
              <w:suppressLineNumbers w:val="0"/>
              <w:spacing w:before="155" w:beforeAutospacing="0" w:after="0" w:afterAutospacing="0" w:line="221" w:lineRule="auto"/>
              <w:ind w:left="112" w:right="0"/>
              <w:rPr>
                <w:rFonts w:hint="default"/>
                <w:color w:val="auto"/>
                <w:spacing w:val="0"/>
                <w:w w:val="100"/>
                <w:position w:val="0"/>
                <w:highlight w:val="none"/>
              </w:rPr>
            </w:pPr>
            <w:r>
              <w:rPr>
                <w:rFonts w:hint="default"/>
                <w:color w:val="auto"/>
                <w:spacing w:val="0"/>
                <w:w w:val="100"/>
                <w:position w:val="0"/>
                <w:highlight w:val="none"/>
              </w:rPr>
              <w:t>地震法</w:t>
            </w:r>
          </w:p>
        </w:tc>
        <w:tc>
          <w:tcPr>
            <w:tcW w:w="1461" w:type="dxa"/>
            <w:vAlign w:val="top"/>
          </w:tcPr>
          <w:p w14:paraId="6DE0BD96">
            <w:pPr>
              <w:pStyle w:val="19"/>
              <w:keepNext w:val="0"/>
              <w:keepLines w:val="0"/>
              <w:widowControl/>
              <w:suppressLineNumbers w:val="0"/>
              <w:spacing w:before="155" w:beforeAutospacing="0" w:after="0" w:afterAutospacing="0" w:line="225" w:lineRule="auto"/>
              <w:ind w:left="123" w:right="0"/>
              <w:rPr>
                <w:rFonts w:hint="default"/>
                <w:color w:val="auto"/>
                <w:spacing w:val="0"/>
                <w:w w:val="100"/>
                <w:position w:val="0"/>
                <w:highlight w:val="none"/>
              </w:rPr>
            </w:pPr>
            <w:r>
              <w:rPr>
                <w:rFonts w:hint="default"/>
                <w:color w:val="auto"/>
                <w:spacing w:val="0"/>
                <w:w w:val="100"/>
                <w:position w:val="0"/>
                <w:highlight w:val="none"/>
              </w:rPr>
              <w:t>点</w:t>
            </w:r>
          </w:p>
        </w:tc>
        <w:tc>
          <w:tcPr>
            <w:tcW w:w="1463" w:type="dxa"/>
            <w:vAlign w:val="top"/>
          </w:tcPr>
          <w:p w14:paraId="7DD22DB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1288029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5C5BA7E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E025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465" w:type="dxa"/>
            <w:vAlign w:val="top"/>
          </w:tcPr>
          <w:p w14:paraId="1382154B">
            <w:pPr>
              <w:pStyle w:val="19"/>
              <w:keepNext w:val="0"/>
              <w:keepLines w:val="0"/>
              <w:widowControl/>
              <w:suppressLineNumbers w:val="0"/>
              <w:spacing w:before="155" w:beforeAutospacing="0" w:after="0" w:afterAutospacing="0" w:line="227" w:lineRule="auto"/>
              <w:ind w:left="114" w:right="0"/>
              <w:rPr>
                <w:rFonts w:hint="default"/>
                <w:color w:val="auto"/>
                <w:spacing w:val="0"/>
                <w:w w:val="100"/>
                <w:position w:val="0"/>
                <w:highlight w:val="none"/>
              </w:rPr>
            </w:pPr>
            <w:r>
              <w:rPr>
                <w:rFonts w:hint="default"/>
                <w:color w:val="auto"/>
                <w:spacing w:val="0"/>
                <w:w w:val="100"/>
                <w:position w:val="0"/>
                <w:highlight w:val="none"/>
              </w:rPr>
              <w:t>-c</w:t>
            </w:r>
          </w:p>
        </w:tc>
        <w:tc>
          <w:tcPr>
            <w:tcW w:w="1464" w:type="dxa"/>
            <w:vAlign w:val="top"/>
          </w:tcPr>
          <w:p w14:paraId="1C7E4109">
            <w:pPr>
              <w:pStyle w:val="19"/>
              <w:keepNext w:val="0"/>
              <w:keepLines w:val="0"/>
              <w:widowControl/>
              <w:suppressLineNumbers w:val="0"/>
              <w:spacing w:before="156" w:beforeAutospacing="0" w:after="0" w:afterAutospacing="0" w:line="221" w:lineRule="auto"/>
              <w:ind w:left="112" w:right="0"/>
              <w:rPr>
                <w:rFonts w:hint="default"/>
                <w:color w:val="auto"/>
                <w:spacing w:val="0"/>
                <w:w w:val="100"/>
                <w:position w:val="0"/>
                <w:highlight w:val="none"/>
              </w:rPr>
            </w:pPr>
            <w:r>
              <w:rPr>
                <w:rFonts w:hint="default"/>
                <w:color w:val="auto"/>
                <w:spacing w:val="0"/>
                <w:w w:val="100"/>
                <w:position w:val="0"/>
                <w:highlight w:val="none"/>
              </w:rPr>
              <w:t>地震法</w:t>
            </w:r>
          </w:p>
        </w:tc>
        <w:tc>
          <w:tcPr>
            <w:tcW w:w="1461" w:type="dxa"/>
            <w:vAlign w:val="top"/>
          </w:tcPr>
          <w:p w14:paraId="730F7B3E">
            <w:pPr>
              <w:pStyle w:val="19"/>
              <w:keepNext w:val="0"/>
              <w:keepLines w:val="0"/>
              <w:widowControl/>
              <w:suppressLineNumbers w:val="0"/>
              <w:spacing w:before="155" w:beforeAutospacing="0" w:after="0" w:afterAutospacing="0" w:line="227" w:lineRule="auto"/>
              <w:ind w:left="111" w:right="0"/>
              <w:rPr>
                <w:rFonts w:hint="default"/>
                <w:color w:val="auto"/>
                <w:spacing w:val="0"/>
                <w:w w:val="100"/>
                <w:position w:val="0"/>
                <w:highlight w:val="none"/>
              </w:rPr>
            </w:pPr>
            <w:r>
              <w:rPr>
                <w:rFonts w:hint="default"/>
                <w:color w:val="auto"/>
                <w:spacing w:val="0"/>
                <w:w w:val="100"/>
                <w:position w:val="0"/>
                <w:highlight w:val="none"/>
              </w:rPr>
              <w:t>km</w:t>
            </w:r>
          </w:p>
        </w:tc>
        <w:tc>
          <w:tcPr>
            <w:tcW w:w="1463" w:type="dxa"/>
            <w:vAlign w:val="top"/>
          </w:tcPr>
          <w:p w14:paraId="6EE91E3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5DD1CBE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4ACF9C0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B7AB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465" w:type="dxa"/>
            <w:vAlign w:val="top"/>
          </w:tcPr>
          <w:p w14:paraId="544043B2">
            <w:pPr>
              <w:pStyle w:val="19"/>
              <w:keepNext w:val="0"/>
              <w:keepLines w:val="0"/>
              <w:widowControl/>
              <w:suppressLineNumbers w:val="0"/>
              <w:spacing w:before="156" w:beforeAutospacing="0" w:after="0" w:afterAutospacing="0" w:line="227" w:lineRule="auto"/>
              <w:ind w:left="114" w:right="0"/>
              <w:rPr>
                <w:rFonts w:hint="default"/>
                <w:color w:val="auto"/>
                <w:spacing w:val="0"/>
                <w:w w:val="100"/>
                <w:position w:val="0"/>
                <w:highlight w:val="none"/>
              </w:rPr>
            </w:pPr>
            <w:r>
              <w:rPr>
                <w:rFonts w:hint="default"/>
                <w:color w:val="auto"/>
                <w:spacing w:val="0"/>
                <w:w w:val="100"/>
                <w:position w:val="0"/>
                <w:highlight w:val="none"/>
              </w:rPr>
              <w:t>-d</w:t>
            </w:r>
          </w:p>
        </w:tc>
        <w:tc>
          <w:tcPr>
            <w:tcW w:w="1464" w:type="dxa"/>
            <w:vAlign w:val="top"/>
          </w:tcPr>
          <w:p w14:paraId="7207DA3B">
            <w:pPr>
              <w:pStyle w:val="19"/>
              <w:keepNext w:val="0"/>
              <w:keepLines w:val="0"/>
              <w:widowControl/>
              <w:suppressLineNumbers w:val="0"/>
              <w:spacing w:before="157" w:beforeAutospacing="0" w:after="0" w:afterAutospacing="0" w:line="221" w:lineRule="auto"/>
              <w:ind w:left="116" w:right="0"/>
              <w:rPr>
                <w:rFonts w:hint="default"/>
                <w:color w:val="auto"/>
                <w:spacing w:val="0"/>
                <w:w w:val="100"/>
                <w:position w:val="0"/>
                <w:highlight w:val="none"/>
              </w:rPr>
            </w:pPr>
            <w:r>
              <w:rPr>
                <w:rFonts w:hint="default"/>
                <w:color w:val="auto"/>
                <w:spacing w:val="0"/>
                <w:w w:val="100"/>
                <w:position w:val="0"/>
                <w:highlight w:val="none"/>
              </w:rPr>
              <w:t>声波</w:t>
            </w:r>
          </w:p>
        </w:tc>
        <w:tc>
          <w:tcPr>
            <w:tcW w:w="1461" w:type="dxa"/>
            <w:vAlign w:val="top"/>
          </w:tcPr>
          <w:p w14:paraId="57BCA6AC">
            <w:pPr>
              <w:pStyle w:val="19"/>
              <w:keepNext w:val="0"/>
              <w:keepLines w:val="0"/>
              <w:widowControl/>
              <w:suppressLineNumbers w:val="0"/>
              <w:spacing w:before="156" w:beforeAutospacing="0" w:after="0" w:afterAutospacing="0" w:line="227" w:lineRule="auto"/>
              <w:ind w:left="111" w:right="0"/>
              <w:rPr>
                <w:rFonts w:hint="default"/>
                <w:color w:val="auto"/>
                <w:spacing w:val="0"/>
                <w:w w:val="100"/>
                <w:position w:val="0"/>
                <w:highlight w:val="none"/>
              </w:rPr>
            </w:pPr>
            <w:r>
              <w:rPr>
                <w:rFonts w:hint="default"/>
                <w:color w:val="auto"/>
                <w:spacing w:val="0"/>
                <w:w w:val="100"/>
                <w:position w:val="0"/>
                <w:highlight w:val="none"/>
              </w:rPr>
              <w:t>km</w:t>
            </w:r>
          </w:p>
        </w:tc>
        <w:tc>
          <w:tcPr>
            <w:tcW w:w="1463" w:type="dxa"/>
            <w:vAlign w:val="top"/>
          </w:tcPr>
          <w:p w14:paraId="3FEBD86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1DF6F96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6E5AC2D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4530C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465" w:type="dxa"/>
            <w:vAlign w:val="top"/>
          </w:tcPr>
          <w:p w14:paraId="239C765B">
            <w:pPr>
              <w:pStyle w:val="19"/>
              <w:keepNext w:val="0"/>
              <w:keepLines w:val="0"/>
              <w:widowControl/>
              <w:suppressLineNumbers w:val="0"/>
              <w:spacing w:before="158" w:beforeAutospacing="0" w:after="0" w:afterAutospacing="0" w:line="227" w:lineRule="auto"/>
              <w:ind w:left="114" w:right="0"/>
              <w:rPr>
                <w:rFonts w:hint="default"/>
                <w:color w:val="auto"/>
                <w:spacing w:val="0"/>
                <w:w w:val="100"/>
                <w:position w:val="0"/>
                <w:highlight w:val="none"/>
              </w:rPr>
            </w:pPr>
            <w:r>
              <w:rPr>
                <w:rFonts w:hint="default"/>
                <w:color w:val="auto"/>
                <w:spacing w:val="0"/>
                <w:w w:val="100"/>
                <w:position w:val="0"/>
                <w:highlight w:val="none"/>
              </w:rPr>
              <w:t>-e</w:t>
            </w:r>
          </w:p>
        </w:tc>
        <w:tc>
          <w:tcPr>
            <w:tcW w:w="1464" w:type="dxa"/>
            <w:vAlign w:val="top"/>
          </w:tcPr>
          <w:p w14:paraId="1929F084">
            <w:pPr>
              <w:pStyle w:val="19"/>
              <w:keepNext w:val="0"/>
              <w:keepLines w:val="0"/>
              <w:widowControl/>
              <w:suppressLineNumbers w:val="0"/>
              <w:spacing w:before="159" w:beforeAutospacing="0" w:after="0" w:afterAutospacing="0" w:line="221" w:lineRule="auto"/>
              <w:ind w:left="113" w:right="0"/>
              <w:rPr>
                <w:rFonts w:hint="default"/>
                <w:color w:val="auto"/>
                <w:spacing w:val="0"/>
                <w:w w:val="100"/>
                <w:position w:val="0"/>
                <w:highlight w:val="none"/>
              </w:rPr>
            </w:pPr>
            <w:r>
              <w:rPr>
                <w:rFonts w:hint="default"/>
                <w:color w:val="auto"/>
                <w:spacing w:val="0"/>
                <w:w w:val="100"/>
                <w:position w:val="0"/>
                <w:highlight w:val="none"/>
              </w:rPr>
              <w:t>测井</w:t>
            </w:r>
          </w:p>
        </w:tc>
        <w:tc>
          <w:tcPr>
            <w:tcW w:w="1461" w:type="dxa"/>
            <w:vAlign w:val="top"/>
          </w:tcPr>
          <w:p w14:paraId="592C728C">
            <w:pPr>
              <w:pStyle w:val="19"/>
              <w:keepNext w:val="0"/>
              <w:keepLines w:val="0"/>
              <w:widowControl/>
              <w:suppressLineNumbers w:val="0"/>
              <w:spacing w:before="159" w:beforeAutospacing="0" w:after="0" w:afterAutospacing="0" w:line="225" w:lineRule="auto"/>
              <w:ind w:left="123" w:right="0"/>
              <w:rPr>
                <w:rFonts w:hint="default"/>
                <w:color w:val="auto"/>
                <w:spacing w:val="0"/>
                <w:w w:val="100"/>
                <w:position w:val="0"/>
                <w:highlight w:val="none"/>
              </w:rPr>
            </w:pPr>
            <w:r>
              <w:rPr>
                <w:rFonts w:hint="default"/>
                <w:color w:val="auto"/>
                <w:spacing w:val="0"/>
                <w:w w:val="100"/>
                <w:position w:val="0"/>
                <w:highlight w:val="none"/>
              </w:rPr>
              <w:t>点</w:t>
            </w:r>
          </w:p>
        </w:tc>
        <w:tc>
          <w:tcPr>
            <w:tcW w:w="1463" w:type="dxa"/>
            <w:vAlign w:val="top"/>
          </w:tcPr>
          <w:p w14:paraId="59836D6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3FC51EA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7BB6B72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E5AA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465" w:type="dxa"/>
            <w:vAlign w:val="top"/>
          </w:tcPr>
          <w:p w14:paraId="04DE2451">
            <w:pPr>
              <w:pStyle w:val="19"/>
              <w:keepNext w:val="0"/>
              <w:keepLines w:val="0"/>
              <w:widowControl/>
              <w:suppressLineNumbers w:val="0"/>
              <w:spacing w:before="156" w:beforeAutospacing="0" w:after="0" w:afterAutospacing="0" w:line="226" w:lineRule="auto"/>
              <w:ind w:left="114" w:right="0"/>
              <w:rPr>
                <w:rFonts w:hint="default"/>
                <w:color w:val="auto"/>
                <w:spacing w:val="0"/>
                <w:w w:val="100"/>
                <w:position w:val="0"/>
                <w:highlight w:val="none"/>
              </w:rPr>
            </w:pPr>
            <w:r>
              <w:rPr>
                <w:rFonts w:hint="default"/>
                <w:color w:val="auto"/>
                <w:spacing w:val="0"/>
                <w:w w:val="100"/>
                <w:position w:val="0"/>
                <w:highlight w:val="none"/>
              </w:rPr>
              <w:t>-f</w:t>
            </w:r>
          </w:p>
        </w:tc>
        <w:tc>
          <w:tcPr>
            <w:tcW w:w="1464" w:type="dxa"/>
            <w:vAlign w:val="top"/>
          </w:tcPr>
          <w:p w14:paraId="689A9DC8">
            <w:pPr>
              <w:pStyle w:val="19"/>
              <w:keepNext w:val="0"/>
              <w:keepLines w:val="0"/>
              <w:widowControl/>
              <w:suppressLineNumbers w:val="0"/>
              <w:spacing w:before="157" w:beforeAutospacing="0" w:after="0" w:afterAutospacing="0" w:line="221" w:lineRule="auto"/>
              <w:ind w:left="113" w:right="0"/>
              <w:rPr>
                <w:rFonts w:hint="default"/>
                <w:color w:val="auto"/>
                <w:spacing w:val="0"/>
                <w:w w:val="100"/>
                <w:position w:val="0"/>
                <w:highlight w:val="none"/>
              </w:rPr>
            </w:pPr>
            <w:r>
              <w:rPr>
                <w:rFonts w:hint="default"/>
                <w:color w:val="auto"/>
                <w:spacing w:val="0"/>
                <w:w w:val="100"/>
                <w:position w:val="0"/>
                <w:highlight w:val="none"/>
              </w:rPr>
              <w:t>测井</w:t>
            </w:r>
          </w:p>
        </w:tc>
        <w:tc>
          <w:tcPr>
            <w:tcW w:w="1461" w:type="dxa"/>
            <w:vAlign w:val="top"/>
          </w:tcPr>
          <w:p w14:paraId="435D7BD9">
            <w:pPr>
              <w:pStyle w:val="19"/>
              <w:keepNext w:val="0"/>
              <w:keepLines w:val="0"/>
              <w:widowControl/>
              <w:suppressLineNumbers w:val="0"/>
              <w:spacing w:before="156" w:beforeAutospacing="0" w:after="0" w:afterAutospacing="0" w:line="226" w:lineRule="auto"/>
              <w:ind w:left="107" w:right="0"/>
              <w:rPr>
                <w:rFonts w:hint="default"/>
                <w:color w:val="auto"/>
                <w:spacing w:val="0"/>
                <w:w w:val="100"/>
                <w:position w:val="0"/>
                <w:highlight w:val="none"/>
              </w:rPr>
            </w:pPr>
            <w:r>
              <w:rPr>
                <w:rFonts w:hint="default"/>
                <w:color w:val="auto"/>
                <w:spacing w:val="0"/>
                <w:w w:val="100"/>
                <w:position w:val="0"/>
                <w:highlight w:val="none"/>
              </w:rPr>
              <w:t>m</w:t>
            </w:r>
          </w:p>
        </w:tc>
        <w:tc>
          <w:tcPr>
            <w:tcW w:w="1463" w:type="dxa"/>
            <w:vAlign w:val="top"/>
          </w:tcPr>
          <w:p w14:paraId="61F8F1D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4CE9CEC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05E625D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78D3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465" w:type="dxa"/>
            <w:vAlign w:val="top"/>
          </w:tcPr>
          <w:p w14:paraId="11BD2F7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72751C99">
            <w:pPr>
              <w:pStyle w:val="19"/>
              <w:keepNext w:val="0"/>
              <w:keepLines w:val="0"/>
              <w:widowControl/>
              <w:suppressLineNumbers w:val="0"/>
              <w:spacing w:before="156" w:beforeAutospacing="0" w:after="0" w:afterAutospacing="0" w:line="226" w:lineRule="auto"/>
              <w:ind w:left="125" w:right="0"/>
              <w:rPr>
                <w:rFonts w:hint="default"/>
                <w:color w:val="auto"/>
                <w:spacing w:val="0"/>
                <w:w w:val="100"/>
                <w:position w:val="0"/>
                <w:highlight w:val="none"/>
              </w:rPr>
            </w:pPr>
            <w:r>
              <w:rPr>
                <w:rFonts w:hint="default"/>
                <w:color w:val="auto"/>
                <w:spacing w:val="0"/>
                <w:w w:val="100"/>
                <w:position w:val="0"/>
                <w:highlight w:val="none"/>
              </w:rPr>
              <w:t>…</w:t>
            </w:r>
          </w:p>
        </w:tc>
        <w:tc>
          <w:tcPr>
            <w:tcW w:w="1461" w:type="dxa"/>
            <w:vAlign w:val="top"/>
          </w:tcPr>
          <w:p w14:paraId="7CA8552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11FD540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3E14A27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1BF27B9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6D73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465" w:type="dxa"/>
            <w:vAlign w:val="top"/>
          </w:tcPr>
          <w:p w14:paraId="4ECCF991">
            <w:pPr>
              <w:pStyle w:val="19"/>
              <w:keepNext w:val="0"/>
              <w:keepLines w:val="0"/>
              <w:widowControl/>
              <w:suppressLineNumbers w:val="0"/>
              <w:spacing w:before="157" w:beforeAutospacing="0" w:after="0" w:afterAutospacing="0" w:line="226" w:lineRule="auto"/>
              <w:ind w:left="117" w:right="0"/>
              <w:rPr>
                <w:rFonts w:hint="default"/>
                <w:color w:val="auto"/>
                <w:spacing w:val="0"/>
                <w:w w:val="100"/>
                <w:position w:val="0"/>
                <w:highlight w:val="none"/>
              </w:rPr>
            </w:pPr>
            <w:r>
              <w:rPr>
                <w:rFonts w:hint="default"/>
                <w:b/>
                <w:bCs/>
                <w:color w:val="auto"/>
                <w:spacing w:val="0"/>
                <w:w w:val="100"/>
                <w:position w:val="0"/>
                <w:highlight w:val="none"/>
              </w:rPr>
              <w:t>6</w:t>
            </w:r>
          </w:p>
        </w:tc>
        <w:tc>
          <w:tcPr>
            <w:tcW w:w="1464" w:type="dxa"/>
            <w:vAlign w:val="top"/>
          </w:tcPr>
          <w:p w14:paraId="589FBE9F">
            <w:pPr>
              <w:pStyle w:val="19"/>
              <w:keepNext w:val="0"/>
              <w:keepLines w:val="0"/>
              <w:widowControl/>
              <w:suppressLineNumbers w:val="0"/>
              <w:spacing w:before="157" w:beforeAutospacing="0" w:after="0" w:afterAutospacing="0" w:line="222" w:lineRule="auto"/>
              <w:ind w:left="111" w:right="0"/>
              <w:rPr>
                <w:rFonts w:hint="default"/>
                <w:color w:val="auto"/>
                <w:spacing w:val="0"/>
                <w:w w:val="100"/>
                <w:position w:val="0"/>
                <w:highlight w:val="none"/>
              </w:rPr>
            </w:pPr>
            <w:r>
              <w:rPr>
                <w:rFonts w:hint="default"/>
                <w:b/>
                <w:bCs/>
                <w:color w:val="auto"/>
                <w:spacing w:val="0"/>
                <w:w w:val="100"/>
                <w:position w:val="0"/>
                <w:highlight w:val="none"/>
              </w:rPr>
              <w:t>初测</w:t>
            </w:r>
          </w:p>
        </w:tc>
        <w:tc>
          <w:tcPr>
            <w:tcW w:w="1461" w:type="dxa"/>
            <w:vAlign w:val="top"/>
          </w:tcPr>
          <w:p w14:paraId="1505E602">
            <w:pPr>
              <w:pStyle w:val="19"/>
              <w:keepNext w:val="0"/>
              <w:keepLines w:val="0"/>
              <w:widowControl/>
              <w:suppressLineNumbers w:val="0"/>
              <w:spacing w:before="157" w:beforeAutospacing="0" w:after="0" w:afterAutospacing="0" w:line="226" w:lineRule="auto"/>
              <w:ind w:left="111" w:right="0"/>
              <w:rPr>
                <w:rFonts w:hint="default"/>
                <w:color w:val="auto"/>
                <w:spacing w:val="0"/>
                <w:w w:val="100"/>
                <w:position w:val="0"/>
                <w:highlight w:val="none"/>
              </w:rPr>
            </w:pPr>
            <w:r>
              <w:rPr>
                <w:rFonts w:hint="default"/>
                <w:b/>
                <w:bCs/>
                <w:color w:val="auto"/>
                <w:spacing w:val="0"/>
                <w:w w:val="100"/>
                <w:position w:val="0"/>
                <w:highlight w:val="none"/>
              </w:rPr>
              <w:t>km</w:t>
            </w:r>
          </w:p>
        </w:tc>
        <w:tc>
          <w:tcPr>
            <w:tcW w:w="1463" w:type="dxa"/>
            <w:vAlign w:val="top"/>
          </w:tcPr>
          <w:p w14:paraId="033B239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1CC6DEB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05A0C71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560C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465" w:type="dxa"/>
            <w:vAlign w:val="top"/>
          </w:tcPr>
          <w:p w14:paraId="24CFD36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5905AF5F">
            <w:pPr>
              <w:pStyle w:val="19"/>
              <w:keepNext w:val="0"/>
              <w:keepLines w:val="0"/>
              <w:widowControl/>
              <w:suppressLineNumbers w:val="0"/>
              <w:spacing w:before="158" w:beforeAutospacing="0" w:after="0" w:afterAutospacing="0" w:line="225" w:lineRule="auto"/>
              <w:ind w:left="125" w:right="0"/>
              <w:rPr>
                <w:rFonts w:hint="default"/>
                <w:color w:val="auto"/>
                <w:spacing w:val="0"/>
                <w:w w:val="100"/>
                <w:position w:val="0"/>
                <w:highlight w:val="none"/>
              </w:rPr>
            </w:pPr>
            <w:r>
              <w:rPr>
                <w:rFonts w:hint="default"/>
                <w:color w:val="auto"/>
                <w:spacing w:val="0"/>
                <w:w w:val="100"/>
                <w:position w:val="0"/>
                <w:highlight w:val="none"/>
              </w:rPr>
              <w:t>…</w:t>
            </w:r>
          </w:p>
        </w:tc>
        <w:tc>
          <w:tcPr>
            <w:tcW w:w="1461" w:type="dxa"/>
            <w:vAlign w:val="top"/>
          </w:tcPr>
          <w:p w14:paraId="718B92D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6DD3A08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16D732D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3BD0D46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F6FE7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465" w:type="dxa"/>
            <w:vAlign w:val="top"/>
          </w:tcPr>
          <w:p w14:paraId="4033EAF3">
            <w:pPr>
              <w:pStyle w:val="19"/>
              <w:keepNext w:val="0"/>
              <w:keepLines w:val="0"/>
              <w:widowControl/>
              <w:suppressLineNumbers w:val="0"/>
              <w:spacing w:before="158" w:beforeAutospacing="0" w:after="0" w:afterAutospacing="0" w:line="225" w:lineRule="auto"/>
              <w:ind w:left="121" w:right="0"/>
              <w:rPr>
                <w:rFonts w:hint="default"/>
                <w:color w:val="auto"/>
                <w:spacing w:val="0"/>
                <w:w w:val="100"/>
                <w:position w:val="0"/>
                <w:highlight w:val="none"/>
              </w:rPr>
            </w:pPr>
            <w:r>
              <w:rPr>
                <w:rFonts w:hint="default"/>
                <w:b/>
                <w:bCs/>
                <w:color w:val="auto"/>
                <w:spacing w:val="0"/>
                <w:w w:val="100"/>
                <w:position w:val="0"/>
                <w:highlight w:val="none"/>
              </w:rPr>
              <w:t>7</w:t>
            </w:r>
          </w:p>
        </w:tc>
        <w:tc>
          <w:tcPr>
            <w:tcW w:w="1464" w:type="dxa"/>
            <w:vAlign w:val="top"/>
          </w:tcPr>
          <w:p w14:paraId="5B3EE603">
            <w:pPr>
              <w:pStyle w:val="19"/>
              <w:keepNext w:val="0"/>
              <w:keepLines w:val="0"/>
              <w:widowControl/>
              <w:suppressLineNumbers w:val="0"/>
              <w:spacing w:before="158" w:beforeAutospacing="0" w:after="0" w:afterAutospacing="0" w:line="221" w:lineRule="auto"/>
              <w:ind w:left="117" w:right="0"/>
              <w:rPr>
                <w:rFonts w:hint="default"/>
                <w:color w:val="auto"/>
                <w:spacing w:val="0"/>
                <w:w w:val="100"/>
                <w:position w:val="0"/>
                <w:highlight w:val="none"/>
              </w:rPr>
            </w:pPr>
            <w:r>
              <w:rPr>
                <w:rFonts w:hint="default"/>
                <w:b/>
                <w:bCs/>
                <w:color w:val="auto"/>
                <w:spacing w:val="0"/>
                <w:w w:val="100"/>
                <w:position w:val="0"/>
                <w:highlight w:val="none"/>
              </w:rPr>
              <w:t>定测</w:t>
            </w:r>
          </w:p>
        </w:tc>
        <w:tc>
          <w:tcPr>
            <w:tcW w:w="1461" w:type="dxa"/>
            <w:vAlign w:val="top"/>
          </w:tcPr>
          <w:p w14:paraId="1A2BD87A">
            <w:pPr>
              <w:pStyle w:val="19"/>
              <w:keepNext w:val="0"/>
              <w:keepLines w:val="0"/>
              <w:widowControl/>
              <w:suppressLineNumbers w:val="0"/>
              <w:spacing w:before="158" w:beforeAutospacing="0" w:after="0" w:afterAutospacing="0" w:line="225" w:lineRule="auto"/>
              <w:ind w:left="111" w:right="0"/>
              <w:rPr>
                <w:rFonts w:hint="default"/>
                <w:color w:val="auto"/>
                <w:spacing w:val="0"/>
                <w:w w:val="100"/>
                <w:position w:val="0"/>
                <w:highlight w:val="none"/>
              </w:rPr>
            </w:pPr>
            <w:r>
              <w:rPr>
                <w:rFonts w:hint="default"/>
                <w:b/>
                <w:bCs/>
                <w:color w:val="auto"/>
                <w:spacing w:val="0"/>
                <w:w w:val="100"/>
                <w:position w:val="0"/>
                <w:highlight w:val="none"/>
              </w:rPr>
              <w:t>km</w:t>
            </w:r>
          </w:p>
        </w:tc>
        <w:tc>
          <w:tcPr>
            <w:tcW w:w="1463" w:type="dxa"/>
            <w:vAlign w:val="top"/>
          </w:tcPr>
          <w:p w14:paraId="4881C18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1BEABF5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38C7CB1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A14E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1465" w:type="dxa"/>
            <w:vAlign w:val="top"/>
          </w:tcPr>
          <w:p w14:paraId="01EEEE8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2EB40B52">
            <w:pPr>
              <w:pStyle w:val="19"/>
              <w:keepNext w:val="0"/>
              <w:keepLines w:val="0"/>
              <w:widowControl/>
              <w:suppressLineNumbers w:val="0"/>
              <w:spacing w:before="161" w:beforeAutospacing="0" w:after="0" w:afterAutospacing="0" w:line="225" w:lineRule="auto"/>
              <w:ind w:left="125" w:right="0"/>
              <w:rPr>
                <w:rFonts w:hint="default"/>
                <w:color w:val="auto"/>
                <w:spacing w:val="0"/>
                <w:w w:val="100"/>
                <w:position w:val="0"/>
                <w:highlight w:val="none"/>
              </w:rPr>
            </w:pPr>
            <w:r>
              <w:rPr>
                <w:rFonts w:hint="default"/>
                <w:color w:val="auto"/>
                <w:spacing w:val="0"/>
                <w:w w:val="100"/>
                <w:position w:val="0"/>
                <w:highlight w:val="none"/>
              </w:rPr>
              <w:t>…</w:t>
            </w:r>
          </w:p>
        </w:tc>
        <w:tc>
          <w:tcPr>
            <w:tcW w:w="1461" w:type="dxa"/>
            <w:vAlign w:val="top"/>
          </w:tcPr>
          <w:p w14:paraId="5847818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2983391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6C90909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482FB09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4E1C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465" w:type="dxa"/>
            <w:vAlign w:val="top"/>
          </w:tcPr>
          <w:p w14:paraId="0C6131C9">
            <w:pPr>
              <w:pStyle w:val="19"/>
              <w:keepNext w:val="0"/>
              <w:keepLines w:val="0"/>
              <w:widowControl/>
              <w:suppressLineNumbers w:val="0"/>
              <w:spacing w:before="159" w:beforeAutospacing="0" w:after="0" w:afterAutospacing="0" w:line="241" w:lineRule="auto"/>
              <w:ind w:left="116" w:right="0"/>
              <w:rPr>
                <w:rFonts w:hint="default"/>
                <w:color w:val="auto"/>
                <w:spacing w:val="0"/>
                <w:w w:val="100"/>
                <w:position w:val="0"/>
                <w:highlight w:val="none"/>
              </w:rPr>
            </w:pPr>
            <w:r>
              <w:rPr>
                <w:rFonts w:hint="default"/>
                <w:b/>
                <w:bCs/>
                <w:color w:val="auto"/>
                <w:spacing w:val="0"/>
                <w:w w:val="100"/>
                <w:position w:val="0"/>
                <w:highlight w:val="none"/>
              </w:rPr>
              <w:t>8</w:t>
            </w:r>
          </w:p>
        </w:tc>
        <w:tc>
          <w:tcPr>
            <w:tcW w:w="1464" w:type="dxa"/>
            <w:vAlign w:val="top"/>
          </w:tcPr>
          <w:p w14:paraId="16175EBD">
            <w:pPr>
              <w:pStyle w:val="19"/>
              <w:keepNext w:val="0"/>
              <w:keepLines w:val="0"/>
              <w:widowControl/>
              <w:suppressLineNumbers w:val="0"/>
              <w:spacing w:before="159" w:beforeAutospacing="0" w:after="0" w:afterAutospacing="0" w:line="297" w:lineRule="auto"/>
              <w:ind w:left="113" w:right="120" w:firstLine="2"/>
              <w:rPr>
                <w:rFonts w:hint="default"/>
                <w:color w:val="auto"/>
                <w:spacing w:val="0"/>
                <w:w w:val="100"/>
                <w:position w:val="0"/>
                <w:highlight w:val="none"/>
              </w:rPr>
            </w:pPr>
            <w:r>
              <w:rPr>
                <w:rFonts w:hint="default"/>
                <w:b/>
                <w:bCs/>
                <w:color w:val="auto"/>
                <w:spacing w:val="0"/>
                <w:w w:val="100"/>
                <w:position w:val="0"/>
                <w:highlight w:val="none"/>
              </w:rPr>
              <w:t>一次定测（如</w:t>
            </w:r>
            <w:r>
              <w:rPr>
                <w:rFonts w:hint="default"/>
                <w:color w:val="auto"/>
                <w:spacing w:val="0"/>
                <w:w w:val="100"/>
                <w:position w:val="0"/>
                <w:highlight w:val="none"/>
              </w:rPr>
              <w:t xml:space="preserve"> </w:t>
            </w:r>
            <w:r>
              <w:rPr>
                <w:rFonts w:hint="default"/>
                <w:b/>
                <w:bCs/>
                <w:color w:val="auto"/>
                <w:spacing w:val="0"/>
                <w:w w:val="100"/>
                <w:position w:val="0"/>
                <w:highlight w:val="none"/>
              </w:rPr>
              <w:t>有）</w:t>
            </w:r>
          </w:p>
        </w:tc>
        <w:tc>
          <w:tcPr>
            <w:tcW w:w="1461" w:type="dxa"/>
            <w:vAlign w:val="top"/>
          </w:tcPr>
          <w:p w14:paraId="263A34E6">
            <w:pPr>
              <w:pStyle w:val="19"/>
              <w:keepNext w:val="0"/>
              <w:keepLines w:val="0"/>
              <w:widowControl/>
              <w:suppressLineNumbers w:val="0"/>
              <w:spacing w:before="159" w:beforeAutospacing="0" w:after="0" w:afterAutospacing="0" w:line="242" w:lineRule="auto"/>
              <w:ind w:left="111" w:right="0"/>
              <w:rPr>
                <w:rFonts w:hint="default"/>
                <w:color w:val="auto"/>
                <w:spacing w:val="0"/>
                <w:w w:val="100"/>
                <w:position w:val="0"/>
                <w:highlight w:val="none"/>
              </w:rPr>
            </w:pPr>
            <w:r>
              <w:rPr>
                <w:rFonts w:hint="default"/>
                <w:b/>
                <w:bCs/>
                <w:color w:val="auto"/>
                <w:spacing w:val="0"/>
                <w:w w:val="100"/>
                <w:position w:val="0"/>
                <w:highlight w:val="none"/>
              </w:rPr>
              <w:t>km</w:t>
            </w:r>
          </w:p>
        </w:tc>
        <w:tc>
          <w:tcPr>
            <w:tcW w:w="1463" w:type="dxa"/>
            <w:vAlign w:val="top"/>
          </w:tcPr>
          <w:p w14:paraId="76C581B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2BCCA55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590B0A0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6FB9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465" w:type="dxa"/>
            <w:vAlign w:val="top"/>
          </w:tcPr>
          <w:p w14:paraId="7DBBE7E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5322E242">
            <w:pPr>
              <w:pStyle w:val="19"/>
              <w:keepNext w:val="0"/>
              <w:keepLines w:val="0"/>
              <w:widowControl/>
              <w:suppressLineNumbers w:val="0"/>
              <w:spacing w:before="159" w:beforeAutospacing="0" w:after="0" w:afterAutospacing="0" w:line="224" w:lineRule="auto"/>
              <w:ind w:left="125" w:right="0"/>
              <w:rPr>
                <w:rFonts w:hint="default"/>
                <w:color w:val="auto"/>
                <w:spacing w:val="0"/>
                <w:w w:val="100"/>
                <w:position w:val="0"/>
                <w:highlight w:val="none"/>
              </w:rPr>
            </w:pPr>
            <w:r>
              <w:rPr>
                <w:rFonts w:hint="default"/>
                <w:color w:val="auto"/>
                <w:spacing w:val="0"/>
                <w:w w:val="100"/>
                <w:position w:val="0"/>
                <w:highlight w:val="none"/>
              </w:rPr>
              <w:t>…</w:t>
            </w:r>
          </w:p>
        </w:tc>
        <w:tc>
          <w:tcPr>
            <w:tcW w:w="1461" w:type="dxa"/>
            <w:vAlign w:val="top"/>
          </w:tcPr>
          <w:p w14:paraId="540C649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3" w:type="dxa"/>
            <w:vAlign w:val="top"/>
          </w:tcPr>
          <w:p w14:paraId="673627A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464" w:type="dxa"/>
            <w:vAlign w:val="top"/>
          </w:tcPr>
          <w:p w14:paraId="3726FC0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776" w:type="dxa"/>
            <w:vAlign w:val="top"/>
          </w:tcPr>
          <w:p w14:paraId="3FBDEC3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EB0D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317" w:type="dxa"/>
            <w:gridSpan w:val="5"/>
            <w:vAlign w:val="top"/>
          </w:tcPr>
          <w:p w14:paraId="11A52843">
            <w:pPr>
              <w:pStyle w:val="19"/>
              <w:keepNext w:val="0"/>
              <w:keepLines w:val="0"/>
              <w:widowControl/>
              <w:suppressLineNumbers w:val="0"/>
              <w:spacing w:before="159" w:beforeAutospacing="0" w:after="0" w:afterAutospacing="0" w:line="222" w:lineRule="auto"/>
              <w:ind w:left="3453" w:right="0"/>
              <w:rPr>
                <w:rFonts w:hint="default"/>
                <w:color w:val="auto"/>
                <w:spacing w:val="0"/>
                <w:w w:val="100"/>
                <w:position w:val="0"/>
                <w:highlight w:val="none"/>
              </w:rPr>
            </w:pPr>
            <w:r>
              <w:rPr>
                <w:rFonts w:hint="default"/>
                <w:b/>
                <w:bCs/>
                <w:color w:val="auto"/>
                <w:spacing w:val="0"/>
                <w:w w:val="100"/>
                <w:position w:val="0"/>
                <w:highlight w:val="none"/>
              </w:rPr>
              <w:t>合计</w:t>
            </w:r>
          </w:p>
        </w:tc>
        <w:tc>
          <w:tcPr>
            <w:tcW w:w="1776" w:type="dxa"/>
            <w:vAlign w:val="top"/>
          </w:tcPr>
          <w:p w14:paraId="7EB910E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3843287E">
      <w:pPr>
        <w:keepNext w:val="0"/>
        <w:keepLines w:val="0"/>
        <w:pageBreakBefore w:val="0"/>
        <w:widowControl/>
        <w:kinsoku w:val="0"/>
        <w:wordWrap/>
        <w:overflowPunct/>
        <w:topLinePunct w:val="0"/>
        <w:autoSpaceDE w:val="0"/>
        <w:autoSpaceDN w:val="0"/>
        <w:bidi w:val="0"/>
        <w:adjustRightInd w:val="0"/>
        <w:snapToGrid w:val="0"/>
        <w:ind w:left="0" w:right="0" w:firstLine="420" w:firstLine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注：本清单格式仅为示例，投标人应根据本招标项目工程特点、按照《公路工程地质勘察规范》《公路勘测规范》《公路勘测细则》及合同条款的相关规定，核实勘察工作内容及工作量，分别列出并填写本表各勘察项目的分项及子项。同时，投标人应将详细的计算说明（包括每一分项、子项的计算依据及计算过程等）附在报价清单后面。</w:t>
      </w:r>
    </w:p>
    <w:p w14:paraId="179125BE">
      <w:pPr>
        <w:rPr>
          <w:rFonts w:ascii="宋体" w:hAnsi="宋体" w:eastAsia="宋体" w:cs="宋体"/>
          <w:color w:val="auto"/>
          <w:spacing w:val="0"/>
          <w:w w:val="100"/>
          <w:position w:val="0"/>
          <w:sz w:val="21"/>
          <w:szCs w:val="21"/>
          <w:highlight w:val="none"/>
        </w:rPr>
        <w:sectPr>
          <w:headerReference r:id="rId93" w:type="default"/>
          <w:footerReference r:id="rId94" w:type="default"/>
          <w:pgSz w:w="11900" w:h="16843"/>
          <w:pgMar w:top="1378" w:right="1417" w:bottom="1208" w:left="1417" w:header="1366" w:footer="1003" w:gutter="0"/>
          <w:pgNumType w:fmt="decimal"/>
          <w:cols w:space="0" w:num="1"/>
          <w:rtlGutter w:val="0"/>
          <w:docGrid w:linePitch="0" w:charSpace="0"/>
        </w:sectPr>
      </w:pPr>
    </w:p>
    <w:p w14:paraId="2826029D">
      <w:pPr>
        <w:pStyle w:val="6"/>
        <w:spacing w:before="91" w:line="219" w:lineRule="auto"/>
        <w:jc w:val="center"/>
        <w:outlineLvl w:val="3"/>
        <w:rPr>
          <w:color w:val="auto"/>
          <w:spacing w:val="0"/>
          <w:w w:val="100"/>
          <w:position w:val="0"/>
          <w:sz w:val="28"/>
          <w:szCs w:val="28"/>
          <w:highlight w:val="none"/>
        </w:rPr>
      </w:pPr>
      <w:bookmarkStart w:id="51" w:name="bookmark45"/>
      <w:bookmarkEnd w:id="51"/>
      <w:r>
        <w:rPr>
          <w:color w:val="auto"/>
          <w:spacing w:val="0"/>
          <w:w w:val="100"/>
          <w:position w:val="0"/>
          <w:sz w:val="28"/>
          <w:szCs w:val="28"/>
          <w:highlight w:val="none"/>
        </w:rPr>
        <w:t>（</w:t>
      </w:r>
      <w:r>
        <w:rPr>
          <w:rFonts w:hint="eastAsia"/>
          <w:color w:val="auto"/>
          <w:spacing w:val="0"/>
          <w:w w:val="100"/>
          <w:position w:val="0"/>
          <w:sz w:val="28"/>
          <w:szCs w:val="28"/>
          <w:highlight w:val="none"/>
          <w:lang w:val="en-US" w:eastAsia="zh-CN"/>
        </w:rPr>
        <w:t>三</w:t>
      </w:r>
      <w:r>
        <w:rPr>
          <w:color w:val="auto"/>
          <w:spacing w:val="0"/>
          <w:w w:val="100"/>
          <w:position w:val="0"/>
          <w:sz w:val="28"/>
          <w:szCs w:val="28"/>
          <w:highlight w:val="none"/>
        </w:rPr>
        <w:t>）公路工程</w:t>
      </w:r>
      <w:r>
        <w:rPr>
          <w:rFonts w:hint="eastAsia"/>
          <w:color w:val="auto"/>
          <w:spacing w:val="0"/>
          <w:w w:val="100"/>
          <w:position w:val="0"/>
          <w:sz w:val="28"/>
          <w:szCs w:val="28"/>
          <w:highlight w:val="none"/>
          <w:lang w:val="en-US" w:eastAsia="zh-CN"/>
        </w:rPr>
        <w:t>初步设计分项报价</w:t>
      </w:r>
      <w:r>
        <w:rPr>
          <w:color w:val="auto"/>
          <w:spacing w:val="0"/>
          <w:w w:val="100"/>
          <w:position w:val="0"/>
          <w:sz w:val="28"/>
          <w:szCs w:val="28"/>
          <w:highlight w:val="none"/>
        </w:rPr>
        <w:t>清单</w:t>
      </w:r>
    </w:p>
    <w:p w14:paraId="671BD2EE">
      <w:pPr>
        <w:spacing w:before="248" w:line="212" w:lineRule="auto"/>
        <w:ind w:left="121"/>
        <w:rPr>
          <w:rFonts w:hint="eastAsia" w:ascii="宋体" w:hAnsi="宋体" w:eastAsia="宋体" w:cs="宋体"/>
          <w:color w:val="auto"/>
          <w:spacing w:val="0"/>
          <w:w w:val="100"/>
          <w:position w:val="0"/>
          <w:sz w:val="21"/>
          <w:szCs w:val="21"/>
          <w:highlight w:val="none"/>
          <w:lang w:eastAsia="zh-CN"/>
        </w:rPr>
      </w:pPr>
      <w:r>
        <w:rPr>
          <w:rFonts w:ascii="宋体" w:hAnsi="宋体" w:eastAsia="宋体" w:cs="宋体"/>
          <w:color w:val="auto"/>
          <w:spacing w:val="0"/>
          <w:w w:val="100"/>
          <w:position w:val="0"/>
          <w:sz w:val="21"/>
          <w:szCs w:val="21"/>
          <w:highlight w:val="none"/>
        </w:rPr>
        <w:t>第</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 xml:space="preserve"> 标段                                                     单位：</w:t>
      </w:r>
      <w:r>
        <w:rPr>
          <w:rFonts w:hint="eastAsia" w:ascii="宋体" w:hAnsi="宋体" w:eastAsia="宋体" w:cs="宋体"/>
          <w:color w:val="auto"/>
          <w:spacing w:val="0"/>
          <w:w w:val="100"/>
          <w:position w:val="0"/>
          <w:sz w:val="21"/>
          <w:szCs w:val="21"/>
          <w:highlight w:val="none"/>
          <w:lang w:val="en-US" w:eastAsia="zh-CN"/>
        </w:rPr>
        <w:t xml:space="preserve">  </w:t>
      </w:r>
      <w:r>
        <w:rPr>
          <w:rFonts w:ascii="宋体" w:hAnsi="宋体" w:eastAsia="宋体" w:cs="宋体"/>
          <w:color w:val="auto"/>
          <w:spacing w:val="0"/>
          <w:w w:val="100"/>
          <w:position w:val="0"/>
          <w:sz w:val="21"/>
          <w:szCs w:val="21"/>
          <w:highlight w:val="none"/>
        </w:rPr>
        <w:t>元</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人民币</w:t>
      </w:r>
      <w:r>
        <w:rPr>
          <w:rFonts w:hint="eastAsia" w:ascii="宋体" w:hAnsi="宋体" w:eastAsia="宋体" w:cs="宋体"/>
          <w:color w:val="auto"/>
          <w:spacing w:val="0"/>
          <w:w w:val="100"/>
          <w:position w:val="0"/>
          <w:sz w:val="21"/>
          <w:szCs w:val="21"/>
          <w:highlight w:val="none"/>
          <w:lang w:eastAsia="zh-CN"/>
        </w:rPr>
        <w:t>）</w:t>
      </w:r>
    </w:p>
    <w:tbl>
      <w:tblPr>
        <w:tblStyle w:val="18"/>
        <w:tblW w:w="88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
        <w:gridCol w:w="3438"/>
        <w:gridCol w:w="1132"/>
        <w:gridCol w:w="1286"/>
        <w:gridCol w:w="1106"/>
        <w:gridCol w:w="1130"/>
      </w:tblGrid>
      <w:tr w14:paraId="3914E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blHeader/>
          <w:jc w:val="center"/>
        </w:trPr>
        <w:tc>
          <w:tcPr>
            <w:tcW w:w="758" w:type="dxa"/>
            <w:vAlign w:val="top"/>
          </w:tcPr>
          <w:p w14:paraId="5B5895AC">
            <w:pPr>
              <w:pStyle w:val="19"/>
              <w:keepNext w:val="0"/>
              <w:keepLines w:val="0"/>
              <w:widowControl/>
              <w:suppressLineNumbers w:val="0"/>
              <w:spacing w:before="113" w:beforeAutospacing="0" w:after="0" w:afterAutospacing="0" w:line="222" w:lineRule="auto"/>
              <w:ind w:left="172" w:right="0"/>
              <w:rPr>
                <w:rFonts w:hint="default"/>
                <w:color w:val="auto"/>
                <w:spacing w:val="0"/>
                <w:w w:val="100"/>
                <w:position w:val="0"/>
                <w:highlight w:val="none"/>
              </w:rPr>
            </w:pPr>
            <w:r>
              <w:rPr>
                <w:rFonts w:hint="default"/>
                <w:color w:val="auto"/>
                <w:spacing w:val="0"/>
                <w:w w:val="100"/>
                <w:position w:val="0"/>
                <w:highlight w:val="none"/>
              </w:rPr>
              <w:t>序号</w:t>
            </w:r>
          </w:p>
        </w:tc>
        <w:tc>
          <w:tcPr>
            <w:tcW w:w="3438" w:type="dxa"/>
            <w:vAlign w:val="top"/>
          </w:tcPr>
          <w:p w14:paraId="4D13752D">
            <w:pPr>
              <w:pStyle w:val="19"/>
              <w:keepNext w:val="0"/>
              <w:keepLines w:val="0"/>
              <w:widowControl/>
              <w:suppressLineNumbers w:val="0"/>
              <w:spacing w:before="82" w:beforeAutospacing="0" w:after="0" w:afterAutospacing="0" w:line="221" w:lineRule="auto"/>
              <w:ind w:left="1199" w:right="0"/>
              <w:rPr>
                <w:rFonts w:hint="default"/>
                <w:color w:val="auto"/>
                <w:spacing w:val="0"/>
                <w:w w:val="100"/>
                <w:position w:val="0"/>
                <w:highlight w:val="none"/>
              </w:rPr>
            </w:pPr>
            <w:r>
              <w:rPr>
                <w:rFonts w:hint="default"/>
                <w:color w:val="auto"/>
                <w:spacing w:val="0"/>
                <w:w w:val="100"/>
                <w:position w:val="0"/>
                <w:highlight w:val="none"/>
              </w:rPr>
              <w:t>项      目</w:t>
            </w:r>
          </w:p>
        </w:tc>
        <w:tc>
          <w:tcPr>
            <w:tcW w:w="1132" w:type="dxa"/>
            <w:vAlign w:val="top"/>
          </w:tcPr>
          <w:p w14:paraId="16D1500A">
            <w:pPr>
              <w:pStyle w:val="19"/>
              <w:keepNext w:val="0"/>
              <w:keepLines w:val="0"/>
              <w:widowControl/>
              <w:suppressLineNumbers w:val="0"/>
              <w:spacing w:before="82" w:beforeAutospacing="0" w:after="0" w:afterAutospacing="0" w:line="221" w:lineRule="auto"/>
              <w:ind w:left="151" w:right="0"/>
              <w:rPr>
                <w:rFonts w:hint="default"/>
                <w:color w:val="auto"/>
                <w:spacing w:val="0"/>
                <w:w w:val="100"/>
                <w:position w:val="0"/>
                <w:highlight w:val="none"/>
              </w:rPr>
            </w:pPr>
            <w:r>
              <w:rPr>
                <w:rFonts w:hint="default"/>
                <w:color w:val="auto"/>
                <w:spacing w:val="0"/>
                <w:w w:val="100"/>
                <w:position w:val="0"/>
                <w:highlight w:val="none"/>
              </w:rPr>
              <w:t>计量单位</w:t>
            </w:r>
          </w:p>
        </w:tc>
        <w:tc>
          <w:tcPr>
            <w:tcW w:w="1286" w:type="dxa"/>
            <w:vAlign w:val="top"/>
          </w:tcPr>
          <w:p w14:paraId="404D17B0">
            <w:pPr>
              <w:pStyle w:val="19"/>
              <w:keepNext w:val="0"/>
              <w:keepLines w:val="0"/>
              <w:widowControl/>
              <w:suppressLineNumbers w:val="0"/>
              <w:spacing w:before="82" w:beforeAutospacing="0" w:after="0" w:afterAutospacing="0" w:line="221" w:lineRule="auto"/>
              <w:ind w:left="129" w:right="0"/>
              <w:rPr>
                <w:rFonts w:hint="default"/>
                <w:color w:val="auto"/>
                <w:spacing w:val="0"/>
                <w:w w:val="100"/>
                <w:position w:val="0"/>
                <w:highlight w:val="none"/>
              </w:rPr>
            </w:pPr>
            <w:r>
              <w:rPr>
                <w:rFonts w:hint="default"/>
                <w:color w:val="auto"/>
                <w:spacing w:val="0"/>
                <w:w w:val="100"/>
                <w:position w:val="0"/>
                <w:highlight w:val="none"/>
              </w:rPr>
              <w:t>实物工作量</w:t>
            </w:r>
          </w:p>
        </w:tc>
        <w:tc>
          <w:tcPr>
            <w:tcW w:w="1106" w:type="dxa"/>
            <w:vAlign w:val="top"/>
          </w:tcPr>
          <w:p w14:paraId="30B757C5">
            <w:pPr>
              <w:pStyle w:val="19"/>
              <w:keepNext w:val="0"/>
              <w:keepLines w:val="0"/>
              <w:widowControl/>
              <w:suppressLineNumbers w:val="0"/>
              <w:spacing w:before="82" w:beforeAutospacing="0" w:after="0" w:afterAutospacing="0" w:line="219" w:lineRule="auto"/>
              <w:ind w:left="140" w:right="0"/>
              <w:rPr>
                <w:rFonts w:hint="default"/>
                <w:color w:val="auto"/>
                <w:spacing w:val="0"/>
                <w:w w:val="100"/>
                <w:position w:val="0"/>
                <w:highlight w:val="none"/>
              </w:rPr>
            </w:pPr>
            <w:r>
              <w:rPr>
                <w:rFonts w:hint="default"/>
                <w:color w:val="auto"/>
                <w:spacing w:val="0"/>
                <w:w w:val="100"/>
                <w:position w:val="0"/>
                <w:highlight w:val="none"/>
              </w:rPr>
              <w:t>单价金额</w:t>
            </w:r>
          </w:p>
        </w:tc>
        <w:tc>
          <w:tcPr>
            <w:tcW w:w="1130" w:type="dxa"/>
            <w:vAlign w:val="top"/>
          </w:tcPr>
          <w:p w14:paraId="5EBF2E0D">
            <w:pPr>
              <w:pStyle w:val="19"/>
              <w:keepNext w:val="0"/>
              <w:keepLines w:val="0"/>
              <w:widowControl/>
              <w:suppressLineNumbers w:val="0"/>
              <w:spacing w:before="82" w:beforeAutospacing="0" w:after="0" w:afterAutospacing="0" w:line="219" w:lineRule="auto"/>
              <w:ind w:left="150" w:right="0"/>
              <w:rPr>
                <w:rFonts w:hint="default"/>
                <w:color w:val="auto"/>
                <w:spacing w:val="0"/>
                <w:w w:val="100"/>
                <w:position w:val="0"/>
                <w:highlight w:val="none"/>
              </w:rPr>
            </w:pPr>
            <w:r>
              <w:rPr>
                <w:rFonts w:hint="default"/>
                <w:color w:val="auto"/>
                <w:spacing w:val="0"/>
                <w:w w:val="100"/>
                <w:position w:val="0"/>
                <w:highlight w:val="none"/>
              </w:rPr>
              <w:t>合价金额</w:t>
            </w:r>
          </w:p>
        </w:tc>
      </w:tr>
      <w:tr w14:paraId="4E4D1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3B3C2944">
            <w:pPr>
              <w:pStyle w:val="19"/>
              <w:keepNext w:val="0"/>
              <w:keepLines w:val="0"/>
              <w:widowControl/>
              <w:suppressLineNumbers w:val="0"/>
              <w:spacing w:before="197" w:beforeAutospacing="0" w:after="0" w:afterAutospacing="0" w:line="157" w:lineRule="exact"/>
              <w:ind w:left="282" w:right="0"/>
              <w:outlineLvl w:val="1"/>
              <w:rPr>
                <w:rFonts w:hint="default"/>
                <w:color w:val="auto"/>
                <w:spacing w:val="0"/>
                <w:w w:val="100"/>
                <w:position w:val="0"/>
                <w:highlight w:val="none"/>
              </w:rPr>
            </w:pPr>
            <w:bookmarkStart w:id="52" w:name="bookmark58"/>
            <w:bookmarkEnd w:id="52"/>
          </w:p>
        </w:tc>
        <w:tc>
          <w:tcPr>
            <w:tcW w:w="3438" w:type="dxa"/>
            <w:vAlign w:val="top"/>
          </w:tcPr>
          <w:p w14:paraId="043F9EE9">
            <w:pPr>
              <w:pStyle w:val="19"/>
              <w:keepNext w:val="0"/>
              <w:keepLines w:val="0"/>
              <w:widowControl/>
              <w:suppressLineNumbers w:val="0"/>
              <w:spacing w:before="118" w:beforeAutospacing="0" w:after="0" w:afterAutospacing="0" w:line="207" w:lineRule="auto"/>
              <w:ind w:left="326" w:right="0"/>
              <w:rPr>
                <w:rFonts w:hint="default"/>
                <w:color w:val="auto"/>
                <w:spacing w:val="0"/>
                <w:w w:val="100"/>
                <w:position w:val="0"/>
                <w:highlight w:val="none"/>
              </w:rPr>
            </w:pPr>
            <w:r>
              <w:rPr>
                <w:rFonts w:hint="default"/>
                <w:b/>
                <w:bCs/>
                <w:color w:val="auto"/>
                <w:spacing w:val="0"/>
                <w:w w:val="100"/>
                <w:position w:val="0"/>
                <w:highlight w:val="none"/>
              </w:rPr>
              <w:t>初步设计</w:t>
            </w:r>
          </w:p>
        </w:tc>
        <w:tc>
          <w:tcPr>
            <w:tcW w:w="1132" w:type="dxa"/>
            <w:vAlign w:val="top"/>
          </w:tcPr>
          <w:p w14:paraId="7C2290D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7EA9DE4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5EEA750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07E9F4D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C1DF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758" w:type="dxa"/>
            <w:vAlign w:val="top"/>
          </w:tcPr>
          <w:p w14:paraId="22371AB1">
            <w:pPr>
              <w:pStyle w:val="19"/>
              <w:keepNext w:val="0"/>
              <w:keepLines w:val="0"/>
              <w:widowControl/>
              <w:suppressLineNumbers w:val="0"/>
              <w:spacing w:before="121" w:beforeAutospacing="0" w:after="0" w:afterAutospacing="0" w:line="207" w:lineRule="auto"/>
              <w:ind w:left="347" w:right="0"/>
              <w:rPr>
                <w:rFonts w:hint="default"/>
                <w:color w:val="auto"/>
                <w:spacing w:val="0"/>
                <w:w w:val="100"/>
                <w:position w:val="0"/>
                <w:highlight w:val="none"/>
              </w:rPr>
            </w:pPr>
            <w:r>
              <w:rPr>
                <w:rFonts w:hint="default"/>
                <w:b/>
                <w:bCs/>
                <w:color w:val="auto"/>
                <w:spacing w:val="0"/>
                <w:w w:val="100"/>
                <w:position w:val="0"/>
                <w:highlight w:val="none"/>
              </w:rPr>
              <w:t>1</w:t>
            </w:r>
          </w:p>
        </w:tc>
        <w:tc>
          <w:tcPr>
            <w:tcW w:w="3438" w:type="dxa"/>
            <w:vAlign w:val="top"/>
          </w:tcPr>
          <w:p w14:paraId="43520BC8">
            <w:pPr>
              <w:pStyle w:val="19"/>
              <w:keepNext w:val="0"/>
              <w:keepLines w:val="0"/>
              <w:widowControl/>
              <w:suppressLineNumbers w:val="0"/>
              <w:spacing w:before="121" w:beforeAutospacing="0" w:after="0" w:afterAutospacing="0" w:line="207" w:lineRule="auto"/>
              <w:ind w:left="334" w:right="0"/>
              <w:rPr>
                <w:rFonts w:hint="default"/>
                <w:color w:val="auto"/>
                <w:spacing w:val="0"/>
                <w:w w:val="100"/>
                <w:position w:val="0"/>
                <w:highlight w:val="none"/>
              </w:rPr>
            </w:pPr>
            <w:r>
              <w:rPr>
                <w:rFonts w:hint="default"/>
                <w:b/>
                <w:bCs/>
                <w:color w:val="auto"/>
                <w:spacing w:val="0"/>
                <w:w w:val="100"/>
                <w:position w:val="0"/>
                <w:highlight w:val="none"/>
              </w:rPr>
              <w:t>公路</w:t>
            </w:r>
          </w:p>
        </w:tc>
        <w:tc>
          <w:tcPr>
            <w:tcW w:w="1132" w:type="dxa"/>
            <w:vAlign w:val="top"/>
          </w:tcPr>
          <w:p w14:paraId="20BFF1C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69D38F2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75CEE0E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27E3453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0452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5BCC6A72">
            <w:pPr>
              <w:pStyle w:val="19"/>
              <w:keepNext w:val="0"/>
              <w:keepLines w:val="0"/>
              <w:widowControl/>
              <w:suppressLineNumbers w:val="0"/>
              <w:spacing w:before="118" w:beforeAutospacing="0" w:after="0" w:afterAutospacing="0" w:line="207" w:lineRule="auto"/>
              <w:ind w:left="277" w:right="0"/>
              <w:rPr>
                <w:rFonts w:hint="default"/>
                <w:color w:val="auto"/>
                <w:spacing w:val="0"/>
                <w:w w:val="100"/>
                <w:position w:val="0"/>
                <w:highlight w:val="none"/>
              </w:rPr>
            </w:pPr>
            <w:r>
              <w:rPr>
                <w:rFonts w:hint="default"/>
                <w:color w:val="auto"/>
                <w:spacing w:val="0"/>
                <w:w w:val="100"/>
                <w:position w:val="0"/>
                <w:highlight w:val="none"/>
              </w:rPr>
              <w:t>-1</w:t>
            </w:r>
          </w:p>
        </w:tc>
        <w:tc>
          <w:tcPr>
            <w:tcW w:w="3438" w:type="dxa"/>
            <w:vAlign w:val="top"/>
          </w:tcPr>
          <w:p w14:paraId="2C6757EE">
            <w:pPr>
              <w:pStyle w:val="19"/>
              <w:keepNext w:val="0"/>
              <w:keepLines w:val="0"/>
              <w:widowControl/>
              <w:suppressLineNumbers w:val="0"/>
              <w:spacing w:before="118" w:beforeAutospacing="0" w:after="0" w:afterAutospacing="0" w:line="207" w:lineRule="auto"/>
              <w:ind w:left="395" w:right="0"/>
              <w:rPr>
                <w:rFonts w:hint="default"/>
                <w:color w:val="auto"/>
                <w:spacing w:val="0"/>
                <w:w w:val="100"/>
                <w:position w:val="0"/>
                <w:highlight w:val="none"/>
              </w:rPr>
            </w:pPr>
            <w:r>
              <w:rPr>
                <w:rFonts w:hint="default"/>
                <w:color w:val="auto"/>
                <w:spacing w:val="0"/>
                <w:w w:val="100"/>
                <w:position w:val="0"/>
                <w:highlight w:val="none"/>
              </w:rPr>
              <w:t>Ⅰ级</w:t>
            </w:r>
          </w:p>
        </w:tc>
        <w:tc>
          <w:tcPr>
            <w:tcW w:w="1132" w:type="dxa"/>
            <w:vAlign w:val="top"/>
          </w:tcPr>
          <w:p w14:paraId="76D9B85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49AAEDF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03127FC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7B87634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410D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54D36919">
            <w:pPr>
              <w:pStyle w:val="19"/>
              <w:keepNext w:val="0"/>
              <w:keepLines w:val="0"/>
              <w:widowControl/>
              <w:suppressLineNumbers w:val="0"/>
              <w:spacing w:before="119" w:beforeAutospacing="0" w:after="0" w:afterAutospacing="0" w:line="206" w:lineRule="auto"/>
              <w:ind w:left="277" w:right="0"/>
              <w:rPr>
                <w:rFonts w:hint="default"/>
                <w:color w:val="auto"/>
                <w:spacing w:val="0"/>
                <w:w w:val="100"/>
                <w:position w:val="0"/>
                <w:highlight w:val="none"/>
              </w:rPr>
            </w:pPr>
            <w:r>
              <w:rPr>
                <w:rFonts w:hint="default"/>
                <w:color w:val="auto"/>
                <w:spacing w:val="0"/>
                <w:w w:val="100"/>
                <w:position w:val="0"/>
                <w:highlight w:val="none"/>
              </w:rPr>
              <w:t>-2</w:t>
            </w:r>
          </w:p>
        </w:tc>
        <w:tc>
          <w:tcPr>
            <w:tcW w:w="3438" w:type="dxa"/>
            <w:vAlign w:val="top"/>
          </w:tcPr>
          <w:p w14:paraId="17E7FB8C">
            <w:pPr>
              <w:pStyle w:val="19"/>
              <w:keepNext w:val="0"/>
              <w:keepLines w:val="0"/>
              <w:widowControl/>
              <w:suppressLineNumbers w:val="0"/>
              <w:spacing w:before="119" w:beforeAutospacing="0" w:after="0" w:afterAutospacing="0" w:line="206" w:lineRule="auto"/>
              <w:ind w:left="363" w:right="0"/>
              <w:rPr>
                <w:rFonts w:hint="default"/>
                <w:color w:val="auto"/>
                <w:spacing w:val="0"/>
                <w:w w:val="100"/>
                <w:position w:val="0"/>
                <w:highlight w:val="none"/>
              </w:rPr>
            </w:pPr>
            <w:r>
              <w:rPr>
                <w:rFonts w:hint="default"/>
                <w:color w:val="auto"/>
                <w:spacing w:val="0"/>
                <w:w w:val="100"/>
                <w:position w:val="0"/>
                <w:highlight w:val="none"/>
              </w:rPr>
              <w:t>Ⅱ级</w:t>
            </w:r>
          </w:p>
        </w:tc>
        <w:tc>
          <w:tcPr>
            <w:tcW w:w="1132" w:type="dxa"/>
            <w:vAlign w:val="top"/>
          </w:tcPr>
          <w:p w14:paraId="6371F3E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66EE42D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45353F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795D9A4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3F3C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63072728">
            <w:pPr>
              <w:pStyle w:val="19"/>
              <w:keepNext w:val="0"/>
              <w:keepLines w:val="0"/>
              <w:widowControl/>
              <w:suppressLineNumbers w:val="0"/>
              <w:spacing w:before="120" w:beforeAutospacing="0" w:after="0" w:afterAutospacing="0" w:line="206" w:lineRule="auto"/>
              <w:ind w:left="277" w:right="0"/>
              <w:rPr>
                <w:rFonts w:hint="default"/>
                <w:color w:val="auto"/>
                <w:spacing w:val="0"/>
                <w:w w:val="100"/>
                <w:position w:val="0"/>
                <w:highlight w:val="none"/>
              </w:rPr>
            </w:pPr>
            <w:r>
              <w:rPr>
                <w:rFonts w:hint="default"/>
                <w:color w:val="auto"/>
                <w:spacing w:val="0"/>
                <w:w w:val="100"/>
                <w:position w:val="0"/>
                <w:highlight w:val="none"/>
              </w:rPr>
              <w:t>-3</w:t>
            </w:r>
          </w:p>
        </w:tc>
        <w:tc>
          <w:tcPr>
            <w:tcW w:w="3438" w:type="dxa"/>
            <w:vAlign w:val="top"/>
          </w:tcPr>
          <w:p w14:paraId="38545F89">
            <w:pPr>
              <w:pStyle w:val="19"/>
              <w:keepNext w:val="0"/>
              <w:keepLines w:val="0"/>
              <w:widowControl/>
              <w:suppressLineNumbers w:val="0"/>
              <w:spacing w:before="120" w:beforeAutospacing="0" w:after="0" w:afterAutospacing="0" w:line="206" w:lineRule="auto"/>
              <w:ind w:left="326" w:right="0"/>
              <w:rPr>
                <w:rFonts w:hint="default"/>
                <w:color w:val="auto"/>
                <w:spacing w:val="0"/>
                <w:w w:val="100"/>
                <w:position w:val="0"/>
                <w:highlight w:val="none"/>
              </w:rPr>
            </w:pPr>
            <w:r>
              <w:rPr>
                <w:rFonts w:hint="default"/>
                <w:color w:val="auto"/>
                <w:spacing w:val="0"/>
                <w:w w:val="100"/>
                <w:position w:val="0"/>
                <w:highlight w:val="none"/>
              </w:rPr>
              <w:t>Ⅲ级</w:t>
            </w:r>
          </w:p>
        </w:tc>
        <w:tc>
          <w:tcPr>
            <w:tcW w:w="1132" w:type="dxa"/>
            <w:vAlign w:val="top"/>
          </w:tcPr>
          <w:p w14:paraId="057694A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6FE8609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04F640F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6682BC3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A3390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4081630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782F2A0C">
            <w:pPr>
              <w:pStyle w:val="19"/>
              <w:keepNext w:val="0"/>
              <w:keepLines w:val="0"/>
              <w:widowControl/>
              <w:suppressLineNumbers w:val="0"/>
              <w:spacing w:before="120" w:beforeAutospacing="0" w:after="0" w:afterAutospacing="0" w:line="205"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26ED84D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1498E3C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11F4F8E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5257F91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3490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45D2084D">
            <w:pPr>
              <w:pStyle w:val="19"/>
              <w:keepNext w:val="0"/>
              <w:keepLines w:val="0"/>
              <w:widowControl/>
              <w:suppressLineNumbers w:val="0"/>
              <w:spacing w:before="120" w:beforeAutospacing="0" w:after="0" w:afterAutospacing="0" w:line="205" w:lineRule="auto"/>
              <w:ind w:left="334" w:right="0"/>
              <w:rPr>
                <w:rFonts w:hint="default"/>
                <w:color w:val="auto"/>
                <w:spacing w:val="0"/>
                <w:w w:val="100"/>
                <w:position w:val="0"/>
                <w:highlight w:val="none"/>
              </w:rPr>
            </w:pPr>
            <w:r>
              <w:rPr>
                <w:rFonts w:hint="default"/>
                <w:b/>
                <w:bCs/>
                <w:color w:val="auto"/>
                <w:spacing w:val="0"/>
                <w:w w:val="100"/>
                <w:position w:val="0"/>
                <w:highlight w:val="none"/>
              </w:rPr>
              <w:t>2</w:t>
            </w:r>
          </w:p>
        </w:tc>
        <w:tc>
          <w:tcPr>
            <w:tcW w:w="3438" w:type="dxa"/>
            <w:vAlign w:val="top"/>
          </w:tcPr>
          <w:p w14:paraId="17A92E0C">
            <w:pPr>
              <w:pStyle w:val="19"/>
              <w:keepNext w:val="0"/>
              <w:keepLines w:val="0"/>
              <w:widowControl/>
              <w:suppressLineNumbers w:val="0"/>
              <w:spacing w:before="120" w:beforeAutospacing="0" w:after="0" w:afterAutospacing="0" w:line="205" w:lineRule="auto"/>
              <w:ind w:left="327" w:right="0"/>
              <w:rPr>
                <w:rFonts w:hint="eastAsia" w:eastAsia="宋体"/>
                <w:color w:val="auto"/>
                <w:spacing w:val="0"/>
                <w:w w:val="100"/>
                <w:position w:val="0"/>
                <w:highlight w:val="none"/>
                <w:lang w:eastAsia="zh-CN"/>
              </w:rPr>
            </w:pPr>
            <w:r>
              <w:rPr>
                <w:rFonts w:hint="default"/>
                <w:b/>
                <w:bCs/>
                <w:color w:val="auto"/>
                <w:spacing w:val="0"/>
                <w:w w:val="100"/>
                <w:position w:val="0"/>
                <w:highlight w:val="none"/>
              </w:rPr>
              <w:t>桥</w:t>
            </w:r>
          </w:p>
        </w:tc>
        <w:tc>
          <w:tcPr>
            <w:tcW w:w="1132" w:type="dxa"/>
            <w:vAlign w:val="top"/>
          </w:tcPr>
          <w:p w14:paraId="63F282A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54E2444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38F77AC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17A8565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C3AD5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758" w:type="dxa"/>
            <w:vAlign w:val="top"/>
          </w:tcPr>
          <w:p w14:paraId="2B896DAA">
            <w:pPr>
              <w:pStyle w:val="19"/>
              <w:keepNext w:val="0"/>
              <w:keepLines w:val="0"/>
              <w:widowControl/>
              <w:suppressLineNumbers w:val="0"/>
              <w:spacing w:before="123" w:beforeAutospacing="0" w:after="0" w:afterAutospacing="0" w:line="205" w:lineRule="auto"/>
              <w:ind w:left="277" w:right="0"/>
              <w:rPr>
                <w:rFonts w:hint="default"/>
                <w:color w:val="auto"/>
                <w:spacing w:val="0"/>
                <w:w w:val="100"/>
                <w:position w:val="0"/>
                <w:highlight w:val="none"/>
              </w:rPr>
            </w:pPr>
            <w:r>
              <w:rPr>
                <w:rFonts w:hint="default"/>
                <w:color w:val="auto"/>
                <w:spacing w:val="0"/>
                <w:w w:val="100"/>
                <w:position w:val="0"/>
                <w:highlight w:val="none"/>
              </w:rPr>
              <w:t>-1</w:t>
            </w:r>
          </w:p>
        </w:tc>
        <w:tc>
          <w:tcPr>
            <w:tcW w:w="3438" w:type="dxa"/>
            <w:vAlign w:val="top"/>
          </w:tcPr>
          <w:p w14:paraId="6517E367">
            <w:pPr>
              <w:pStyle w:val="19"/>
              <w:keepNext w:val="0"/>
              <w:keepLines w:val="0"/>
              <w:widowControl/>
              <w:suppressLineNumbers w:val="0"/>
              <w:spacing w:before="123" w:beforeAutospacing="0" w:after="0" w:afterAutospacing="0" w:line="205" w:lineRule="auto"/>
              <w:ind w:left="395" w:right="0"/>
              <w:rPr>
                <w:rFonts w:hint="default"/>
                <w:color w:val="auto"/>
                <w:spacing w:val="0"/>
                <w:w w:val="100"/>
                <w:position w:val="0"/>
                <w:highlight w:val="none"/>
              </w:rPr>
            </w:pPr>
            <w:r>
              <w:rPr>
                <w:rFonts w:hint="default"/>
                <w:color w:val="auto"/>
                <w:spacing w:val="0"/>
                <w:w w:val="100"/>
                <w:position w:val="0"/>
                <w:highlight w:val="none"/>
              </w:rPr>
              <w:t>Ⅰ级</w:t>
            </w:r>
          </w:p>
        </w:tc>
        <w:tc>
          <w:tcPr>
            <w:tcW w:w="1132" w:type="dxa"/>
            <w:vAlign w:val="top"/>
          </w:tcPr>
          <w:p w14:paraId="1FED7C6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4B6D99A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6286193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71B812E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51CE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168DA4B0">
            <w:pPr>
              <w:pStyle w:val="19"/>
              <w:keepNext w:val="0"/>
              <w:keepLines w:val="0"/>
              <w:widowControl/>
              <w:suppressLineNumbers w:val="0"/>
              <w:spacing w:before="121" w:beforeAutospacing="0" w:after="0" w:afterAutospacing="0" w:line="205" w:lineRule="auto"/>
              <w:ind w:left="277" w:right="0"/>
              <w:rPr>
                <w:rFonts w:hint="default"/>
                <w:color w:val="auto"/>
                <w:spacing w:val="0"/>
                <w:w w:val="100"/>
                <w:position w:val="0"/>
                <w:highlight w:val="none"/>
              </w:rPr>
            </w:pPr>
            <w:r>
              <w:rPr>
                <w:rFonts w:hint="default"/>
                <w:color w:val="auto"/>
                <w:spacing w:val="0"/>
                <w:w w:val="100"/>
                <w:position w:val="0"/>
                <w:highlight w:val="none"/>
              </w:rPr>
              <w:t>-2</w:t>
            </w:r>
          </w:p>
        </w:tc>
        <w:tc>
          <w:tcPr>
            <w:tcW w:w="3438" w:type="dxa"/>
            <w:vAlign w:val="top"/>
          </w:tcPr>
          <w:p w14:paraId="019EEF64">
            <w:pPr>
              <w:pStyle w:val="19"/>
              <w:keepNext w:val="0"/>
              <w:keepLines w:val="0"/>
              <w:widowControl/>
              <w:suppressLineNumbers w:val="0"/>
              <w:spacing w:before="121" w:beforeAutospacing="0" w:after="0" w:afterAutospacing="0" w:line="205" w:lineRule="auto"/>
              <w:ind w:left="363" w:right="0"/>
              <w:rPr>
                <w:rFonts w:hint="default"/>
                <w:color w:val="auto"/>
                <w:spacing w:val="0"/>
                <w:w w:val="100"/>
                <w:position w:val="0"/>
                <w:highlight w:val="none"/>
              </w:rPr>
            </w:pPr>
            <w:r>
              <w:rPr>
                <w:rFonts w:hint="default"/>
                <w:color w:val="auto"/>
                <w:spacing w:val="0"/>
                <w:w w:val="100"/>
                <w:position w:val="0"/>
                <w:highlight w:val="none"/>
              </w:rPr>
              <w:t>Ⅱ级</w:t>
            </w:r>
          </w:p>
        </w:tc>
        <w:tc>
          <w:tcPr>
            <w:tcW w:w="1132" w:type="dxa"/>
            <w:vAlign w:val="top"/>
          </w:tcPr>
          <w:p w14:paraId="4A4B7DC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19A0CFF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037B17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2CC0180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4692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5BD1F8D4">
            <w:pPr>
              <w:pStyle w:val="19"/>
              <w:keepNext w:val="0"/>
              <w:keepLines w:val="0"/>
              <w:widowControl/>
              <w:suppressLineNumbers w:val="0"/>
              <w:spacing w:before="120" w:beforeAutospacing="0" w:after="0" w:afterAutospacing="0" w:line="205" w:lineRule="auto"/>
              <w:ind w:left="277" w:right="0"/>
              <w:rPr>
                <w:rFonts w:hint="default"/>
                <w:color w:val="auto"/>
                <w:spacing w:val="0"/>
                <w:w w:val="100"/>
                <w:position w:val="0"/>
                <w:highlight w:val="none"/>
              </w:rPr>
            </w:pPr>
            <w:r>
              <w:rPr>
                <w:rFonts w:hint="default"/>
                <w:color w:val="auto"/>
                <w:spacing w:val="0"/>
                <w:w w:val="100"/>
                <w:position w:val="0"/>
                <w:highlight w:val="none"/>
              </w:rPr>
              <w:t>-3</w:t>
            </w:r>
          </w:p>
        </w:tc>
        <w:tc>
          <w:tcPr>
            <w:tcW w:w="3438" w:type="dxa"/>
            <w:vAlign w:val="top"/>
          </w:tcPr>
          <w:p w14:paraId="44FAEC22">
            <w:pPr>
              <w:pStyle w:val="19"/>
              <w:keepNext w:val="0"/>
              <w:keepLines w:val="0"/>
              <w:widowControl/>
              <w:suppressLineNumbers w:val="0"/>
              <w:spacing w:before="120" w:beforeAutospacing="0" w:after="0" w:afterAutospacing="0" w:line="205" w:lineRule="auto"/>
              <w:ind w:left="326" w:right="0"/>
              <w:rPr>
                <w:rFonts w:hint="default"/>
                <w:color w:val="auto"/>
                <w:spacing w:val="0"/>
                <w:w w:val="100"/>
                <w:position w:val="0"/>
                <w:highlight w:val="none"/>
              </w:rPr>
            </w:pPr>
            <w:r>
              <w:rPr>
                <w:rFonts w:hint="default"/>
                <w:color w:val="auto"/>
                <w:spacing w:val="0"/>
                <w:w w:val="100"/>
                <w:position w:val="0"/>
                <w:highlight w:val="none"/>
              </w:rPr>
              <w:t>Ⅲ级</w:t>
            </w:r>
          </w:p>
        </w:tc>
        <w:tc>
          <w:tcPr>
            <w:tcW w:w="1132" w:type="dxa"/>
            <w:vAlign w:val="top"/>
          </w:tcPr>
          <w:p w14:paraId="1CAF3E5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4B06753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0592E83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21E9811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1EFD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66DEE283">
            <w:pPr>
              <w:pStyle w:val="19"/>
              <w:keepNext w:val="0"/>
              <w:keepLines w:val="0"/>
              <w:widowControl/>
              <w:suppressLineNumbers w:val="0"/>
              <w:spacing w:before="121" w:beforeAutospacing="0" w:after="0" w:afterAutospacing="0" w:line="205" w:lineRule="auto"/>
              <w:ind w:left="277" w:right="0"/>
              <w:rPr>
                <w:rFonts w:hint="default"/>
                <w:color w:val="auto"/>
                <w:spacing w:val="0"/>
                <w:w w:val="100"/>
                <w:position w:val="0"/>
                <w:highlight w:val="none"/>
              </w:rPr>
            </w:pPr>
            <w:r>
              <w:rPr>
                <w:rFonts w:hint="default"/>
                <w:color w:val="auto"/>
                <w:spacing w:val="0"/>
                <w:w w:val="100"/>
                <w:position w:val="0"/>
                <w:highlight w:val="none"/>
              </w:rPr>
              <w:t>-a</w:t>
            </w:r>
          </w:p>
        </w:tc>
        <w:tc>
          <w:tcPr>
            <w:tcW w:w="3438" w:type="dxa"/>
            <w:vAlign w:val="top"/>
          </w:tcPr>
          <w:p w14:paraId="4460A7F7">
            <w:pPr>
              <w:pStyle w:val="19"/>
              <w:keepNext w:val="0"/>
              <w:keepLines w:val="0"/>
              <w:widowControl/>
              <w:suppressLineNumbers w:val="0"/>
              <w:spacing w:before="121" w:beforeAutospacing="0" w:after="0" w:afterAutospacing="0" w:line="205" w:lineRule="auto"/>
              <w:ind w:left="326" w:right="0"/>
              <w:rPr>
                <w:rFonts w:hint="default"/>
                <w:color w:val="auto"/>
                <w:spacing w:val="0"/>
                <w:w w:val="100"/>
                <w:position w:val="0"/>
                <w:highlight w:val="none"/>
              </w:rPr>
            </w:pPr>
            <w:r>
              <w:rPr>
                <w:rFonts w:hint="default"/>
                <w:color w:val="auto"/>
                <w:spacing w:val="0"/>
                <w:w w:val="100"/>
                <w:position w:val="0"/>
                <w:highlight w:val="none"/>
              </w:rPr>
              <w:t>河槽内桥梁</w:t>
            </w:r>
          </w:p>
        </w:tc>
        <w:tc>
          <w:tcPr>
            <w:tcW w:w="1132" w:type="dxa"/>
            <w:vAlign w:val="top"/>
          </w:tcPr>
          <w:p w14:paraId="5BBAFD3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1406F9E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74ECC71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570C2FD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30D8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5D692A66">
            <w:pPr>
              <w:pStyle w:val="19"/>
              <w:keepNext w:val="0"/>
              <w:keepLines w:val="0"/>
              <w:widowControl/>
              <w:suppressLineNumbers w:val="0"/>
              <w:spacing w:before="120" w:beforeAutospacing="0" w:after="0" w:afterAutospacing="0" w:line="205" w:lineRule="auto"/>
              <w:ind w:left="277" w:right="0"/>
              <w:rPr>
                <w:rFonts w:hint="default"/>
                <w:color w:val="auto"/>
                <w:spacing w:val="0"/>
                <w:w w:val="100"/>
                <w:position w:val="0"/>
                <w:highlight w:val="none"/>
              </w:rPr>
            </w:pPr>
            <w:r>
              <w:rPr>
                <w:rFonts w:hint="default"/>
                <w:color w:val="auto"/>
                <w:spacing w:val="0"/>
                <w:w w:val="100"/>
                <w:position w:val="0"/>
                <w:highlight w:val="none"/>
              </w:rPr>
              <w:t>-b</w:t>
            </w:r>
          </w:p>
        </w:tc>
        <w:tc>
          <w:tcPr>
            <w:tcW w:w="3438" w:type="dxa"/>
            <w:vAlign w:val="top"/>
          </w:tcPr>
          <w:p w14:paraId="2635E69B">
            <w:pPr>
              <w:pStyle w:val="19"/>
              <w:keepNext w:val="0"/>
              <w:keepLines w:val="0"/>
              <w:widowControl/>
              <w:suppressLineNumbers w:val="0"/>
              <w:spacing w:before="120" w:beforeAutospacing="0" w:after="0" w:afterAutospacing="0" w:line="205" w:lineRule="auto"/>
              <w:ind w:left="326" w:right="0"/>
              <w:rPr>
                <w:rFonts w:hint="default"/>
                <w:color w:val="auto"/>
                <w:spacing w:val="0"/>
                <w:w w:val="100"/>
                <w:position w:val="0"/>
                <w:highlight w:val="none"/>
              </w:rPr>
            </w:pPr>
            <w:r>
              <w:rPr>
                <w:rFonts w:hint="default"/>
                <w:color w:val="auto"/>
                <w:spacing w:val="0"/>
                <w:w w:val="100"/>
                <w:position w:val="0"/>
                <w:highlight w:val="none"/>
              </w:rPr>
              <w:t>河滩内桥梁</w:t>
            </w:r>
          </w:p>
        </w:tc>
        <w:tc>
          <w:tcPr>
            <w:tcW w:w="1132" w:type="dxa"/>
            <w:vAlign w:val="top"/>
          </w:tcPr>
          <w:p w14:paraId="3E0EC33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1418B16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57EAEDF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7332E17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9EBA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6817865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0B3531AD">
            <w:pPr>
              <w:pStyle w:val="19"/>
              <w:keepNext w:val="0"/>
              <w:keepLines w:val="0"/>
              <w:widowControl/>
              <w:suppressLineNumbers w:val="0"/>
              <w:spacing w:before="121" w:beforeAutospacing="0" w:after="0" w:afterAutospacing="0" w:line="205"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4B8CB83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768EEA8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4866BDF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017A5A3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57037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3DFD1475">
            <w:pPr>
              <w:pStyle w:val="19"/>
              <w:keepNext w:val="0"/>
              <w:keepLines w:val="0"/>
              <w:widowControl/>
              <w:suppressLineNumbers w:val="0"/>
              <w:spacing w:before="121" w:beforeAutospacing="0" w:after="0" w:afterAutospacing="0" w:line="204" w:lineRule="auto"/>
              <w:ind w:left="331" w:right="0"/>
              <w:rPr>
                <w:rFonts w:hint="eastAsia" w:eastAsia="宋体"/>
                <w:color w:val="auto"/>
                <w:spacing w:val="0"/>
                <w:w w:val="100"/>
                <w:position w:val="0"/>
                <w:highlight w:val="none"/>
                <w:lang w:eastAsia="zh-CN"/>
              </w:rPr>
            </w:pPr>
            <w:r>
              <w:rPr>
                <w:rFonts w:hint="eastAsia"/>
                <w:b/>
                <w:bCs/>
                <w:color w:val="auto"/>
                <w:spacing w:val="0"/>
                <w:w w:val="100"/>
                <w:position w:val="0"/>
                <w:highlight w:val="none"/>
                <w:lang w:val="en-US" w:eastAsia="zh-CN"/>
              </w:rPr>
              <w:t>3</w:t>
            </w:r>
          </w:p>
        </w:tc>
        <w:tc>
          <w:tcPr>
            <w:tcW w:w="3438" w:type="dxa"/>
            <w:vAlign w:val="top"/>
          </w:tcPr>
          <w:p w14:paraId="13C373D2">
            <w:pPr>
              <w:pStyle w:val="19"/>
              <w:keepNext w:val="0"/>
              <w:keepLines w:val="0"/>
              <w:widowControl/>
              <w:suppressLineNumbers w:val="0"/>
              <w:spacing w:before="121" w:beforeAutospacing="0" w:after="0" w:afterAutospacing="0" w:line="204" w:lineRule="auto"/>
              <w:ind w:left="327" w:right="0"/>
              <w:rPr>
                <w:rFonts w:hint="default"/>
                <w:color w:val="auto"/>
                <w:spacing w:val="0"/>
                <w:w w:val="100"/>
                <w:position w:val="0"/>
                <w:highlight w:val="none"/>
              </w:rPr>
            </w:pPr>
            <w:r>
              <w:rPr>
                <w:rFonts w:hint="default"/>
                <w:b/>
                <w:bCs/>
                <w:color w:val="auto"/>
                <w:spacing w:val="0"/>
                <w:w w:val="100"/>
                <w:position w:val="0"/>
                <w:highlight w:val="none"/>
              </w:rPr>
              <w:t>立体交叉</w:t>
            </w:r>
          </w:p>
        </w:tc>
        <w:tc>
          <w:tcPr>
            <w:tcW w:w="1132" w:type="dxa"/>
            <w:vAlign w:val="top"/>
          </w:tcPr>
          <w:p w14:paraId="072ECC1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78035EF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14638AA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2C7BB06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9AA51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758" w:type="dxa"/>
            <w:vAlign w:val="top"/>
          </w:tcPr>
          <w:p w14:paraId="7A80105C">
            <w:pPr>
              <w:pStyle w:val="19"/>
              <w:keepNext w:val="0"/>
              <w:keepLines w:val="0"/>
              <w:widowControl/>
              <w:suppressLineNumbers w:val="0"/>
              <w:spacing w:before="124" w:beforeAutospacing="0" w:after="0" w:afterAutospacing="0" w:line="204" w:lineRule="auto"/>
              <w:ind w:left="277" w:right="0"/>
              <w:rPr>
                <w:rFonts w:hint="default"/>
                <w:color w:val="auto"/>
                <w:spacing w:val="0"/>
                <w:w w:val="100"/>
                <w:position w:val="0"/>
                <w:highlight w:val="none"/>
              </w:rPr>
            </w:pPr>
            <w:r>
              <w:rPr>
                <w:rFonts w:hint="default"/>
                <w:color w:val="auto"/>
                <w:spacing w:val="0"/>
                <w:w w:val="100"/>
                <w:position w:val="0"/>
                <w:highlight w:val="none"/>
              </w:rPr>
              <w:t>-1</w:t>
            </w:r>
          </w:p>
        </w:tc>
        <w:tc>
          <w:tcPr>
            <w:tcW w:w="3438" w:type="dxa"/>
            <w:vAlign w:val="top"/>
          </w:tcPr>
          <w:p w14:paraId="356EB847">
            <w:pPr>
              <w:pStyle w:val="19"/>
              <w:keepNext w:val="0"/>
              <w:keepLines w:val="0"/>
              <w:widowControl/>
              <w:suppressLineNumbers w:val="0"/>
              <w:spacing w:before="124" w:beforeAutospacing="0" w:after="0" w:afterAutospacing="0" w:line="204" w:lineRule="auto"/>
              <w:ind w:left="395" w:right="0"/>
              <w:rPr>
                <w:rFonts w:hint="default"/>
                <w:color w:val="auto"/>
                <w:spacing w:val="0"/>
                <w:w w:val="100"/>
                <w:position w:val="0"/>
                <w:highlight w:val="none"/>
              </w:rPr>
            </w:pPr>
            <w:r>
              <w:rPr>
                <w:rFonts w:hint="default"/>
                <w:color w:val="auto"/>
                <w:spacing w:val="0"/>
                <w:w w:val="100"/>
                <w:position w:val="0"/>
                <w:highlight w:val="none"/>
              </w:rPr>
              <w:t>Ⅰ级</w:t>
            </w:r>
          </w:p>
        </w:tc>
        <w:tc>
          <w:tcPr>
            <w:tcW w:w="1132" w:type="dxa"/>
            <w:vAlign w:val="top"/>
          </w:tcPr>
          <w:p w14:paraId="43C239F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1BC6059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6735836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61EB19B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762D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5B5834EE">
            <w:pPr>
              <w:pStyle w:val="19"/>
              <w:keepNext w:val="0"/>
              <w:keepLines w:val="0"/>
              <w:widowControl/>
              <w:suppressLineNumbers w:val="0"/>
              <w:spacing w:before="122" w:beforeAutospacing="0" w:after="0" w:afterAutospacing="0" w:line="204" w:lineRule="auto"/>
              <w:ind w:left="277" w:right="0"/>
              <w:rPr>
                <w:rFonts w:hint="default"/>
                <w:color w:val="auto"/>
                <w:spacing w:val="0"/>
                <w:w w:val="100"/>
                <w:position w:val="0"/>
                <w:highlight w:val="none"/>
              </w:rPr>
            </w:pPr>
            <w:r>
              <w:rPr>
                <w:rFonts w:hint="default"/>
                <w:color w:val="auto"/>
                <w:spacing w:val="0"/>
                <w:w w:val="100"/>
                <w:position w:val="0"/>
                <w:highlight w:val="none"/>
              </w:rPr>
              <w:t>-2</w:t>
            </w:r>
          </w:p>
        </w:tc>
        <w:tc>
          <w:tcPr>
            <w:tcW w:w="3438" w:type="dxa"/>
            <w:vAlign w:val="top"/>
          </w:tcPr>
          <w:p w14:paraId="0E39AAD7">
            <w:pPr>
              <w:pStyle w:val="19"/>
              <w:keepNext w:val="0"/>
              <w:keepLines w:val="0"/>
              <w:widowControl/>
              <w:suppressLineNumbers w:val="0"/>
              <w:spacing w:before="122" w:beforeAutospacing="0" w:after="0" w:afterAutospacing="0" w:line="204" w:lineRule="auto"/>
              <w:ind w:left="363" w:right="0"/>
              <w:rPr>
                <w:rFonts w:hint="default"/>
                <w:color w:val="auto"/>
                <w:spacing w:val="0"/>
                <w:w w:val="100"/>
                <w:position w:val="0"/>
                <w:highlight w:val="none"/>
              </w:rPr>
            </w:pPr>
            <w:r>
              <w:rPr>
                <w:rFonts w:hint="default"/>
                <w:color w:val="auto"/>
                <w:spacing w:val="0"/>
                <w:w w:val="100"/>
                <w:position w:val="0"/>
                <w:highlight w:val="none"/>
              </w:rPr>
              <w:t>Ⅱ级</w:t>
            </w:r>
          </w:p>
        </w:tc>
        <w:tc>
          <w:tcPr>
            <w:tcW w:w="1132" w:type="dxa"/>
            <w:vAlign w:val="top"/>
          </w:tcPr>
          <w:p w14:paraId="648D643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52122AE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0C9F977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78E22D0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7ABA6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1F5B3F01">
            <w:pPr>
              <w:pStyle w:val="19"/>
              <w:keepNext w:val="0"/>
              <w:keepLines w:val="0"/>
              <w:widowControl/>
              <w:suppressLineNumbers w:val="0"/>
              <w:spacing w:before="122" w:beforeAutospacing="0" w:after="0" w:afterAutospacing="0" w:line="204" w:lineRule="auto"/>
              <w:ind w:left="277" w:right="0"/>
              <w:rPr>
                <w:rFonts w:hint="default"/>
                <w:color w:val="auto"/>
                <w:spacing w:val="0"/>
                <w:w w:val="100"/>
                <w:position w:val="0"/>
                <w:highlight w:val="none"/>
              </w:rPr>
            </w:pPr>
            <w:r>
              <w:rPr>
                <w:rFonts w:hint="default"/>
                <w:color w:val="auto"/>
                <w:spacing w:val="0"/>
                <w:w w:val="100"/>
                <w:position w:val="0"/>
                <w:highlight w:val="none"/>
              </w:rPr>
              <w:t>-3</w:t>
            </w:r>
          </w:p>
        </w:tc>
        <w:tc>
          <w:tcPr>
            <w:tcW w:w="3438" w:type="dxa"/>
            <w:vAlign w:val="top"/>
          </w:tcPr>
          <w:p w14:paraId="02AA9C80">
            <w:pPr>
              <w:pStyle w:val="19"/>
              <w:keepNext w:val="0"/>
              <w:keepLines w:val="0"/>
              <w:widowControl/>
              <w:suppressLineNumbers w:val="0"/>
              <w:spacing w:before="122" w:beforeAutospacing="0" w:after="0" w:afterAutospacing="0" w:line="204" w:lineRule="auto"/>
              <w:ind w:left="326" w:right="0"/>
              <w:rPr>
                <w:rFonts w:hint="default"/>
                <w:color w:val="auto"/>
                <w:spacing w:val="0"/>
                <w:w w:val="100"/>
                <w:position w:val="0"/>
                <w:highlight w:val="none"/>
              </w:rPr>
            </w:pPr>
            <w:r>
              <w:rPr>
                <w:rFonts w:hint="default"/>
                <w:color w:val="auto"/>
                <w:spacing w:val="0"/>
                <w:w w:val="100"/>
                <w:position w:val="0"/>
                <w:highlight w:val="none"/>
              </w:rPr>
              <w:t>Ⅲ级</w:t>
            </w:r>
          </w:p>
        </w:tc>
        <w:tc>
          <w:tcPr>
            <w:tcW w:w="1132" w:type="dxa"/>
            <w:vAlign w:val="top"/>
          </w:tcPr>
          <w:p w14:paraId="02C3F94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21EF302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5120160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06C2895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3CFF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38F7199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58080184">
            <w:pPr>
              <w:pStyle w:val="19"/>
              <w:keepNext w:val="0"/>
              <w:keepLines w:val="0"/>
              <w:widowControl/>
              <w:suppressLineNumbers w:val="0"/>
              <w:spacing w:before="123" w:beforeAutospacing="0" w:after="0" w:afterAutospacing="0" w:line="203"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55622E0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4F30E49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13EBAE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09E0488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952B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797020F4">
            <w:pPr>
              <w:pStyle w:val="19"/>
              <w:keepNext w:val="0"/>
              <w:keepLines w:val="0"/>
              <w:widowControl/>
              <w:suppressLineNumbers w:val="0"/>
              <w:spacing w:before="123" w:beforeAutospacing="0" w:after="0" w:afterAutospacing="0" w:line="203" w:lineRule="auto"/>
              <w:ind w:left="336" w:right="0"/>
              <w:rPr>
                <w:rFonts w:hint="eastAsia" w:eastAsia="宋体"/>
                <w:color w:val="auto"/>
                <w:spacing w:val="0"/>
                <w:w w:val="100"/>
                <w:position w:val="0"/>
                <w:highlight w:val="none"/>
                <w:lang w:eastAsia="zh-CN"/>
              </w:rPr>
            </w:pPr>
            <w:r>
              <w:rPr>
                <w:rFonts w:hint="eastAsia"/>
                <w:b/>
                <w:bCs/>
                <w:color w:val="auto"/>
                <w:spacing w:val="0"/>
                <w:w w:val="100"/>
                <w:position w:val="0"/>
                <w:highlight w:val="none"/>
                <w:lang w:val="en-US" w:eastAsia="zh-CN"/>
              </w:rPr>
              <w:t>4</w:t>
            </w:r>
          </w:p>
        </w:tc>
        <w:tc>
          <w:tcPr>
            <w:tcW w:w="3438" w:type="dxa"/>
            <w:vAlign w:val="top"/>
          </w:tcPr>
          <w:p w14:paraId="131D4036">
            <w:pPr>
              <w:pStyle w:val="19"/>
              <w:keepNext w:val="0"/>
              <w:keepLines w:val="0"/>
              <w:widowControl/>
              <w:suppressLineNumbers w:val="0"/>
              <w:spacing w:before="123" w:beforeAutospacing="0" w:after="0" w:afterAutospacing="0" w:line="203" w:lineRule="auto"/>
              <w:ind w:left="331" w:right="0"/>
              <w:rPr>
                <w:rFonts w:hint="default"/>
                <w:color w:val="auto"/>
                <w:spacing w:val="0"/>
                <w:w w:val="100"/>
                <w:position w:val="0"/>
                <w:highlight w:val="none"/>
              </w:rPr>
            </w:pPr>
            <w:r>
              <w:rPr>
                <w:rFonts w:hint="default"/>
                <w:b/>
                <w:bCs/>
                <w:color w:val="auto"/>
                <w:spacing w:val="0"/>
                <w:w w:val="100"/>
                <w:position w:val="0"/>
                <w:highlight w:val="none"/>
              </w:rPr>
              <w:t>交通工程及沿线设施</w:t>
            </w:r>
          </w:p>
        </w:tc>
        <w:tc>
          <w:tcPr>
            <w:tcW w:w="1132" w:type="dxa"/>
            <w:vAlign w:val="top"/>
          </w:tcPr>
          <w:p w14:paraId="0D02B07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2809E30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7A185CD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40685A6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E02B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660C09F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72A98F96">
            <w:pPr>
              <w:pStyle w:val="19"/>
              <w:keepNext w:val="0"/>
              <w:keepLines w:val="0"/>
              <w:widowControl/>
              <w:suppressLineNumbers w:val="0"/>
              <w:spacing w:before="124" w:beforeAutospacing="0" w:after="0" w:afterAutospacing="0" w:line="202"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4795D78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3B14841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75FBA78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412517D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9017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758" w:type="dxa"/>
            <w:vAlign w:val="top"/>
          </w:tcPr>
          <w:p w14:paraId="633A950D">
            <w:pPr>
              <w:pStyle w:val="19"/>
              <w:keepNext w:val="0"/>
              <w:keepLines w:val="0"/>
              <w:widowControl/>
              <w:suppressLineNumbers w:val="0"/>
              <w:spacing w:before="127" w:beforeAutospacing="0" w:after="0" w:afterAutospacing="0" w:line="202" w:lineRule="auto"/>
              <w:ind w:left="333" w:right="0"/>
              <w:rPr>
                <w:rFonts w:hint="eastAsia" w:eastAsia="宋体"/>
                <w:color w:val="auto"/>
                <w:spacing w:val="0"/>
                <w:w w:val="100"/>
                <w:position w:val="0"/>
                <w:highlight w:val="none"/>
                <w:lang w:eastAsia="zh-CN"/>
              </w:rPr>
            </w:pPr>
            <w:r>
              <w:rPr>
                <w:rFonts w:hint="eastAsia"/>
                <w:b/>
                <w:bCs/>
                <w:color w:val="auto"/>
                <w:spacing w:val="0"/>
                <w:w w:val="100"/>
                <w:position w:val="0"/>
                <w:highlight w:val="none"/>
                <w:lang w:val="en-US" w:eastAsia="zh-CN"/>
              </w:rPr>
              <w:t>5</w:t>
            </w:r>
          </w:p>
        </w:tc>
        <w:tc>
          <w:tcPr>
            <w:tcW w:w="3438" w:type="dxa"/>
            <w:vAlign w:val="top"/>
          </w:tcPr>
          <w:p w14:paraId="20457FCB">
            <w:pPr>
              <w:pStyle w:val="19"/>
              <w:keepNext w:val="0"/>
              <w:keepLines w:val="0"/>
              <w:widowControl/>
              <w:suppressLineNumbers w:val="0"/>
              <w:spacing w:before="127" w:beforeAutospacing="0" w:after="0" w:afterAutospacing="0" w:line="202" w:lineRule="auto"/>
              <w:ind w:left="327" w:right="0"/>
              <w:rPr>
                <w:rFonts w:hint="default"/>
                <w:color w:val="auto"/>
                <w:spacing w:val="0"/>
                <w:w w:val="100"/>
                <w:position w:val="0"/>
                <w:highlight w:val="none"/>
              </w:rPr>
            </w:pPr>
            <w:r>
              <w:rPr>
                <w:rFonts w:hint="default"/>
                <w:b/>
                <w:bCs/>
                <w:color w:val="auto"/>
                <w:spacing w:val="0"/>
                <w:w w:val="100"/>
                <w:position w:val="0"/>
                <w:highlight w:val="none"/>
              </w:rPr>
              <w:t>环保、水保及绿化景观设计</w:t>
            </w:r>
          </w:p>
        </w:tc>
        <w:tc>
          <w:tcPr>
            <w:tcW w:w="1132" w:type="dxa"/>
            <w:vAlign w:val="top"/>
          </w:tcPr>
          <w:p w14:paraId="75FCE1D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08CE35B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482EC4D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5A90DA5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C4F2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0D7AF07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5A14FC36">
            <w:pPr>
              <w:pStyle w:val="19"/>
              <w:keepNext w:val="0"/>
              <w:keepLines w:val="0"/>
              <w:widowControl/>
              <w:suppressLineNumbers w:val="0"/>
              <w:spacing w:before="124" w:beforeAutospacing="0" w:after="0" w:afterAutospacing="0" w:line="203"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5003DD6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5AFCB28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5443341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25F62CE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6E5A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63FED0EF">
            <w:pPr>
              <w:pStyle w:val="19"/>
              <w:keepNext w:val="0"/>
              <w:keepLines w:val="0"/>
              <w:widowControl/>
              <w:suppressLineNumbers w:val="0"/>
              <w:spacing w:before="124" w:beforeAutospacing="0" w:after="0" w:afterAutospacing="0" w:line="202" w:lineRule="auto"/>
              <w:ind w:left="337" w:right="0"/>
              <w:rPr>
                <w:rFonts w:hint="eastAsia" w:eastAsia="宋体"/>
                <w:color w:val="auto"/>
                <w:spacing w:val="0"/>
                <w:w w:val="100"/>
                <w:position w:val="0"/>
                <w:highlight w:val="none"/>
                <w:lang w:eastAsia="zh-CN"/>
              </w:rPr>
            </w:pPr>
            <w:r>
              <w:rPr>
                <w:rFonts w:hint="eastAsia"/>
                <w:b/>
                <w:bCs/>
                <w:color w:val="auto"/>
                <w:spacing w:val="0"/>
                <w:w w:val="100"/>
                <w:position w:val="0"/>
                <w:highlight w:val="none"/>
                <w:lang w:val="en-US" w:eastAsia="zh-CN"/>
              </w:rPr>
              <w:t>6</w:t>
            </w:r>
          </w:p>
        </w:tc>
        <w:tc>
          <w:tcPr>
            <w:tcW w:w="3438" w:type="dxa"/>
            <w:vAlign w:val="top"/>
          </w:tcPr>
          <w:p w14:paraId="6BE25FD7">
            <w:pPr>
              <w:pStyle w:val="19"/>
              <w:keepNext w:val="0"/>
              <w:keepLines w:val="0"/>
              <w:widowControl/>
              <w:suppressLineNumbers w:val="0"/>
              <w:spacing w:before="124" w:beforeAutospacing="0" w:after="0" w:afterAutospacing="0" w:line="202" w:lineRule="auto"/>
              <w:ind w:left="328" w:right="0"/>
              <w:rPr>
                <w:rFonts w:hint="default"/>
                <w:color w:val="auto"/>
                <w:spacing w:val="0"/>
                <w:w w:val="100"/>
                <w:position w:val="0"/>
                <w:highlight w:val="none"/>
              </w:rPr>
            </w:pPr>
            <w:r>
              <w:rPr>
                <w:rFonts w:hint="default"/>
                <w:b/>
                <w:bCs/>
                <w:color w:val="auto"/>
                <w:spacing w:val="0"/>
                <w:w w:val="100"/>
                <w:position w:val="0"/>
                <w:highlight w:val="none"/>
              </w:rPr>
              <w:t>专题研究</w:t>
            </w:r>
          </w:p>
        </w:tc>
        <w:tc>
          <w:tcPr>
            <w:tcW w:w="1132" w:type="dxa"/>
            <w:vAlign w:val="top"/>
          </w:tcPr>
          <w:p w14:paraId="5FB2007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1AE5C83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64503A6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7F48AEF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1851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681DE28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4AA9A9CD">
            <w:pPr>
              <w:pStyle w:val="19"/>
              <w:keepNext w:val="0"/>
              <w:keepLines w:val="0"/>
              <w:widowControl/>
              <w:suppressLineNumbers w:val="0"/>
              <w:spacing w:before="125" w:beforeAutospacing="0" w:after="0" w:afterAutospacing="0" w:line="202"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6C67A61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1DBE366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627E81D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1EB114A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B7C3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7720" w:type="dxa"/>
            <w:gridSpan w:val="5"/>
            <w:vAlign w:val="top"/>
          </w:tcPr>
          <w:p w14:paraId="4F5DF27A">
            <w:pPr>
              <w:pStyle w:val="19"/>
              <w:keepNext w:val="0"/>
              <w:keepLines w:val="0"/>
              <w:widowControl/>
              <w:suppressLineNumbers w:val="0"/>
              <w:spacing w:before="123" w:beforeAutospacing="0" w:after="0" w:afterAutospacing="0" w:line="207" w:lineRule="auto"/>
              <w:ind w:left="332" w:right="0"/>
              <w:rPr>
                <w:rFonts w:hint="default"/>
                <w:color w:val="auto"/>
                <w:spacing w:val="0"/>
                <w:w w:val="100"/>
                <w:position w:val="0"/>
                <w:highlight w:val="none"/>
              </w:rPr>
            </w:pPr>
            <w:r>
              <w:rPr>
                <w:rFonts w:hint="default"/>
                <w:b/>
                <w:bCs/>
                <w:color w:val="auto"/>
                <w:spacing w:val="0"/>
                <w:w w:val="100"/>
                <w:position w:val="0"/>
                <w:highlight w:val="none"/>
              </w:rPr>
              <w:t>合计：</w:t>
            </w:r>
          </w:p>
        </w:tc>
        <w:tc>
          <w:tcPr>
            <w:tcW w:w="1130" w:type="dxa"/>
            <w:vAlign w:val="top"/>
          </w:tcPr>
          <w:p w14:paraId="60665B7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19065C28">
      <w:pPr>
        <w:keepNext w:val="0"/>
        <w:keepLines w:val="0"/>
        <w:pageBreakBefore w:val="0"/>
        <w:widowControl/>
        <w:kinsoku w:val="0"/>
        <w:wordWrap/>
        <w:overflowPunct/>
        <w:topLinePunct w:val="0"/>
        <w:autoSpaceDE w:val="0"/>
        <w:autoSpaceDN w:val="0"/>
        <w:bidi w:val="0"/>
        <w:adjustRightInd w:val="0"/>
        <w:snapToGrid w:val="0"/>
        <w:spacing w:line="320" w:lineRule="exact"/>
        <w:ind w:left="420" w:right="0" w:hanging="420" w:hanging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注：1.本清单格式仅为示例，投标人应根据本招标项目工程特点和设计工作内容，分别列出并填写</w:t>
      </w:r>
    </w:p>
    <w:p w14:paraId="487C7AC2">
      <w:pPr>
        <w:keepNext w:val="0"/>
        <w:keepLines w:val="0"/>
        <w:pageBreakBefore w:val="0"/>
        <w:widowControl/>
        <w:kinsoku w:val="0"/>
        <w:wordWrap/>
        <w:overflowPunct/>
        <w:topLinePunct w:val="0"/>
        <w:autoSpaceDE w:val="0"/>
        <w:autoSpaceDN w:val="0"/>
        <w:bidi w:val="0"/>
        <w:adjustRightInd w:val="0"/>
        <w:snapToGrid w:val="0"/>
        <w:spacing w:line="320" w:lineRule="exact"/>
        <w:ind w:right="0"/>
        <w:textAlignment w:val="baseline"/>
        <w:rPr>
          <w:rFonts w:hint="default" w:ascii="宋体" w:hAnsi="宋体" w:eastAsia="宋体" w:cs="宋体"/>
          <w:b/>
          <w:bCs/>
          <w:color w:val="auto"/>
          <w:sz w:val="24"/>
          <w:szCs w:val="24"/>
          <w:highlight w:val="none"/>
          <w:lang w:val="en-US" w:eastAsia="zh-CN"/>
        </w:rPr>
      </w:pPr>
      <w:r>
        <w:rPr>
          <w:rFonts w:ascii="宋体" w:hAnsi="宋体" w:eastAsia="宋体" w:cs="宋体"/>
          <w:color w:val="auto"/>
          <w:spacing w:val="0"/>
          <w:w w:val="100"/>
          <w:position w:val="0"/>
          <w:sz w:val="21"/>
          <w:szCs w:val="21"/>
          <w:highlight w:val="none"/>
        </w:rPr>
        <w:t>本表各设计项目的分项及子项。</w:t>
      </w:r>
    </w:p>
    <w:p w14:paraId="3EFB2364">
      <w:pPr>
        <w:keepNext w:val="0"/>
        <w:keepLines w:val="0"/>
        <w:pageBreakBefore w:val="0"/>
        <w:widowControl/>
        <w:kinsoku w:val="0"/>
        <w:wordWrap/>
        <w:overflowPunct/>
        <w:topLinePunct w:val="0"/>
        <w:autoSpaceDE w:val="0"/>
        <w:autoSpaceDN w:val="0"/>
        <w:bidi w:val="0"/>
        <w:adjustRightInd w:val="0"/>
        <w:snapToGrid w:val="0"/>
        <w:spacing w:line="320" w:lineRule="exact"/>
        <w:ind w:left="420" w:leftChars="200" w:right="0" w:firstLine="0" w:firstLineChars="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2.本清单表中“其他”是指工程设计实际需要或提供相关服务收取的费用。</w:t>
      </w:r>
    </w:p>
    <w:p w14:paraId="2E5FB2EC">
      <w:pPr>
        <w:keepNext w:val="0"/>
        <w:keepLines w:val="0"/>
        <w:pageBreakBefore w:val="0"/>
        <w:widowControl/>
        <w:kinsoku w:val="0"/>
        <w:wordWrap/>
        <w:overflowPunct/>
        <w:topLinePunct w:val="0"/>
        <w:autoSpaceDE w:val="0"/>
        <w:autoSpaceDN w:val="0"/>
        <w:bidi w:val="0"/>
        <w:adjustRightInd w:val="0"/>
        <w:snapToGrid w:val="0"/>
        <w:spacing w:line="320" w:lineRule="exact"/>
        <w:ind w:left="420" w:leftChars="200" w:right="0" w:firstLine="0" w:firstLineChars="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3.投标人应将详细的计算说明（包括每一分项、子项的计算依据及计算过程等）附在报价清单</w:t>
      </w:r>
    </w:p>
    <w:p w14:paraId="2EB29FA4">
      <w:pPr>
        <w:keepNext w:val="0"/>
        <w:keepLines w:val="0"/>
        <w:pageBreakBefore w:val="0"/>
        <w:widowControl/>
        <w:kinsoku w:val="0"/>
        <w:wordWrap/>
        <w:overflowPunct/>
        <w:topLinePunct w:val="0"/>
        <w:autoSpaceDE w:val="0"/>
        <w:autoSpaceDN w:val="0"/>
        <w:bidi w:val="0"/>
        <w:adjustRightInd w:val="0"/>
        <w:snapToGrid w:val="0"/>
        <w:spacing w:line="320" w:lineRule="exact"/>
        <w:ind w:right="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后面。</w:t>
      </w:r>
    </w:p>
    <w:p w14:paraId="2BDAEC11">
      <w:pPr>
        <w:pStyle w:val="6"/>
        <w:spacing w:before="102" w:line="219" w:lineRule="auto"/>
        <w:jc w:val="center"/>
        <w:outlineLvl w:val="1"/>
        <w:rPr>
          <w:color w:val="auto"/>
          <w:spacing w:val="0"/>
          <w:w w:val="100"/>
          <w:position w:val="0"/>
          <w:sz w:val="28"/>
          <w:szCs w:val="28"/>
          <w:highlight w:val="none"/>
        </w:rPr>
      </w:pPr>
      <w:bookmarkStart w:id="53" w:name="bookmark46"/>
      <w:bookmarkEnd w:id="53"/>
    </w:p>
    <w:p w14:paraId="4BA7F80E">
      <w:pPr>
        <w:pStyle w:val="6"/>
        <w:spacing w:before="102" w:line="219" w:lineRule="auto"/>
        <w:jc w:val="center"/>
        <w:outlineLvl w:val="1"/>
        <w:rPr>
          <w:color w:val="auto"/>
          <w:spacing w:val="0"/>
          <w:w w:val="100"/>
          <w:position w:val="0"/>
          <w:sz w:val="28"/>
          <w:szCs w:val="28"/>
          <w:highlight w:val="none"/>
        </w:rPr>
      </w:pPr>
    </w:p>
    <w:p w14:paraId="4B2C546F">
      <w:pPr>
        <w:pStyle w:val="6"/>
        <w:spacing w:before="102" w:line="219" w:lineRule="auto"/>
        <w:jc w:val="center"/>
        <w:outlineLvl w:val="1"/>
        <w:rPr>
          <w:color w:val="auto"/>
          <w:spacing w:val="0"/>
          <w:w w:val="100"/>
          <w:position w:val="0"/>
          <w:sz w:val="28"/>
          <w:szCs w:val="28"/>
          <w:highlight w:val="none"/>
        </w:rPr>
      </w:pPr>
    </w:p>
    <w:p w14:paraId="4F12551B">
      <w:pPr>
        <w:pStyle w:val="6"/>
        <w:spacing w:before="102" w:line="219" w:lineRule="auto"/>
        <w:jc w:val="center"/>
        <w:outlineLvl w:val="1"/>
        <w:rPr>
          <w:color w:val="auto"/>
          <w:spacing w:val="0"/>
          <w:w w:val="100"/>
          <w:position w:val="0"/>
          <w:sz w:val="28"/>
          <w:szCs w:val="28"/>
          <w:highlight w:val="none"/>
        </w:rPr>
      </w:pPr>
    </w:p>
    <w:p w14:paraId="667C4D16">
      <w:pPr>
        <w:pStyle w:val="6"/>
        <w:spacing w:before="91" w:line="219" w:lineRule="auto"/>
        <w:jc w:val="center"/>
        <w:outlineLvl w:val="3"/>
        <w:rPr>
          <w:color w:val="auto"/>
          <w:spacing w:val="0"/>
          <w:w w:val="100"/>
          <w:position w:val="0"/>
          <w:sz w:val="28"/>
          <w:szCs w:val="28"/>
          <w:highlight w:val="none"/>
        </w:rPr>
      </w:pPr>
      <w:bookmarkStart w:id="54" w:name="bookmark47"/>
      <w:bookmarkEnd w:id="54"/>
      <w:r>
        <w:rPr>
          <w:color w:val="auto"/>
          <w:spacing w:val="0"/>
          <w:w w:val="100"/>
          <w:position w:val="0"/>
          <w:sz w:val="28"/>
          <w:szCs w:val="28"/>
          <w:highlight w:val="none"/>
        </w:rPr>
        <w:t>（</w:t>
      </w:r>
      <w:r>
        <w:rPr>
          <w:rFonts w:hint="eastAsia"/>
          <w:color w:val="auto"/>
          <w:spacing w:val="0"/>
          <w:w w:val="100"/>
          <w:position w:val="0"/>
          <w:sz w:val="28"/>
          <w:szCs w:val="28"/>
          <w:highlight w:val="none"/>
          <w:lang w:val="en-US" w:eastAsia="zh-CN"/>
        </w:rPr>
        <w:t>四</w:t>
      </w:r>
      <w:r>
        <w:rPr>
          <w:color w:val="auto"/>
          <w:spacing w:val="0"/>
          <w:w w:val="100"/>
          <w:position w:val="0"/>
          <w:sz w:val="28"/>
          <w:szCs w:val="28"/>
          <w:highlight w:val="none"/>
        </w:rPr>
        <w:t>）公路工程</w:t>
      </w:r>
      <w:r>
        <w:rPr>
          <w:rFonts w:hint="eastAsia"/>
          <w:color w:val="auto"/>
          <w:spacing w:val="0"/>
          <w:w w:val="100"/>
          <w:position w:val="0"/>
          <w:sz w:val="28"/>
          <w:szCs w:val="28"/>
          <w:highlight w:val="none"/>
          <w:lang w:val="en-US" w:eastAsia="zh-CN"/>
        </w:rPr>
        <w:t>施工图设计分项报价</w:t>
      </w:r>
      <w:r>
        <w:rPr>
          <w:color w:val="auto"/>
          <w:spacing w:val="0"/>
          <w:w w:val="100"/>
          <w:position w:val="0"/>
          <w:sz w:val="28"/>
          <w:szCs w:val="28"/>
          <w:highlight w:val="none"/>
        </w:rPr>
        <w:t>清单</w:t>
      </w:r>
    </w:p>
    <w:p w14:paraId="6CDD72FE">
      <w:pPr>
        <w:spacing w:before="248" w:line="212" w:lineRule="auto"/>
        <w:ind w:left="121"/>
        <w:rPr>
          <w:rFonts w:hint="eastAsia" w:ascii="宋体" w:hAnsi="宋体" w:eastAsia="宋体" w:cs="宋体"/>
          <w:color w:val="auto"/>
          <w:spacing w:val="0"/>
          <w:w w:val="100"/>
          <w:position w:val="0"/>
          <w:sz w:val="21"/>
          <w:szCs w:val="21"/>
          <w:highlight w:val="none"/>
          <w:lang w:eastAsia="zh-CN"/>
        </w:rPr>
      </w:pPr>
      <w:r>
        <w:rPr>
          <w:rFonts w:ascii="宋体" w:hAnsi="宋体" w:eastAsia="宋体" w:cs="宋体"/>
          <w:color w:val="auto"/>
          <w:spacing w:val="0"/>
          <w:w w:val="100"/>
          <w:position w:val="0"/>
          <w:sz w:val="21"/>
          <w:szCs w:val="21"/>
          <w:highlight w:val="none"/>
        </w:rPr>
        <w:t>第</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 xml:space="preserve"> 标段                                                     单位：</w:t>
      </w:r>
      <w:r>
        <w:rPr>
          <w:rFonts w:hint="eastAsia" w:ascii="宋体" w:hAnsi="宋体" w:eastAsia="宋体" w:cs="宋体"/>
          <w:color w:val="auto"/>
          <w:spacing w:val="0"/>
          <w:w w:val="100"/>
          <w:position w:val="0"/>
          <w:sz w:val="21"/>
          <w:szCs w:val="21"/>
          <w:highlight w:val="none"/>
          <w:lang w:val="en-US" w:eastAsia="zh-CN"/>
        </w:rPr>
        <w:t xml:space="preserve">  </w:t>
      </w:r>
      <w:r>
        <w:rPr>
          <w:rFonts w:ascii="宋体" w:hAnsi="宋体" w:eastAsia="宋体" w:cs="宋体"/>
          <w:color w:val="auto"/>
          <w:spacing w:val="0"/>
          <w:w w:val="100"/>
          <w:position w:val="0"/>
          <w:sz w:val="21"/>
          <w:szCs w:val="21"/>
          <w:highlight w:val="none"/>
        </w:rPr>
        <w:t>元</w:t>
      </w:r>
      <w:r>
        <w:rPr>
          <w:rFonts w:hint="eastAsia" w:ascii="宋体" w:hAnsi="宋体" w:eastAsia="宋体"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lang w:val="en-US" w:eastAsia="zh-CN"/>
        </w:rPr>
        <w:t>人民币</w:t>
      </w:r>
      <w:r>
        <w:rPr>
          <w:rFonts w:hint="eastAsia" w:ascii="宋体" w:hAnsi="宋体" w:eastAsia="宋体" w:cs="宋体"/>
          <w:color w:val="auto"/>
          <w:spacing w:val="0"/>
          <w:w w:val="100"/>
          <w:position w:val="0"/>
          <w:sz w:val="21"/>
          <w:szCs w:val="21"/>
          <w:highlight w:val="none"/>
          <w:lang w:eastAsia="zh-CN"/>
        </w:rPr>
        <w:t>）</w:t>
      </w:r>
    </w:p>
    <w:tbl>
      <w:tblPr>
        <w:tblStyle w:val="18"/>
        <w:tblW w:w="88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
        <w:gridCol w:w="3438"/>
        <w:gridCol w:w="1132"/>
        <w:gridCol w:w="1286"/>
        <w:gridCol w:w="1106"/>
        <w:gridCol w:w="1130"/>
      </w:tblGrid>
      <w:tr w14:paraId="25F25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blHeader/>
          <w:jc w:val="center"/>
        </w:trPr>
        <w:tc>
          <w:tcPr>
            <w:tcW w:w="758" w:type="dxa"/>
            <w:vAlign w:val="top"/>
          </w:tcPr>
          <w:p w14:paraId="1D44125D">
            <w:pPr>
              <w:pStyle w:val="19"/>
              <w:keepNext w:val="0"/>
              <w:keepLines w:val="0"/>
              <w:widowControl/>
              <w:suppressLineNumbers w:val="0"/>
              <w:spacing w:before="113" w:beforeAutospacing="0" w:after="0" w:afterAutospacing="0" w:line="222" w:lineRule="auto"/>
              <w:ind w:left="172" w:right="0"/>
              <w:rPr>
                <w:rFonts w:hint="default"/>
                <w:color w:val="auto"/>
                <w:spacing w:val="0"/>
                <w:w w:val="100"/>
                <w:position w:val="0"/>
                <w:highlight w:val="none"/>
              </w:rPr>
            </w:pPr>
            <w:r>
              <w:rPr>
                <w:rFonts w:hint="default"/>
                <w:color w:val="auto"/>
                <w:spacing w:val="0"/>
                <w:w w:val="100"/>
                <w:position w:val="0"/>
                <w:highlight w:val="none"/>
              </w:rPr>
              <w:t>序号</w:t>
            </w:r>
          </w:p>
        </w:tc>
        <w:tc>
          <w:tcPr>
            <w:tcW w:w="3438" w:type="dxa"/>
            <w:vAlign w:val="top"/>
          </w:tcPr>
          <w:p w14:paraId="77645FE6">
            <w:pPr>
              <w:pStyle w:val="19"/>
              <w:keepNext w:val="0"/>
              <w:keepLines w:val="0"/>
              <w:widowControl/>
              <w:suppressLineNumbers w:val="0"/>
              <w:spacing w:before="82" w:beforeAutospacing="0" w:after="0" w:afterAutospacing="0" w:line="221" w:lineRule="auto"/>
              <w:ind w:left="1199" w:right="0"/>
              <w:rPr>
                <w:rFonts w:hint="default"/>
                <w:color w:val="auto"/>
                <w:spacing w:val="0"/>
                <w:w w:val="100"/>
                <w:position w:val="0"/>
                <w:highlight w:val="none"/>
              </w:rPr>
            </w:pPr>
            <w:r>
              <w:rPr>
                <w:rFonts w:hint="default"/>
                <w:color w:val="auto"/>
                <w:spacing w:val="0"/>
                <w:w w:val="100"/>
                <w:position w:val="0"/>
                <w:highlight w:val="none"/>
              </w:rPr>
              <w:t>项      目</w:t>
            </w:r>
          </w:p>
        </w:tc>
        <w:tc>
          <w:tcPr>
            <w:tcW w:w="1132" w:type="dxa"/>
            <w:vAlign w:val="top"/>
          </w:tcPr>
          <w:p w14:paraId="2CF59DCC">
            <w:pPr>
              <w:pStyle w:val="19"/>
              <w:keepNext w:val="0"/>
              <w:keepLines w:val="0"/>
              <w:widowControl/>
              <w:suppressLineNumbers w:val="0"/>
              <w:spacing w:before="82" w:beforeAutospacing="0" w:after="0" w:afterAutospacing="0" w:line="221" w:lineRule="auto"/>
              <w:ind w:left="151" w:right="0"/>
              <w:rPr>
                <w:rFonts w:hint="default"/>
                <w:color w:val="auto"/>
                <w:spacing w:val="0"/>
                <w:w w:val="100"/>
                <w:position w:val="0"/>
                <w:highlight w:val="none"/>
              </w:rPr>
            </w:pPr>
            <w:r>
              <w:rPr>
                <w:rFonts w:hint="default"/>
                <w:color w:val="auto"/>
                <w:spacing w:val="0"/>
                <w:w w:val="100"/>
                <w:position w:val="0"/>
                <w:highlight w:val="none"/>
              </w:rPr>
              <w:t>计量单位</w:t>
            </w:r>
          </w:p>
        </w:tc>
        <w:tc>
          <w:tcPr>
            <w:tcW w:w="1286" w:type="dxa"/>
            <w:vAlign w:val="top"/>
          </w:tcPr>
          <w:p w14:paraId="255EDF6B">
            <w:pPr>
              <w:pStyle w:val="19"/>
              <w:keepNext w:val="0"/>
              <w:keepLines w:val="0"/>
              <w:widowControl/>
              <w:suppressLineNumbers w:val="0"/>
              <w:spacing w:before="82" w:beforeAutospacing="0" w:after="0" w:afterAutospacing="0" w:line="221" w:lineRule="auto"/>
              <w:ind w:left="129" w:right="0"/>
              <w:rPr>
                <w:rFonts w:hint="default"/>
                <w:color w:val="auto"/>
                <w:spacing w:val="0"/>
                <w:w w:val="100"/>
                <w:position w:val="0"/>
                <w:highlight w:val="none"/>
              </w:rPr>
            </w:pPr>
            <w:r>
              <w:rPr>
                <w:rFonts w:hint="default"/>
                <w:color w:val="auto"/>
                <w:spacing w:val="0"/>
                <w:w w:val="100"/>
                <w:position w:val="0"/>
                <w:highlight w:val="none"/>
              </w:rPr>
              <w:t>实物工作量</w:t>
            </w:r>
          </w:p>
        </w:tc>
        <w:tc>
          <w:tcPr>
            <w:tcW w:w="1106" w:type="dxa"/>
            <w:vAlign w:val="top"/>
          </w:tcPr>
          <w:p w14:paraId="69521815">
            <w:pPr>
              <w:pStyle w:val="19"/>
              <w:keepNext w:val="0"/>
              <w:keepLines w:val="0"/>
              <w:widowControl/>
              <w:suppressLineNumbers w:val="0"/>
              <w:spacing w:before="82" w:beforeAutospacing="0" w:after="0" w:afterAutospacing="0" w:line="219" w:lineRule="auto"/>
              <w:ind w:left="140" w:right="0"/>
              <w:rPr>
                <w:rFonts w:hint="default"/>
                <w:color w:val="auto"/>
                <w:spacing w:val="0"/>
                <w:w w:val="100"/>
                <w:position w:val="0"/>
                <w:highlight w:val="none"/>
              </w:rPr>
            </w:pPr>
            <w:r>
              <w:rPr>
                <w:rFonts w:hint="default"/>
                <w:color w:val="auto"/>
                <w:spacing w:val="0"/>
                <w:w w:val="100"/>
                <w:position w:val="0"/>
                <w:highlight w:val="none"/>
              </w:rPr>
              <w:t>单价金额</w:t>
            </w:r>
          </w:p>
        </w:tc>
        <w:tc>
          <w:tcPr>
            <w:tcW w:w="1130" w:type="dxa"/>
            <w:vAlign w:val="top"/>
          </w:tcPr>
          <w:p w14:paraId="77652426">
            <w:pPr>
              <w:pStyle w:val="19"/>
              <w:keepNext w:val="0"/>
              <w:keepLines w:val="0"/>
              <w:widowControl/>
              <w:suppressLineNumbers w:val="0"/>
              <w:spacing w:before="82" w:beforeAutospacing="0" w:after="0" w:afterAutospacing="0" w:line="219" w:lineRule="auto"/>
              <w:ind w:left="150" w:right="0"/>
              <w:rPr>
                <w:rFonts w:hint="default"/>
                <w:color w:val="auto"/>
                <w:spacing w:val="0"/>
                <w:w w:val="100"/>
                <w:position w:val="0"/>
                <w:highlight w:val="none"/>
              </w:rPr>
            </w:pPr>
            <w:r>
              <w:rPr>
                <w:rFonts w:hint="default"/>
                <w:color w:val="auto"/>
                <w:spacing w:val="0"/>
                <w:w w:val="100"/>
                <w:position w:val="0"/>
                <w:highlight w:val="none"/>
              </w:rPr>
              <w:t>合价金额</w:t>
            </w:r>
          </w:p>
        </w:tc>
      </w:tr>
      <w:tr w14:paraId="000EA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48267A84">
            <w:pPr>
              <w:pStyle w:val="19"/>
              <w:keepNext w:val="0"/>
              <w:keepLines w:val="0"/>
              <w:widowControl/>
              <w:suppressLineNumbers w:val="0"/>
              <w:spacing w:before="163" w:beforeAutospacing="0" w:after="0" w:afterAutospacing="0" w:line="168" w:lineRule="auto"/>
              <w:ind w:left="282" w:right="0"/>
              <w:rPr>
                <w:rFonts w:hint="default"/>
                <w:color w:val="auto"/>
                <w:spacing w:val="0"/>
                <w:w w:val="100"/>
                <w:position w:val="0"/>
                <w:highlight w:val="none"/>
              </w:rPr>
            </w:pPr>
          </w:p>
        </w:tc>
        <w:tc>
          <w:tcPr>
            <w:tcW w:w="3438" w:type="dxa"/>
            <w:vAlign w:val="top"/>
          </w:tcPr>
          <w:p w14:paraId="02FADBBE">
            <w:pPr>
              <w:pStyle w:val="19"/>
              <w:keepNext w:val="0"/>
              <w:keepLines w:val="0"/>
              <w:widowControl/>
              <w:suppressLineNumbers w:val="0"/>
              <w:spacing w:before="124" w:beforeAutospacing="0" w:after="0" w:afterAutospacing="0" w:line="203" w:lineRule="auto"/>
              <w:ind w:left="326" w:right="0"/>
              <w:rPr>
                <w:rFonts w:hint="default"/>
                <w:color w:val="auto"/>
                <w:spacing w:val="0"/>
                <w:w w:val="100"/>
                <w:position w:val="0"/>
                <w:highlight w:val="none"/>
              </w:rPr>
            </w:pPr>
            <w:r>
              <w:rPr>
                <w:rFonts w:hint="default"/>
                <w:b/>
                <w:bCs/>
                <w:color w:val="auto"/>
                <w:spacing w:val="0"/>
                <w:w w:val="100"/>
                <w:position w:val="0"/>
                <w:highlight w:val="none"/>
              </w:rPr>
              <w:t>施工图设计</w:t>
            </w:r>
          </w:p>
        </w:tc>
        <w:tc>
          <w:tcPr>
            <w:tcW w:w="1132" w:type="dxa"/>
            <w:vAlign w:val="top"/>
          </w:tcPr>
          <w:p w14:paraId="324624C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32D4587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C175D3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6E94D02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3F80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0F9F5D5A">
            <w:pPr>
              <w:pStyle w:val="19"/>
              <w:keepNext w:val="0"/>
              <w:keepLines w:val="0"/>
              <w:widowControl/>
              <w:suppressLineNumbers w:val="0"/>
              <w:spacing w:before="124" w:beforeAutospacing="0" w:after="0" w:afterAutospacing="0" w:line="203" w:lineRule="auto"/>
              <w:ind w:left="347" w:right="0"/>
              <w:rPr>
                <w:rFonts w:hint="default"/>
                <w:color w:val="auto"/>
                <w:spacing w:val="0"/>
                <w:w w:val="100"/>
                <w:position w:val="0"/>
                <w:highlight w:val="none"/>
              </w:rPr>
            </w:pPr>
            <w:r>
              <w:rPr>
                <w:rFonts w:hint="default"/>
                <w:b/>
                <w:bCs/>
                <w:color w:val="auto"/>
                <w:spacing w:val="0"/>
                <w:w w:val="100"/>
                <w:position w:val="0"/>
                <w:highlight w:val="none"/>
              </w:rPr>
              <w:t>1</w:t>
            </w:r>
          </w:p>
        </w:tc>
        <w:tc>
          <w:tcPr>
            <w:tcW w:w="3438" w:type="dxa"/>
            <w:vAlign w:val="top"/>
          </w:tcPr>
          <w:p w14:paraId="6FA4C6A5">
            <w:pPr>
              <w:pStyle w:val="19"/>
              <w:keepNext w:val="0"/>
              <w:keepLines w:val="0"/>
              <w:widowControl/>
              <w:suppressLineNumbers w:val="0"/>
              <w:spacing w:before="124" w:beforeAutospacing="0" w:after="0" w:afterAutospacing="0" w:line="203" w:lineRule="auto"/>
              <w:ind w:left="334" w:right="0"/>
              <w:rPr>
                <w:rFonts w:hint="default"/>
                <w:color w:val="auto"/>
                <w:spacing w:val="0"/>
                <w:w w:val="100"/>
                <w:position w:val="0"/>
                <w:highlight w:val="none"/>
              </w:rPr>
            </w:pPr>
            <w:r>
              <w:rPr>
                <w:rFonts w:hint="default"/>
                <w:b/>
                <w:bCs/>
                <w:color w:val="auto"/>
                <w:spacing w:val="0"/>
                <w:w w:val="100"/>
                <w:position w:val="0"/>
                <w:highlight w:val="none"/>
              </w:rPr>
              <w:t>公路</w:t>
            </w:r>
          </w:p>
        </w:tc>
        <w:tc>
          <w:tcPr>
            <w:tcW w:w="1132" w:type="dxa"/>
            <w:vAlign w:val="top"/>
          </w:tcPr>
          <w:p w14:paraId="255FD0B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59E70D5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5D668A7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7322AE1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F377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758" w:type="dxa"/>
            <w:vAlign w:val="top"/>
          </w:tcPr>
          <w:p w14:paraId="24F64239">
            <w:pPr>
              <w:pStyle w:val="19"/>
              <w:keepNext w:val="0"/>
              <w:keepLines w:val="0"/>
              <w:widowControl/>
              <w:suppressLineNumbers w:val="0"/>
              <w:spacing w:before="126" w:beforeAutospacing="0" w:after="0" w:afterAutospacing="0" w:line="203" w:lineRule="auto"/>
              <w:ind w:left="277" w:right="0"/>
              <w:rPr>
                <w:rFonts w:hint="default"/>
                <w:color w:val="auto"/>
                <w:spacing w:val="0"/>
                <w:w w:val="100"/>
                <w:position w:val="0"/>
                <w:highlight w:val="none"/>
              </w:rPr>
            </w:pPr>
            <w:r>
              <w:rPr>
                <w:rFonts w:hint="default"/>
                <w:color w:val="auto"/>
                <w:spacing w:val="0"/>
                <w:w w:val="100"/>
                <w:position w:val="0"/>
                <w:highlight w:val="none"/>
              </w:rPr>
              <w:t>-1</w:t>
            </w:r>
          </w:p>
        </w:tc>
        <w:tc>
          <w:tcPr>
            <w:tcW w:w="3438" w:type="dxa"/>
            <w:vAlign w:val="top"/>
          </w:tcPr>
          <w:p w14:paraId="63D9A2CF">
            <w:pPr>
              <w:pStyle w:val="19"/>
              <w:keepNext w:val="0"/>
              <w:keepLines w:val="0"/>
              <w:widowControl/>
              <w:suppressLineNumbers w:val="0"/>
              <w:spacing w:before="126" w:beforeAutospacing="0" w:after="0" w:afterAutospacing="0" w:line="203" w:lineRule="auto"/>
              <w:ind w:left="395" w:right="0"/>
              <w:rPr>
                <w:rFonts w:hint="default"/>
                <w:color w:val="auto"/>
                <w:spacing w:val="0"/>
                <w:w w:val="100"/>
                <w:position w:val="0"/>
                <w:highlight w:val="none"/>
              </w:rPr>
            </w:pPr>
            <w:r>
              <w:rPr>
                <w:rFonts w:hint="default"/>
                <w:color w:val="auto"/>
                <w:spacing w:val="0"/>
                <w:w w:val="100"/>
                <w:position w:val="0"/>
                <w:highlight w:val="none"/>
              </w:rPr>
              <w:t>Ⅰ级</w:t>
            </w:r>
          </w:p>
        </w:tc>
        <w:tc>
          <w:tcPr>
            <w:tcW w:w="1132" w:type="dxa"/>
            <w:vAlign w:val="top"/>
          </w:tcPr>
          <w:p w14:paraId="459EE04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6ACE2A7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5524CFB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04ACDF6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6224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758" w:type="dxa"/>
            <w:vAlign w:val="top"/>
          </w:tcPr>
          <w:p w14:paraId="2911A253">
            <w:pPr>
              <w:pStyle w:val="19"/>
              <w:keepNext w:val="0"/>
              <w:keepLines w:val="0"/>
              <w:widowControl/>
              <w:suppressLineNumbers w:val="0"/>
              <w:spacing w:before="123" w:beforeAutospacing="0" w:after="0" w:afterAutospacing="0" w:line="207" w:lineRule="auto"/>
              <w:ind w:left="277" w:right="0"/>
              <w:rPr>
                <w:rFonts w:hint="default"/>
                <w:color w:val="auto"/>
                <w:spacing w:val="0"/>
                <w:w w:val="100"/>
                <w:position w:val="0"/>
                <w:highlight w:val="none"/>
              </w:rPr>
            </w:pPr>
            <w:r>
              <w:rPr>
                <w:rFonts w:hint="default"/>
                <w:color w:val="auto"/>
                <w:spacing w:val="0"/>
                <w:w w:val="100"/>
                <w:position w:val="0"/>
                <w:highlight w:val="none"/>
              </w:rPr>
              <w:t>-2</w:t>
            </w:r>
          </w:p>
        </w:tc>
        <w:tc>
          <w:tcPr>
            <w:tcW w:w="3438" w:type="dxa"/>
            <w:vAlign w:val="top"/>
          </w:tcPr>
          <w:p w14:paraId="3D991889">
            <w:pPr>
              <w:pStyle w:val="19"/>
              <w:keepNext w:val="0"/>
              <w:keepLines w:val="0"/>
              <w:widowControl/>
              <w:suppressLineNumbers w:val="0"/>
              <w:spacing w:before="123" w:beforeAutospacing="0" w:after="0" w:afterAutospacing="0" w:line="207" w:lineRule="auto"/>
              <w:ind w:left="363" w:right="0"/>
              <w:rPr>
                <w:rFonts w:hint="default"/>
                <w:color w:val="auto"/>
                <w:spacing w:val="0"/>
                <w:w w:val="100"/>
                <w:position w:val="0"/>
                <w:highlight w:val="none"/>
              </w:rPr>
            </w:pPr>
            <w:r>
              <w:rPr>
                <w:rFonts w:hint="default"/>
                <w:color w:val="auto"/>
                <w:spacing w:val="0"/>
                <w:w w:val="100"/>
                <w:position w:val="0"/>
                <w:highlight w:val="none"/>
              </w:rPr>
              <w:t>Ⅱ级</w:t>
            </w:r>
          </w:p>
        </w:tc>
        <w:tc>
          <w:tcPr>
            <w:tcW w:w="1132" w:type="dxa"/>
            <w:vAlign w:val="top"/>
          </w:tcPr>
          <w:p w14:paraId="2A3ABA7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248358F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7C7627F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2EE5F72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089E1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758" w:type="dxa"/>
            <w:vAlign w:val="top"/>
          </w:tcPr>
          <w:p w14:paraId="07B7394B">
            <w:pPr>
              <w:pStyle w:val="19"/>
              <w:keepNext w:val="0"/>
              <w:keepLines w:val="0"/>
              <w:widowControl/>
              <w:suppressLineNumbers w:val="0"/>
              <w:spacing w:before="121" w:beforeAutospacing="0" w:after="0" w:afterAutospacing="0" w:line="207" w:lineRule="auto"/>
              <w:ind w:left="277" w:right="0"/>
              <w:rPr>
                <w:rFonts w:hint="default"/>
                <w:color w:val="auto"/>
                <w:spacing w:val="0"/>
                <w:w w:val="100"/>
                <w:position w:val="0"/>
                <w:highlight w:val="none"/>
              </w:rPr>
            </w:pPr>
            <w:r>
              <w:rPr>
                <w:rFonts w:hint="default"/>
                <w:color w:val="auto"/>
                <w:spacing w:val="0"/>
                <w:w w:val="100"/>
                <w:position w:val="0"/>
                <w:highlight w:val="none"/>
              </w:rPr>
              <w:t>-3</w:t>
            </w:r>
          </w:p>
        </w:tc>
        <w:tc>
          <w:tcPr>
            <w:tcW w:w="3438" w:type="dxa"/>
            <w:vAlign w:val="top"/>
          </w:tcPr>
          <w:p w14:paraId="01A76E91">
            <w:pPr>
              <w:pStyle w:val="19"/>
              <w:keepNext w:val="0"/>
              <w:keepLines w:val="0"/>
              <w:widowControl/>
              <w:suppressLineNumbers w:val="0"/>
              <w:spacing w:before="121" w:beforeAutospacing="0" w:after="0" w:afterAutospacing="0" w:line="207" w:lineRule="auto"/>
              <w:ind w:left="326" w:right="0"/>
              <w:rPr>
                <w:rFonts w:hint="default"/>
                <w:color w:val="auto"/>
                <w:spacing w:val="0"/>
                <w:w w:val="100"/>
                <w:position w:val="0"/>
                <w:highlight w:val="none"/>
              </w:rPr>
            </w:pPr>
            <w:r>
              <w:rPr>
                <w:rFonts w:hint="default"/>
                <w:color w:val="auto"/>
                <w:spacing w:val="0"/>
                <w:w w:val="100"/>
                <w:position w:val="0"/>
                <w:highlight w:val="none"/>
              </w:rPr>
              <w:t>Ⅲ级</w:t>
            </w:r>
          </w:p>
        </w:tc>
        <w:tc>
          <w:tcPr>
            <w:tcW w:w="1132" w:type="dxa"/>
            <w:vAlign w:val="top"/>
          </w:tcPr>
          <w:p w14:paraId="053A4D2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1E7EFFC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7CAB588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5FE5803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D9265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658EB31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0EB755D8">
            <w:pPr>
              <w:pStyle w:val="19"/>
              <w:keepNext w:val="0"/>
              <w:keepLines w:val="0"/>
              <w:widowControl/>
              <w:suppressLineNumbers w:val="0"/>
              <w:spacing w:before="118" w:beforeAutospacing="0" w:after="0" w:afterAutospacing="0" w:line="207"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29CD422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73652F8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42C40FC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3A3DEC7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D3E2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515D3E3D">
            <w:pPr>
              <w:pStyle w:val="19"/>
              <w:keepNext w:val="0"/>
              <w:keepLines w:val="0"/>
              <w:widowControl/>
              <w:suppressLineNumbers w:val="0"/>
              <w:spacing w:before="119" w:beforeAutospacing="0" w:after="0" w:afterAutospacing="0" w:line="206" w:lineRule="auto"/>
              <w:ind w:left="334" w:right="0"/>
              <w:rPr>
                <w:rFonts w:hint="default"/>
                <w:color w:val="auto"/>
                <w:spacing w:val="0"/>
                <w:w w:val="100"/>
                <w:position w:val="0"/>
                <w:highlight w:val="none"/>
              </w:rPr>
            </w:pPr>
            <w:r>
              <w:rPr>
                <w:rFonts w:hint="default"/>
                <w:b/>
                <w:bCs/>
                <w:color w:val="auto"/>
                <w:spacing w:val="0"/>
                <w:w w:val="100"/>
                <w:position w:val="0"/>
                <w:highlight w:val="none"/>
              </w:rPr>
              <w:t>2</w:t>
            </w:r>
          </w:p>
        </w:tc>
        <w:tc>
          <w:tcPr>
            <w:tcW w:w="3438" w:type="dxa"/>
            <w:vAlign w:val="top"/>
          </w:tcPr>
          <w:p w14:paraId="4A33CD18">
            <w:pPr>
              <w:pStyle w:val="19"/>
              <w:keepNext w:val="0"/>
              <w:keepLines w:val="0"/>
              <w:widowControl/>
              <w:suppressLineNumbers w:val="0"/>
              <w:spacing w:before="119" w:beforeAutospacing="0" w:after="0" w:afterAutospacing="0" w:line="206" w:lineRule="auto"/>
              <w:ind w:left="327" w:right="0"/>
              <w:rPr>
                <w:rFonts w:hint="default"/>
                <w:color w:val="auto"/>
                <w:spacing w:val="0"/>
                <w:w w:val="100"/>
                <w:position w:val="0"/>
                <w:highlight w:val="none"/>
              </w:rPr>
            </w:pPr>
            <w:r>
              <w:rPr>
                <w:rFonts w:hint="default"/>
                <w:b w:val="0"/>
                <w:bCs w:val="0"/>
                <w:color w:val="auto"/>
                <w:spacing w:val="0"/>
                <w:w w:val="100"/>
                <w:position w:val="0"/>
                <w:highlight w:val="none"/>
              </w:rPr>
              <w:t>桥梁</w:t>
            </w:r>
          </w:p>
        </w:tc>
        <w:tc>
          <w:tcPr>
            <w:tcW w:w="1132" w:type="dxa"/>
            <w:vAlign w:val="top"/>
          </w:tcPr>
          <w:p w14:paraId="5199F5C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30FE61C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46112C8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66563A8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83818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1D8ED69A">
            <w:pPr>
              <w:pStyle w:val="19"/>
              <w:keepNext w:val="0"/>
              <w:keepLines w:val="0"/>
              <w:widowControl/>
              <w:suppressLineNumbers w:val="0"/>
              <w:spacing w:before="119" w:beforeAutospacing="0" w:after="0" w:afterAutospacing="0" w:line="207" w:lineRule="auto"/>
              <w:ind w:left="277" w:right="0"/>
              <w:rPr>
                <w:rFonts w:hint="default"/>
                <w:color w:val="auto"/>
                <w:spacing w:val="0"/>
                <w:w w:val="100"/>
                <w:position w:val="0"/>
                <w:highlight w:val="none"/>
              </w:rPr>
            </w:pPr>
            <w:r>
              <w:rPr>
                <w:rFonts w:hint="default"/>
                <w:color w:val="auto"/>
                <w:spacing w:val="0"/>
                <w:w w:val="100"/>
                <w:position w:val="0"/>
                <w:highlight w:val="none"/>
              </w:rPr>
              <w:t>-1</w:t>
            </w:r>
          </w:p>
        </w:tc>
        <w:tc>
          <w:tcPr>
            <w:tcW w:w="3438" w:type="dxa"/>
            <w:vAlign w:val="top"/>
          </w:tcPr>
          <w:p w14:paraId="59A28B58">
            <w:pPr>
              <w:pStyle w:val="19"/>
              <w:keepNext w:val="0"/>
              <w:keepLines w:val="0"/>
              <w:widowControl/>
              <w:suppressLineNumbers w:val="0"/>
              <w:spacing w:before="119" w:beforeAutospacing="0" w:after="0" w:afterAutospacing="0" w:line="207" w:lineRule="auto"/>
              <w:ind w:left="395" w:right="0"/>
              <w:rPr>
                <w:rFonts w:hint="default"/>
                <w:color w:val="auto"/>
                <w:spacing w:val="0"/>
                <w:w w:val="100"/>
                <w:position w:val="0"/>
                <w:highlight w:val="none"/>
              </w:rPr>
            </w:pPr>
            <w:r>
              <w:rPr>
                <w:rFonts w:hint="default"/>
                <w:color w:val="auto"/>
                <w:spacing w:val="0"/>
                <w:w w:val="100"/>
                <w:position w:val="0"/>
                <w:highlight w:val="none"/>
              </w:rPr>
              <w:t>Ⅰ级</w:t>
            </w:r>
          </w:p>
        </w:tc>
        <w:tc>
          <w:tcPr>
            <w:tcW w:w="1132" w:type="dxa"/>
            <w:vAlign w:val="top"/>
          </w:tcPr>
          <w:p w14:paraId="5C5B09F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23A4B57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413EF3D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49B57B9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508DD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4BBE6252">
            <w:pPr>
              <w:pStyle w:val="19"/>
              <w:keepNext w:val="0"/>
              <w:keepLines w:val="0"/>
              <w:widowControl/>
              <w:suppressLineNumbers w:val="0"/>
              <w:spacing w:before="119" w:beforeAutospacing="0" w:after="0" w:afterAutospacing="0" w:line="206" w:lineRule="auto"/>
              <w:ind w:left="277" w:right="0"/>
              <w:rPr>
                <w:rFonts w:hint="default"/>
                <w:color w:val="auto"/>
                <w:spacing w:val="0"/>
                <w:w w:val="100"/>
                <w:position w:val="0"/>
                <w:highlight w:val="none"/>
              </w:rPr>
            </w:pPr>
            <w:r>
              <w:rPr>
                <w:rFonts w:hint="default"/>
                <w:color w:val="auto"/>
                <w:spacing w:val="0"/>
                <w:w w:val="100"/>
                <w:position w:val="0"/>
                <w:highlight w:val="none"/>
              </w:rPr>
              <w:t>-2</w:t>
            </w:r>
          </w:p>
        </w:tc>
        <w:tc>
          <w:tcPr>
            <w:tcW w:w="3438" w:type="dxa"/>
            <w:vAlign w:val="top"/>
          </w:tcPr>
          <w:p w14:paraId="41D7C9D5">
            <w:pPr>
              <w:pStyle w:val="19"/>
              <w:keepNext w:val="0"/>
              <w:keepLines w:val="0"/>
              <w:widowControl/>
              <w:suppressLineNumbers w:val="0"/>
              <w:spacing w:before="119" w:beforeAutospacing="0" w:after="0" w:afterAutospacing="0" w:line="206" w:lineRule="auto"/>
              <w:ind w:left="363" w:right="0"/>
              <w:rPr>
                <w:rFonts w:hint="default"/>
                <w:color w:val="auto"/>
                <w:spacing w:val="0"/>
                <w:w w:val="100"/>
                <w:position w:val="0"/>
                <w:highlight w:val="none"/>
              </w:rPr>
            </w:pPr>
            <w:r>
              <w:rPr>
                <w:rFonts w:hint="default"/>
                <w:color w:val="auto"/>
                <w:spacing w:val="0"/>
                <w:w w:val="100"/>
                <w:position w:val="0"/>
                <w:highlight w:val="none"/>
              </w:rPr>
              <w:t>Ⅱ级</w:t>
            </w:r>
          </w:p>
        </w:tc>
        <w:tc>
          <w:tcPr>
            <w:tcW w:w="1132" w:type="dxa"/>
            <w:vAlign w:val="top"/>
          </w:tcPr>
          <w:p w14:paraId="6BFD051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76C51A7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30F9850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7098B14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0D04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7D5D1307">
            <w:pPr>
              <w:pStyle w:val="19"/>
              <w:keepNext w:val="0"/>
              <w:keepLines w:val="0"/>
              <w:widowControl/>
              <w:suppressLineNumbers w:val="0"/>
              <w:spacing w:before="119" w:beforeAutospacing="0" w:after="0" w:afterAutospacing="0" w:line="206" w:lineRule="auto"/>
              <w:ind w:left="277" w:right="0"/>
              <w:rPr>
                <w:rFonts w:hint="default"/>
                <w:color w:val="auto"/>
                <w:spacing w:val="0"/>
                <w:w w:val="100"/>
                <w:position w:val="0"/>
                <w:highlight w:val="none"/>
              </w:rPr>
            </w:pPr>
            <w:r>
              <w:rPr>
                <w:rFonts w:hint="default"/>
                <w:color w:val="auto"/>
                <w:spacing w:val="0"/>
                <w:w w:val="100"/>
                <w:position w:val="0"/>
                <w:highlight w:val="none"/>
              </w:rPr>
              <w:t>-3</w:t>
            </w:r>
          </w:p>
        </w:tc>
        <w:tc>
          <w:tcPr>
            <w:tcW w:w="3438" w:type="dxa"/>
            <w:vAlign w:val="top"/>
          </w:tcPr>
          <w:p w14:paraId="5F0DE4B3">
            <w:pPr>
              <w:pStyle w:val="19"/>
              <w:keepNext w:val="0"/>
              <w:keepLines w:val="0"/>
              <w:widowControl/>
              <w:suppressLineNumbers w:val="0"/>
              <w:spacing w:before="119" w:beforeAutospacing="0" w:after="0" w:afterAutospacing="0" w:line="206" w:lineRule="auto"/>
              <w:ind w:left="326" w:right="0"/>
              <w:rPr>
                <w:rFonts w:hint="default"/>
                <w:color w:val="auto"/>
                <w:spacing w:val="0"/>
                <w:w w:val="100"/>
                <w:position w:val="0"/>
                <w:highlight w:val="none"/>
              </w:rPr>
            </w:pPr>
            <w:r>
              <w:rPr>
                <w:rFonts w:hint="default"/>
                <w:color w:val="auto"/>
                <w:spacing w:val="0"/>
                <w:w w:val="100"/>
                <w:position w:val="0"/>
                <w:highlight w:val="none"/>
              </w:rPr>
              <w:t>Ⅲ级</w:t>
            </w:r>
          </w:p>
        </w:tc>
        <w:tc>
          <w:tcPr>
            <w:tcW w:w="1132" w:type="dxa"/>
            <w:vAlign w:val="top"/>
          </w:tcPr>
          <w:p w14:paraId="49A6BAB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26137FC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0AFA00A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3667ED8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9F35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758" w:type="dxa"/>
            <w:vAlign w:val="top"/>
          </w:tcPr>
          <w:p w14:paraId="3E2A4148">
            <w:pPr>
              <w:pStyle w:val="19"/>
              <w:keepNext w:val="0"/>
              <w:keepLines w:val="0"/>
              <w:widowControl/>
              <w:suppressLineNumbers w:val="0"/>
              <w:spacing w:before="122" w:beforeAutospacing="0" w:after="0" w:afterAutospacing="0" w:line="206" w:lineRule="auto"/>
              <w:ind w:left="277" w:right="0"/>
              <w:rPr>
                <w:rFonts w:hint="default"/>
                <w:color w:val="auto"/>
                <w:spacing w:val="0"/>
                <w:w w:val="100"/>
                <w:position w:val="0"/>
                <w:highlight w:val="none"/>
              </w:rPr>
            </w:pPr>
            <w:r>
              <w:rPr>
                <w:rFonts w:hint="default"/>
                <w:color w:val="auto"/>
                <w:spacing w:val="0"/>
                <w:w w:val="100"/>
                <w:position w:val="0"/>
                <w:highlight w:val="none"/>
              </w:rPr>
              <w:t>-a</w:t>
            </w:r>
          </w:p>
        </w:tc>
        <w:tc>
          <w:tcPr>
            <w:tcW w:w="3438" w:type="dxa"/>
            <w:vAlign w:val="top"/>
          </w:tcPr>
          <w:p w14:paraId="21DFA5D7">
            <w:pPr>
              <w:pStyle w:val="19"/>
              <w:keepNext w:val="0"/>
              <w:keepLines w:val="0"/>
              <w:widowControl/>
              <w:suppressLineNumbers w:val="0"/>
              <w:spacing w:before="122" w:beforeAutospacing="0" w:after="0" w:afterAutospacing="0" w:line="206" w:lineRule="auto"/>
              <w:ind w:left="326" w:right="0"/>
              <w:rPr>
                <w:rFonts w:hint="default"/>
                <w:color w:val="auto"/>
                <w:spacing w:val="0"/>
                <w:w w:val="100"/>
                <w:position w:val="0"/>
                <w:highlight w:val="none"/>
              </w:rPr>
            </w:pPr>
            <w:r>
              <w:rPr>
                <w:rFonts w:hint="default"/>
                <w:color w:val="auto"/>
                <w:spacing w:val="0"/>
                <w:w w:val="100"/>
                <w:position w:val="0"/>
                <w:highlight w:val="none"/>
              </w:rPr>
              <w:t>河槽内桥梁</w:t>
            </w:r>
          </w:p>
        </w:tc>
        <w:tc>
          <w:tcPr>
            <w:tcW w:w="1132" w:type="dxa"/>
            <w:vAlign w:val="top"/>
          </w:tcPr>
          <w:p w14:paraId="6E99800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6351166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310BAA0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7A245D9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EDAA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571E92EC">
            <w:pPr>
              <w:pStyle w:val="19"/>
              <w:keepNext w:val="0"/>
              <w:keepLines w:val="0"/>
              <w:widowControl/>
              <w:suppressLineNumbers w:val="0"/>
              <w:spacing w:before="121" w:beforeAutospacing="0" w:after="0" w:afterAutospacing="0" w:line="205" w:lineRule="auto"/>
              <w:ind w:left="277" w:right="0"/>
              <w:rPr>
                <w:rFonts w:hint="default"/>
                <w:color w:val="auto"/>
                <w:spacing w:val="0"/>
                <w:w w:val="100"/>
                <w:position w:val="0"/>
                <w:highlight w:val="none"/>
              </w:rPr>
            </w:pPr>
            <w:r>
              <w:rPr>
                <w:rFonts w:hint="default"/>
                <w:color w:val="auto"/>
                <w:spacing w:val="0"/>
                <w:w w:val="100"/>
                <w:position w:val="0"/>
                <w:highlight w:val="none"/>
              </w:rPr>
              <w:t>-b</w:t>
            </w:r>
          </w:p>
        </w:tc>
        <w:tc>
          <w:tcPr>
            <w:tcW w:w="3438" w:type="dxa"/>
            <w:vAlign w:val="top"/>
          </w:tcPr>
          <w:p w14:paraId="3EA0C79E">
            <w:pPr>
              <w:pStyle w:val="19"/>
              <w:keepNext w:val="0"/>
              <w:keepLines w:val="0"/>
              <w:widowControl/>
              <w:suppressLineNumbers w:val="0"/>
              <w:spacing w:before="121" w:beforeAutospacing="0" w:after="0" w:afterAutospacing="0" w:line="205" w:lineRule="auto"/>
              <w:ind w:left="326" w:right="0"/>
              <w:rPr>
                <w:rFonts w:hint="default"/>
                <w:color w:val="auto"/>
                <w:spacing w:val="0"/>
                <w:w w:val="100"/>
                <w:position w:val="0"/>
                <w:highlight w:val="none"/>
              </w:rPr>
            </w:pPr>
            <w:r>
              <w:rPr>
                <w:rFonts w:hint="default"/>
                <w:color w:val="auto"/>
                <w:spacing w:val="0"/>
                <w:w w:val="100"/>
                <w:position w:val="0"/>
                <w:highlight w:val="none"/>
              </w:rPr>
              <w:t>河滩内桥梁</w:t>
            </w:r>
          </w:p>
        </w:tc>
        <w:tc>
          <w:tcPr>
            <w:tcW w:w="1132" w:type="dxa"/>
            <w:vAlign w:val="top"/>
          </w:tcPr>
          <w:p w14:paraId="0180F28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54A9B92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6A3727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72FF369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060E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673CFE8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62EC96DB">
            <w:pPr>
              <w:pStyle w:val="19"/>
              <w:keepNext w:val="0"/>
              <w:keepLines w:val="0"/>
              <w:widowControl/>
              <w:suppressLineNumbers w:val="0"/>
              <w:spacing w:before="120" w:beforeAutospacing="0" w:after="0" w:afterAutospacing="0" w:line="205"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16CD3FC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2D981DD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695FC3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61C44CF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085F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62C57909">
            <w:pPr>
              <w:pStyle w:val="19"/>
              <w:keepNext w:val="0"/>
              <w:keepLines w:val="0"/>
              <w:widowControl/>
              <w:suppressLineNumbers w:val="0"/>
              <w:spacing w:before="123" w:beforeAutospacing="0" w:after="0" w:afterAutospacing="0" w:line="203" w:lineRule="auto"/>
              <w:ind w:left="331" w:right="0"/>
              <w:rPr>
                <w:rFonts w:hint="eastAsia" w:eastAsia="宋体"/>
                <w:color w:val="auto"/>
                <w:spacing w:val="0"/>
                <w:w w:val="100"/>
                <w:position w:val="0"/>
                <w:highlight w:val="none"/>
                <w:lang w:eastAsia="zh-CN"/>
              </w:rPr>
            </w:pPr>
            <w:r>
              <w:rPr>
                <w:rFonts w:hint="eastAsia"/>
                <w:b/>
                <w:bCs/>
                <w:color w:val="auto"/>
                <w:spacing w:val="0"/>
                <w:w w:val="100"/>
                <w:position w:val="0"/>
                <w:highlight w:val="none"/>
                <w:lang w:val="en-US" w:eastAsia="zh-CN"/>
              </w:rPr>
              <w:t>3</w:t>
            </w:r>
          </w:p>
        </w:tc>
        <w:tc>
          <w:tcPr>
            <w:tcW w:w="3438" w:type="dxa"/>
            <w:vAlign w:val="top"/>
          </w:tcPr>
          <w:p w14:paraId="77D899B3">
            <w:pPr>
              <w:pStyle w:val="19"/>
              <w:keepNext w:val="0"/>
              <w:keepLines w:val="0"/>
              <w:widowControl/>
              <w:suppressLineNumbers w:val="0"/>
              <w:spacing w:before="123" w:beforeAutospacing="0" w:after="0" w:afterAutospacing="0" w:line="203" w:lineRule="auto"/>
              <w:ind w:left="327" w:right="0"/>
              <w:rPr>
                <w:rFonts w:hint="default"/>
                <w:color w:val="auto"/>
                <w:spacing w:val="0"/>
                <w:w w:val="100"/>
                <w:position w:val="0"/>
                <w:highlight w:val="none"/>
              </w:rPr>
            </w:pPr>
            <w:r>
              <w:rPr>
                <w:rFonts w:hint="default"/>
                <w:b/>
                <w:bCs/>
                <w:color w:val="auto"/>
                <w:spacing w:val="0"/>
                <w:w w:val="100"/>
                <w:position w:val="0"/>
                <w:highlight w:val="none"/>
              </w:rPr>
              <w:t>立体交叉</w:t>
            </w:r>
          </w:p>
        </w:tc>
        <w:tc>
          <w:tcPr>
            <w:tcW w:w="1132" w:type="dxa"/>
            <w:vAlign w:val="top"/>
          </w:tcPr>
          <w:p w14:paraId="20159A6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6B0595E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0207FA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3C1FD44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D2A7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263ADDFC">
            <w:pPr>
              <w:pStyle w:val="19"/>
              <w:keepNext w:val="0"/>
              <w:keepLines w:val="0"/>
              <w:widowControl/>
              <w:suppressLineNumbers w:val="0"/>
              <w:spacing w:before="123" w:beforeAutospacing="0" w:after="0" w:afterAutospacing="0" w:line="203" w:lineRule="auto"/>
              <w:ind w:left="277" w:right="0"/>
              <w:rPr>
                <w:rFonts w:hint="default"/>
                <w:color w:val="auto"/>
                <w:spacing w:val="0"/>
                <w:w w:val="100"/>
                <w:position w:val="0"/>
                <w:highlight w:val="none"/>
              </w:rPr>
            </w:pPr>
            <w:r>
              <w:rPr>
                <w:rFonts w:hint="default"/>
                <w:color w:val="auto"/>
                <w:spacing w:val="0"/>
                <w:w w:val="100"/>
                <w:position w:val="0"/>
                <w:highlight w:val="none"/>
              </w:rPr>
              <w:t>-1</w:t>
            </w:r>
          </w:p>
        </w:tc>
        <w:tc>
          <w:tcPr>
            <w:tcW w:w="3438" w:type="dxa"/>
            <w:vAlign w:val="top"/>
          </w:tcPr>
          <w:p w14:paraId="1520CFFF">
            <w:pPr>
              <w:pStyle w:val="19"/>
              <w:keepNext w:val="0"/>
              <w:keepLines w:val="0"/>
              <w:widowControl/>
              <w:suppressLineNumbers w:val="0"/>
              <w:spacing w:before="123" w:beforeAutospacing="0" w:after="0" w:afterAutospacing="0" w:line="203" w:lineRule="auto"/>
              <w:ind w:left="395" w:right="0"/>
              <w:rPr>
                <w:rFonts w:hint="default"/>
                <w:color w:val="auto"/>
                <w:spacing w:val="0"/>
                <w:w w:val="100"/>
                <w:position w:val="0"/>
                <w:highlight w:val="none"/>
              </w:rPr>
            </w:pPr>
            <w:r>
              <w:rPr>
                <w:rFonts w:hint="default"/>
                <w:color w:val="auto"/>
                <w:spacing w:val="0"/>
                <w:w w:val="100"/>
                <w:position w:val="0"/>
                <w:highlight w:val="none"/>
              </w:rPr>
              <w:t>Ⅰ级</w:t>
            </w:r>
          </w:p>
        </w:tc>
        <w:tc>
          <w:tcPr>
            <w:tcW w:w="1132" w:type="dxa"/>
            <w:vAlign w:val="top"/>
          </w:tcPr>
          <w:p w14:paraId="186589D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587A7BB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6B19B2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31C6E53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0D19B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583D2C44">
            <w:pPr>
              <w:pStyle w:val="19"/>
              <w:keepNext w:val="0"/>
              <w:keepLines w:val="0"/>
              <w:widowControl/>
              <w:suppressLineNumbers w:val="0"/>
              <w:spacing w:before="124" w:beforeAutospacing="0" w:after="0" w:afterAutospacing="0" w:line="203" w:lineRule="auto"/>
              <w:ind w:left="277" w:right="0"/>
              <w:rPr>
                <w:rFonts w:hint="default"/>
                <w:color w:val="auto"/>
                <w:spacing w:val="0"/>
                <w:w w:val="100"/>
                <w:position w:val="0"/>
                <w:highlight w:val="none"/>
              </w:rPr>
            </w:pPr>
            <w:r>
              <w:rPr>
                <w:rFonts w:hint="default"/>
                <w:color w:val="auto"/>
                <w:spacing w:val="0"/>
                <w:w w:val="100"/>
                <w:position w:val="0"/>
                <w:highlight w:val="none"/>
              </w:rPr>
              <w:t>-2</w:t>
            </w:r>
          </w:p>
        </w:tc>
        <w:tc>
          <w:tcPr>
            <w:tcW w:w="3438" w:type="dxa"/>
            <w:vAlign w:val="top"/>
          </w:tcPr>
          <w:p w14:paraId="64DC69DC">
            <w:pPr>
              <w:pStyle w:val="19"/>
              <w:keepNext w:val="0"/>
              <w:keepLines w:val="0"/>
              <w:widowControl/>
              <w:suppressLineNumbers w:val="0"/>
              <w:spacing w:before="124" w:beforeAutospacing="0" w:after="0" w:afterAutospacing="0" w:line="203" w:lineRule="auto"/>
              <w:ind w:left="363" w:right="0"/>
              <w:rPr>
                <w:rFonts w:hint="default"/>
                <w:color w:val="auto"/>
                <w:spacing w:val="0"/>
                <w:w w:val="100"/>
                <w:position w:val="0"/>
                <w:highlight w:val="none"/>
              </w:rPr>
            </w:pPr>
            <w:r>
              <w:rPr>
                <w:rFonts w:hint="default"/>
                <w:color w:val="auto"/>
                <w:spacing w:val="0"/>
                <w:w w:val="100"/>
                <w:position w:val="0"/>
                <w:highlight w:val="none"/>
              </w:rPr>
              <w:t>Ⅱ级</w:t>
            </w:r>
          </w:p>
        </w:tc>
        <w:tc>
          <w:tcPr>
            <w:tcW w:w="1132" w:type="dxa"/>
            <w:vAlign w:val="top"/>
          </w:tcPr>
          <w:p w14:paraId="223D32C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78F352C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2A6D30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58AEA79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6760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45F148C7">
            <w:pPr>
              <w:pStyle w:val="19"/>
              <w:keepNext w:val="0"/>
              <w:keepLines w:val="0"/>
              <w:widowControl/>
              <w:suppressLineNumbers w:val="0"/>
              <w:spacing w:before="124" w:beforeAutospacing="0" w:after="0" w:afterAutospacing="0" w:line="203" w:lineRule="auto"/>
              <w:ind w:left="277" w:right="0"/>
              <w:rPr>
                <w:rFonts w:hint="default"/>
                <w:color w:val="auto"/>
                <w:spacing w:val="0"/>
                <w:w w:val="100"/>
                <w:position w:val="0"/>
                <w:highlight w:val="none"/>
              </w:rPr>
            </w:pPr>
            <w:r>
              <w:rPr>
                <w:rFonts w:hint="default"/>
                <w:color w:val="auto"/>
                <w:spacing w:val="0"/>
                <w:w w:val="100"/>
                <w:position w:val="0"/>
                <w:highlight w:val="none"/>
              </w:rPr>
              <w:t>-3</w:t>
            </w:r>
          </w:p>
        </w:tc>
        <w:tc>
          <w:tcPr>
            <w:tcW w:w="3438" w:type="dxa"/>
            <w:vAlign w:val="top"/>
          </w:tcPr>
          <w:p w14:paraId="78EBD373">
            <w:pPr>
              <w:pStyle w:val="19"/>
              <w:keepNext w:val="0"/>
              <w:keepLines w:val="0"/>
              <w:widowControl/>
              <w:suppressLineNumbers w:val="0"/>
              <w:spacing w:before="124" w:beforeAutospacing="0" w:after="0" w:afterAutospacing="0" w:line="203" w:lineRule="auto"/>
              <w:ind w:left="326" w:right="0"/>
              <w:rPr>
                <w:rFonts w:hint="default"/>
                <w:color w:val="auto"/>
                <w:spacing w:val="0"/>
                <w:w w:val="100"/>
                <w:position w:val="0"/>
                <w:highlight w:val="none"/>
              </w:rPr>
            </w:pPr>
            <w:r>
              <w:rPr>
                <w:rFonts w:hint="default"/>
                <w:color w:val="auto"/>
                <w:spacing w:val="0"/>
                <w:w w:val="100"/>
                <w:position w:val="0"/>
                <w:highlight w:val="none"/>
              </w:rPr>
              <w:t>Ⅲ级</w:t>
            </w:r>
          </w:p>
        </w:tc>
        <w:tc>
          <w:tcPr>
            <w:tcW w:w="1132" w:type="dxa"/>
            <w:vAlign w:val="top"/>
          </w:tcPr>
          <w:p w14:paraId="102C8CA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4A58BC1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3E2ED99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1297F76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3913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758" w:type="dxa"/>
            <w:vAlign w:val="top"/>
          </w:tcPr>
          <w:p w14:paraId="613FDB3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4734C362">
            <w:pPr>
              <w:pStyle w:val="19"/>
              <w:keepNext w:val="0"/>
              <w:keepLines w:val="0"/>
              <w:widowControl/>
              <w:suppressLineNumbers w:val="0"/>
              <w:spacing w:before="126" w:beforeAutospacing="0" w:after="0" w:afterAutospacing="0" w:line="203"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02BDA53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5AF1082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63B2A38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20CC622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79F0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1CB088A3">
            <w:pPr>
              <w:pStyle w:val="19"/>
              <w:keepNext w:val="0"/>
              <w:keepLines w:val="0"/>
              <w:widowControl/>
              <w:suppressLineNumbers w:val="0"/>
              <w:spacing w:before="124" w:beforeAutospacing="0" w:after="0" w:afterAutospacing="0" w:line="203" w:lineRule="auto"/>
              <w:ind w:left="336" w:right="0"/>
              <w:rPr>
                <w:rFonts w:hint="eastAsia" w:eastAsia="宋体"/>
                <w:color w:val="auto"/>
                <w:spacing w:val="0"/>
                <w:w w:val="100"/>
                <w:position w:val="0"/>
                <w:highlight w:val="none"/>
                <w:lang w:eastAsia="zh-CN"/>
              </w:rPr>
            </w:pPr>
            <w:r>
              <w:rPr>
                <w:rFonts w:hint="eastAsia"/>
                <w:b/>
                <w:bCs/>
                <w:color w:val="auto"/>
                <w:spacing w:val="0"/>
                <w:w w:val="100"/>
                <w:position w:val="0"/>
                <w:highlight w:val="none"/>
                <w:lang w:val="en-US" w:eastAsia="zh-CN"/>
              </w:rPr>
              <w:t>4</w:t>
            </w:r>
          </w:p>
        </w:tc>
        <w:tc>
          <w:tcPr>
            <w:tcW w:w="3438" w:type="dxa"/>
            <w:vAlign w:val="top"/>
          </w:tcPr>
          <w:p w14:paraId="253871A9">
            <w:pPr>
              <w:pStyle w:val="19"/>
              <w:keepNext w:val="0"/>
              <w:keepLines w:val="0"/>
              <w:widowControl/>
              <w:suppressLineNumbers w:val="0"/>
              <w:spacing w:before="124" w:beforeAutospacing="0" w:after="0" w:afterAutospacing="0" w:line="203" w:lineRule="auto"/>
              <w:ind w:left="331" w:right="0"/>
              <w:rPr>
                <w:rFonts w:hint="default"/>
                <w:color w:val="auto"/>
                <w:spacing w:val="0"/>
                <w:w w:val="100"/>
                <w:position w:val="0"/>
                <w:highlight w:val="none"/>
              </w:rPr>
            </w:pPr>
            <w:r>
              <w:rPr>
                <w:rFonts w:hint="default"/>
                <w:b/>
                <w:bCs/>
                <w:color w:val="auto"/>
                <w:spacing w:val="0"/>
                <w:w w:val="100"/>
                <w:position w:val="0"/>
                <w:highlight w:val="none"/>
              </w:rPr>
              <w:t>交通工程及沿线设施</w:t>
            </w:r>
          </w:p>
        </w:tc>
        <w:tc>
          <w:tcPr>
            <w:tcW w:w="1132" w:type="dxa"/>
            <w:vAlign w:val="top"/>
          </w:tcPr>
          <w:p w14:paraId="45FC605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7F8CDBB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FAC523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3923A96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0DD28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0AF4CFC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0458C275">
            <w:pPr>
              <w:pStyle w:val="19"/>
              <w:keepNext w:val="0"/>
              <w:keepLines w:val="0"/>
              <w:widowControl/>
              <w:suppressLineNumbers w:val="0"/>
              <w:spacing w:before="123" w:beforeAutospacing="0" w:after="0" w:afterAutospacing="0" w:line="203"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3337B54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2F3DCCC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6143D94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0C76206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8E56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758" w:type="dxa"/>
            <w:vAlign w:val="top"/>
          </w:tcPr>
          <w:p w14:paraId="78A4D488">
            <w:pPr>
              <w:pStyle w:val="19"/>
              <w:keepNext w:val="0"/>
              <w:keepLines w:val="0"/>
              <w:widowControl/>
              <w:suppressLineNumbers w:val="0"/>
              <w:spacing w:before="124" w:beforeAutospacing="0" w:after="0" w:afterAutospacing="0" w:line="202" w:lineRule="auto"/>
              <w:ind w:left="333" w:right="0"/>
              <w:rPr>
                <w:rFonts w:hint="eastAsia" w:eastAsia="宋体"/>
                <w:color w:val="auto"/>
                <w:spacing w:val="0"/>
                <w:w w:val="100"/>
                <w:position w:val="0"/>
                <w:highlight w:val="none"/>
                <w:lang w:eastAsia="zh-CN"/>
              </w:rPr>
            </w:pPr>
            <w:r>
              <w:rPr>
                <w:rFonts w:hint="eastAsia"/>
                <w:b/>
                <w:bCs/>
                <w:color w:val="auto"/>
                <w:spacing w:val="0"/>
                <w:w w:val="100"/>
                <w:position w:val="0"/>
                <w:highlight w:val="none"/>
                <w:lang w:val="en-US" w:eastAsia="zh-CN"/>
              </w:rPr>
              <w:t>5</w:t>
            </w:r>
          </w:p>
        </w:tc>
        <w:tc>
          <w:tcPr>
            <w:tcW w:w="3438" w:type="dxa"/>
            <w:vAlign w:val="top"/>
          </w:tcPr>
          <w:p w14:paraId="711B9778">
            <w:pPr>
              <w:pStyle w:val="19"/>
              <w:keepNext w:val="0"/>
              <w:keepLines w:val="0"/>
              <w:widowControl/>
              <w:suppressLineNumbers w:val="0"/>
              <w:spacing w:before="124" w:beforeAutospacing="0" w:after="0" w:afterAutospacing="0" w:line="202" w:lineRule="auto"/>
              <w:ind w:left="327" w:right="0"/>
              <w:rPr>
                <w:rFonts w:hint="default"/>
                <w:color w:val="auto"/>
                <w:spacing w:val="0"/>
                <w:w w:val="100"/>
                <w:position w:val="0"/>
                <w:highlight w:val="none"/>
              </w:rPr>
            </w:pPr>
            <w:r>
              <w:rPr>
                <w:rFonts w:hint="default"/>
                <w:b/>
                <w:bCs/>
                <w:color w:val="auto"/>
                <w:spacing w:val="0"/>
                <w:w w:val="100"/>
                <w:position w:val="0"/>
                <w:highlight w:val="none"/>
              </w:rPr>
              <w:t>环保、水保及绿化景观设计</w:t>
            </w:r>
          </w:p>
        </w:tc>
        <w:tc>
          <w:tcPr>
            <w:tcW w:w="1132" w:type="dxa"/>
            <w:vAlign w:val="top"/>
          </w:tcPr>
          <w:p w14:paraId="26F27E3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0C1BC20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410A8F7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08B691B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2A8E5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0C84855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6C0B308E">
            <w:pPr>
              <w:pStyle w:val="19"/>
              <w:keepNext w:val="0"/>
              <w:keepLines w:val="0"/>
              <w:widowControl/>
              <w:suppressLineNumbers w:val="0"/>
              <w:spacing w:before="124" w:beforeAutospacing="0" w:after="0" w:afterAutospacing="0" w:line="203"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40D8B96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574BFC2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13B92EE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29CE619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DB1E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37C42CF4">
            <w:pPr>
              <w:pStyle w:val="19"/>
              <w:keepNext w:val="0"/>
              <w:keepLines w:val="0"/>
              <w:widowControl/>
              <w:suppressLineNumbers w:val="0"/>
              <w:spacing w:before="124" w:beforeAutospacing="0" w:after="0" w:afterAutospacing="0" w:line="203" w:lineRule="auto"/>
              <w:ind w:left="337" w:right="0"/>
              <w:rPr>
                <w:rFonts w:hint="eastAsia" w:eastAsia="宋体"/>
                <w:color w:val="auto"/>
                <w:spacing w:val="0"/>
                <w:w w:val="100"/>
                <w:position w:val="0"/>
                <w:highlight w:val="none"/>
                <w:lang w:eastAsia="zh-CN"/>
              </w:rPr>
            </w:pPr>
            <w:r>
              <w:rPr>
                <w:rFonts w:hint="eastAsia"/>
                <w:b/>
                <w:bCs/>
                <w:color w:val="auto"/>
                <w:spacing w:val="0"/>
                <w:w w:val="100"/>
                <w:position w:val="0"/>
                <w:highlight w:val="none"/>
                <w:lang w:val="en-US" w:eastAsia="zh-CN"/>
              </w:rPr>
              <w:t>6</w:t>
            </w:r>
          </w:p>
        </w:tc>
        <w:tc>
          <w:tcPr>
            <w:tcW w:w="3438" w:type="dxa"/>
            <w:vAlign w:val="top"/>
          </w:tcPr>
          <w:p w14:paraId="629C8B94">
            <w:pPr>
              <w:pStyle w:val="19"/>
              <w:keepNext w:val="0"/>
              <w:keepLines w:val="0"/>
              <w:widowControl/>
              <w:suppressLineNumbers w:val="0"/>
              <w:spacing w:before="124" w:beforeAutospacing="0" w:after="0" w:afterAutospacing="0" w:line="203" w:lineRule="auto"/>
              <w:ind w:left="328" w:right="0"/>
              <w:rPr>
                <w:rFonts w:hint="default"/>
                <w:color w:val="auto"/>
                <w:spacing w:val="0"/>
                <w:w w:val="100"/>
                <w:position w:val="0"/>
                <w:highlight w:val="none"/>
              </w:rPr>
            </w:pPr>
            <w:r>
              <w:rPr>
                <w:rFonts w:hint="default"/>
                <w:b/>
                <w:bCs/>
                <w:color w:val="auto"/>
                <w:spacing w:val="0"/>
                <w:w w:val="100"/>
                <w:position w:val="0"/>
                <w:highlight w:val="none"/>
              </w:rPr>
              <w:t>专题研究</w:t>
            </w:r>
          </w:p>
        </w:tc>
        <w:tc>
          <w:tcPr>
            <w:tcW w:w="1132" w:type="dxa"/>
            <w:vAlign w:val="top"/>
          </w:tcPr>
          <w:p w14:paraId="6761D8B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0B31A01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1B1FD8C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108E468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107D1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7" w:hRule="atLeast"/>
          <w:jc w:val="center"/>
        </w:trPr>
        <w:tc>
          <w:tcPr>
            <w:tcW w:w="758" w:type="dxa"/>
            <w:vAlign w:val="top"/>
          </w:tcPr>
          <w:p w14:paraId="2253652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79C9F8B0">
            <w:pPr>
              <w:pStyle w:val="19"/>
              <w:keepNext w:val="0"/>
              <w:keepLines w:val="0"/>
              <w:widowControl/>
              <w:suppressLineNumbers w:val="0"/>
              <w:spacing w:before="127" w:beforeAutospacing="0" w:after="0" w:afterAutospacing="0" w:line="202"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4D38FB3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569832C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ED8ED6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62E5A6F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6AEF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0058C9CF">
            <w:pPr>
              <w:pStyle w:val="19"/>
              <w:keepNext w:val="0"/>
              <w:keepLines w:val="0"/>
              <w:widowControl/>
              <w:suppressLineNumbers w:val="0"/>
              <w:spacing w:before="124" w:beforeAutospacing="0" w:after="0" w:afterAutospacing="0" w:line="203" w:lineRule="auto"/>
              <w:ind w:left="279" w:right="0"/>
              <w:rPr>
                <w:rFonts w:hint="default"/>
                <w:color w:val="auto"/>
                <w:spacing w:val="0"/>
                <w:w w:val="100"/>
                <w:position w:val="0"/>
                <w:highlight w:val="none"/>
              </w:rPr>
            </w:pPr>
            <w:r>
              <w:rPr>
                <w:rFonts w:hint="default"/>
                <w:b/>
                <w:bCs/>
                <w:color w:val="auto"/>
                <w:spacing w:val="0"/>
                <w:w w:val="100"/>
                <w:position w:val="0"/>
                <w:highlight w:val="none"/>
              </w:rPr>
              <w:t>三</w:t>
            </w:r>
          </w:p>
        </w:tc>
        <w:tc>
          <w:tcPr>
            <w:tcW w:w="3438" w:type="dxa"/>
            <w:vAlign w:val="top"/>
          </w:tcPr>
          <w:p w14:paraId="3943E1BC">
            <w:pPr>
              <w:pStyle w:val="19"/>
              <w:keepNext w:val="0"/>
              <w:keepLines w:val="0"/>
              <w:widowControl/>
              <w:suppressLineNumbers w:val="0"/>
              <w:spacing w:before="124" w:beforeAutospacing="0" w:after="0" w:afterAutospacing="0" w:line="203" w:lineRule="auto"/>
              <w:ind w:left="328" w:right="0"/>
              <w:rPr>
                <w:rFonts w:hint="default"/>
                <w:color w:val="auto"/>
                <w:spacing w:val="0"/>
                <w:w w:val="100"/>
                <w:position w:val="0"/>
                <w:highlight w:val="none"/>
              </w:rPr>
            </w:pPr>
            <w:r>
              <w:rPr>
                <w:rFonts w:hint="default"/>
                <w:b/>
                <w:bCs/>
                <w:color w:val="auto"/>
                <w:spacing w:val="0"/>
                <w:w w:val="100"/>
                <w:position w:val="0"/>
                <w:highlight w:val="none"/>
              </w:rPr>
              <w:t>其他</w:t>
            </w:r>
          </w:p>
        </w:tc>
        <w:tc>
          <w:tcPr>
            <w:tcW w:w="1132" w:type="dxa"/>
            <w:vAlign w:val="top"/>
          </w:tcPr>
          <w:p w14:paraId="242FBFB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2D39F48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2B22B11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7BEF413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0DACE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758" w:type="dxa"/>
            <w:vAlign w:val="top"/>
          </w:tcPr>
          <w:p w14:paraId="68266B6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438" w:type="dxa"/>
            <w:vAlign w:val="top"/>
          </w:tcPr>
          <w:p w14:paraId="24571A4F">
            <w:pPr>
              <w:pStyle w:val="19"/>
              <w:keepNext w:val="0"/>
              <w:keepLines w:val="0"/>
              <w:widowControl/>
              <w:suppressLineNumbers w:val="0"/>
              <w:spacing w:before="124" w:beforeAutospacing="0" w:after="0" w:afterAutospacing="0" w:line="203" w:lineRule="auto"/>
              <w:ind w:left="340" w:right="0"/>
              <w:rPr>
                <w:rFonts w:hint="default"/>
                <w:color w:val="auto"/>
                <w:spacing w:val="0"/>
                <w:w w:val="100"/>
                <w:position w:val="0"/>
                <w:highlight w:val="none"/>
              </w:rPr>
            </w:pPr>
            <w:r>
              <w:rPr>
                <w:rFonts w:hint="default"/>
                <w:color w:val="auto"/>
                <w:spacing w:val="0"/>
                <w:w w:val="100"/>
                <w:position w:val="0"/>
                <w:highlight w:val="none"/>
              </w:rPr>
              <w:t>…</w:t>
            </w:r>
          </w:p>
        </w:tc>
        <w:tc>
          <w:tcPr>
            <w:tcW w:w="1132" w:type="dxa"/>
            <w:vAlign w:val="top"/>
          </w:tcPr>
          <w:p w14:paraId="34AEDE2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86" w:type="dxa"/>
            <w:vAlign w:val="top"/>
          </w:tcPr>
          <w:p w14:paraId="2807212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6" w:type="dxa"/>
            <w:vAlign w:val="top"/>
          </w:tcPr>
          <w:p w14:paraId="79521D0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30" w:type="dxa"/>
            <w:vAlign w:val="top"/>
          </w:tcPr>
          <w:p w14:paraId="3ACF75C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A6097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7720" w:type="dxa"/>
            <w:gridSpan w:val="5"/>
            <w:vAlign w:val="top"/>
          </w:tcPr>
          <w:p w14:paraId="64660CA4">
            <w:pPr>
              <w:pStyle w:val="19"/>
              <w:keepNext w:val="0"/>
              <w:keepLines w:val="0"/>
              <w:widowControl/>
              <w:suppressLineNumbers w:val="0"/>
              <w:spacing w:before="123" w:beforeAutospacing="0" w:after="0" w:afterAutospacing="0" w:line="207" w:lineRule="auto"/>
              <w:ind w:left="332" w:right="0"/>
              <w:rPr>
                <w:rFonts w:hint="default"/>
                <w:color w:val="auto"/>
                <w:spacing w:val="0"/>
                <w:w w:val="100"/>
                <w:position w:val="0"/>
                <w:highlight w:val="none"/>
              </w:rPr>
            </w:pPr>
            <w:r>
              <w:rPr>
                <w:rFonts w:hint="default"/>
                <w:b/>
                <w:bCs/>
                <w:color w:val="auto"/>
                <w:spacing w:val="0"/>
                <w:w w:val="100"/>
                <w:position w:val="0"/>
                <w:highlight w:val="none"/>
              </w:rPr>
              <w:t>合计：</w:t>
            </w:r>
          </w:p>
        </w:tc>
        <w:tc>
          <w:tcPr>
            <w:tcW w:w="1130" w:type="dxa"/>
            <w:vAlign w:val="top"/>
          </w:tcPr>
          <w:p w14:paraId="0E9B778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201F2F41">
      <w:pPr>
        <w:keepNext w:val="0"/>
        <w:keepLines w:val="0"/>
        <w:pageBreakBefore w:val="0"/>
        <w:widowControl/>
        <w:kinsoku w:val="0"/>
        <w:wordWrap/>
        <w:overflowPunct/>
        <w:topLinePunct w:val="0"/>
        <w:autoSpaceDE w:val="0"/>
        <w:autoSpaceDN w:val="0"/>
        <w:bidi w:val="0"/>
        <w:adjustRightInd w:val="0"/>
        <w:snapToGrid w:val="0"/>
        <w:spacing w:line="320" w:lineRule="exact"/>
        <w:ind w:left="420" w:right="0" w:hanging="420" w:hangingChars="20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注：1.本清单格式仅为示例，投标人应根据本招标项目工程特点和设计工作内容，分别列出并填写</w:t>
      </w:r>
    </w:p>
    <w:p w14:paraId="57D0B411">
      <w:pPr>
        <w:keepNext w:val="0"/>
        <w:keepLines w:val="0"/>
        <w:pageBreakBefore w:val="0"/>
        <w:widowControl/>
        <w:kinsoku w:val="0"/>
        <w:wordWrap/>
        <w:overflowPunct/>
        <w:topLinePunct w:val="0"/>
        <w:autoSpaceDE w:val="0"/>
        <w:autoSpaceDN w:val="0"/>
        <w:bidi w:val="0"/>
        <w:adjustRightInd w:val="0"/>
        <w:snapToGrid w:val="0"/>
        <w:spacing w:line="320" w:lineRule="exact"/>
        <w:ind w:right="0"/>
        <w:textAlignment w:val="baseline"/>
        <w:rPr>
          <w:rFonts w:hint="default" w:ascii="宋体" w:hAnsi="宋体" w:eastAsia="宋体" w:cs="宋体"/>
          <w:b/>
          <w:bCs/>
          <w:color w:val="auto"/>
          <w:sz w:val="24"/>
          <w:szCs w:val="24"/>
          <w:highlight w:val="none"/>
          <w:lang w:val="en-US" w:eastAsia="zh-CN"/>
        </w:rPr>
      </w:pPr>
      <w:r>
        <w:rPr>
          <w:rFonts w:ascii="宋体" w:hAnsi="宋体" w:eastAsia="宋体" w:cs="宋体"/>
          <w:color w:val="auto"/>
          <w:spacing w:val="0"/>
          <w:w w:val="100"/>
          <w:position w:val="0"/>
          <w:sz w:val="21"/>
          <w:szCs w:val="21"/>
          <w:highlight w:val="none"/>
        </w:rPr>
        <w:t>本表各设计项目的分项及子项。</w:t>
      </w:r>
    </w:p>
    <w:p w14:paraId="567928EC">
      <w:pPr>
        <w:keepNext w:val="0"/>
        <w:keepLines w:val="0"/>
        <w:pageBreakBefore w:val="0"/>
        <w:widowControl/>
        <w:kinsoku w:val="0"/>
        <w:wordWrap/>
        <w:overflowPunct/>
        <w:topLinePunct w:val="0"/>
        <w:autoSpaceDE w:val="0"/>
        <w:autoSpaceDN w:val="0"/>
        <w:bidi w:val="0"/>
        <w:adjustRightInd w:val="0"/>
        <w:snapToGrid w:val="0"/>
        <w:spacing w:line="320" w:lineRule="exact"/>
        <w:ind w:left="420" w:leftChars="200" w:right="0" w:firstLine="0" w:firstLineChars="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2.本清单表中“其他”是指工程设计实际需要或提供相关服务收取的费用。</w:t>
      </w:r>
    </w:p>
    <w:p w14:paraId="6684EACA">
      <w:pPr>
        <w:keepNext w:val="0"/>
        <w:keepLines w:val="0"/>
        <w:pageBreakBefore w:val="0"/>
        <w:widowControl/>
        <w:kinsoku w:val="0"/>
        <w:wordWrap/>
        <w:overflowPunct/>
        <w:topLinePunct w:val="0"/>
        <w:autoSpaceDE w:val="0"/>
        <w:autoSpaceDN w:val="0"/>
        <w:bidi w:val="0"/>
        <w:adjustRightInd w:val="0"/>
        <w:snapToGrid w:val="0"/>
        <w:spacing w:line="320" w:lineRule="exact"/>
        <w:ind w:left="420" w:leftChars="200" w:right="0" w:firstLine="0" w:firstLineChars="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3.投标人应将详细的计算说明（包括每一分项、子项的计算依据及计算过程等）附在报价清单</w:t>
      </w:r>
    </w:p>
    <w:p w14:paraId="1DE39467">
      <w:pPr>
        <w:keepNext w:val="0"/>
        <w:keepLines w:val="0"/>
        <w:pageBreakBefore w:val="0"/>
        <w:widowControl/>
        <w:kinsoku w:val="0"/>
        <w:wordWrap/>
        <w:overflowPunct/>
        <w:topLinePunct w:val="0"/>
        <w:autoSpaceDE w:val="0"/>
        <w:autoSpaceDN w:val="0"/>
        <w:bidi w:val="0"/>
        <w:adjustRightInd w:val="0"/>
        <w:snapToGrid w:val="0"/>
        <w:spacing w:line="320" w:lineRule="exact"/>
        <w:ind w:right="0"/>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后面。</w:t>
      </w:r>
    </w:p>
    <w:p w14:paraId="1F9A4964">
      <w:pPr>
        <w:pStyle w:val="6"/>
        <w:spacing w:before="102" w:line="219" w:lineRule="auto"/>
        <w:jc w:val="center"/>
        <w:outlineLvl w:val="1"/>
        <w:rPr>
          <w:color w:val="auto"/>
          <w:spacing w:val="0"/>
          <w:w w:val="100"/>
          <w:position w:val="0"/>
          <w:sz w:val="28"/>
          <w:szCs w:val="28"/>
          <w:highlight w:val="none"/>
        </w:rPr>
      </w:pPr>
    </w:p>
    <w:p w14:paraId="2BE9ABDA">
      <w:pPr>
        <w:spacing w:before="101" w:line="224" w:lineRule="auto"/>
        <w:ind w:left="3231"/>
        <w:outlineLvl w:val="2"/>
        <w:rPr>
          <w:rFonts w:ascii="宋体" w:hAnsi="宋体" w:eastAsia="宋体" w:cs="宋体"/>
          <w:color w:val="auto"/>
          <w:spacing w:val="0"/>
          <w:w w:val="100"/>
          <w:position w:val="0"/>
          <w:sz w:val="31"/>
          <w:szCs w:val="31"/>
          <w:highlight w:val="none"/>
        </w:rPr>
      </w:pPr>
      <w:r>
        <w:rPr>
          <w:rFonts w:hint="eastAsia" w:ascii="宋体" w:hAnsi="宋体" w:eastAsia="宋体" w:cs="宋体"/>
          <w:b/>
          <w:bCs/>
          <w:color w:val="auto"/>
          <w:spacing w:val="0"/>
          <w:w w:val="100"/>
          <w:position w:val="0"/>
          <w:sz w:val="31"/>
          <w:szCs w:val="31"/>
          <w:highlight w:val="none"/>
          <w:lang w:eastAsia="zh-CN"/>
        </w:rPr>
        <w:t>（</w:t>
      </w:r>
      <w:r>
        <w:rPr>
          <w:rFonts w:hint="eastAsia" w:ascii="宋体" w:hAnsi="宋体" w:eastAsia="宋体" w:cs="宋体"/>
          <w:b/>
          <w:bCs/>
          <w:color w:val="auto"/>
          <w:spacing w:val="0"/>
          <w:w w:val="100"/>
          <w:position w:val="0"/>
          <w:sz w:val="31"/>
          <w:szCs w:val="31"/>
          <w:highlight w:val="none"/>
          <w:lang w:val="en-US" w:eastAsia="zh-CN"/>
        </w:rPr>
        <w:t>六</w:t>
      </w:r>
      <w:r>
        <w:rPr>
          <w:rFonts w:hint="eastAsia" w:ascii="宋体" w:hAnsi="宋体" w:eastAsia="宋体" w:cs="宋体"/>
          <w:b/>
          <w:bCs/>
          <w:color w:val="auto"/>
          <w:spacing w:val="0"/>
          <w:w w:val="100"/>
          <w:position w:val="0"/>
          <w:sz w:val="31"/>
          <w:szCs w:val="31"/>
          <w:highlight w:val="none"/>
          <w:lang w:eastAsia="zh-CN"/>
        </w:rPr>
        <w:t>）</w:t>
      </w:r>
      <w:r>
        <w:rPr>
          <w:rFonts w:ascii="宋体" w:hAnsi="宋体" w:eastAsia="宋体" w:cs="宋体"/>
          <w:b/>
          <w:bCs/>
          <w:color w:val="auto"/>
          <w:spacing w:val="0"/>
          <w:w w:val="100"/>
          <w:position w:val="0"/>
          <w:sz w:val="31"/>
          <w:szCs w:val="31"/>
          <w:highlight w:val="none"/>
        </w:rPr>
        <w:t>其他材料</w:t>
      </w:r>
    </w:p>
    <w:p w14:paraId="42D457C5">
      <w:pPr>
        <w:spacing w:line="224" w:lineRule="auto"/>
        <w:rPr>
          <w:rFonts w:ascii="宋体" w:hAnsi="宋体" w:eastAsia="宋体" w:cs="宋体"/>
          <w:color w:val="auto"/>
          <w:spacing w:val="0"/>
          <w:w w:val="100"/>
          <w:position w:val="0"/>
          <w:sz w:val="31"/>
          <w:szCs w:val="31"/>
          <w:highlight w:val="none"/>
        </w:rPr>
        <w:sectPr>
          <w:headerReference r:id="rId95" w:type="default"/>
          <w:footerReference r:id="rId96" w:type="default"/>
          <w:pgSz w:w="11900" w:h="16843"/>
          <w:pgMar w:top="1378" w:right="1417" w:bottom="1208" w:left="1417" w:header="1366" w:footer="1003" w:gutter="0"/>
          <w:pgNumType w:fmt="decimal"/>
          <w:cols w:space="0" w:num="1"/>
          <w:rtlGutter w:val="0"/>
          <w:docGrid w:linePitch="0" w:charSpace="0"/>
        </w:sectPr>
      </w:pPr>
    </w:p>
    <w:p w14:paraId="556DC79C">
      <w:pPr>
        <w:spacing w:before="182" w:line="225" w:lineRule="auto"/>
        <w:ind w:left="905"/>
        <w:outlineLvl w:val="2"/>
        <w:rPr>
          <w:rFonts w:ascii="宋体" w:hAnsi="宋体" w:eastAsia="宋体" w:cs="宋体"/>
          <w:color w:val="auto"/>
          <w:spacing w:val="0"/>
          <w:w w:val="100"/>
          <w:position w:val="0"/>
          <w:sz w:val="31"/>
          <w:szCs w:val="31"/>
          <w:highlight w:val="none"/>
        </w:rPr>
      </w:pPr>
      <w:bookmarkStart w:id="55" w:name="bookmark51"/>
      <w:bookmarkEnd w:id="55"/>
      <w:r>
        <w:rPr>
          <w:rFonts w:ascii="宋体" w:hAnsi="宋体" w:eastAsia="宋体" w:cs="宋体"/>
          <w:b/>
          <w:bCs/>
          <w:color w:val="auto"/>
          <w:spacing w:val="0"/>
          <w:w w:val="100"/>
          <w:position w:val="0"/>
          <w:sz w:val="31"/>
          <w:szCs w:val="31"/>
          <w:highlight w:val="none"/>
        </w:rPr>
        <w:t>二、勘察设计咨询费用清单（适用于</w:t>
      </w:r>
      <w:r>
        <w:rPr>
          <w:rFonts w:ascii="宋体" w:hAnsi="宋体" w:eastAsia="宋体" w:cs="宋体"/>
          <w:color w:val="auto"/>
          <w:spacing w:val="0"/>
          <w:w w:val="100"/>
          <w:position w:val="0"/>
          <w:sz w:val="31"/>
          <w:szCs w:val="31"/>
          <w:highlight w:val="none"/>
        </w:rPr>
        <w:t xml:space="preserve"> </w:t>
      </w:r>
      <w:r>
        <w:rPr>
          <w:rFonts w:ascii="宋体" w:hAnsi="宋体" w:eastAsia="宋体" w:cs="宋体"/>
          <w:b/>
          <w:bCs/>
          <w:color w:val="auto"/>
          <w:spacing w:val="0"/>
          <w:w w:val="100"/>
          <w:position w:val="0"/>
          <w:sz w:val="31"/>
          <w:szCs w:val="31"/>
          <w:highlight w:val="none"/>
        </w:rPr>
        <w:t>02</w:t>
      </w:r>
      <w:r>
        <w:rPr>
          <w:rFonts w:ascii="宋体" w:hAnsi="宋体" w:eastAsia="宋体" w:cs="宋体"/>
          <w:color w:val="auto"/>
          <w:spacing w:val="0"/>
          <w:w w:val="100"/>
          <w:position w:val="0"/>
          <w:sz w:val="31"/>
          <w:szCs w:val="31"/>
          <w:highlight w:val="none"/>
        </w:rPr>
        <w:t xml:space="preserve"> </w:t>
      </w:r>
      <w:r>
        <w:rPr>
          <w:rFonts w:ascii="宋体" w:hAnsi="宋体" w:eastAsia="宋体" w:cs="宋体"/>
          <w:b/>
          <w:bCs/>
          <w:color w:val="auto"/>
          <w:spacing w:val="0"/>
          <w:w w:val="100"/>
          <w:position w:val="0"/>
          <w:sz w:val="31"/>
          <w:szCs w:val="31"/>
          <w:highlight w:val="none"/>
        </w:rPr>
        <w:t>标段）</w:t>
      </w:r>
    </w:p>
    <w:p w14:paraId="211C0ECF">
      <w:pPr>
        <w:spacing w:line="424" w:lineRule="auto"/>
        <w:rPr>
          <w:rFonts w:ascii="Arial"/>
          <w:color w:val="auto"/>
          <w:spacing w:val="0"/>
          <w:w w:val="100"/>
          <w:position w:val="0"/>
          <w:sz w:val="21"/>
          <w:highlight w:val="none"/>
        </w:rPr>
      </w:pPr>
    </w:p>
    <w:p w14:paraId="3213F2BF">
      <w:pPr>
        <w:pStyle w:val="6"/>
        <w:spacing w:before="91" w:line="219" w:lineRule="auto"/>
        <w:ind w:left="2951"/>
        <w:outlineLvl w:val="3"/>
        <w:rPr>
          <w:color w:val="auto"/>
          <w:spacing w:val="0"/>
          <w:w w:val="100"/>
          <w:position w:val="0"/>
          <w:sz w:val="28"/>
          <w:szCs w:val="28"/>
          <w:highlight w:val="none"/>
        </w:rPr>
      </w:pPr>
      <w:r>
        <w:rPr>
          <w:color w:val="auto"/>
          <w:spacing w:val="0"/>
          <w:w w:val="100"/>
          <w:position w:val="0"/>
          <w:sz w:val="28"/>
          <w:szCs w:val="28"/>
          <w:highlight w:val="none"/>
        </w:rPr>
        <w:t>（一）报价清单说明</w:t>
      </w:r>
    </w:p>
    <w:p w14:paraId="6734FF42">
      <w:pPr>
        <w:spacing w:line="392" w:lineRule="auto"/>
        <w:rPr>
          <w:rFonts w:ascii="Arial"/>
          <w:color w:val="auto"/>
          <w:spacing w:val="0"/>
          <w:w w:val="100"/>
          <w:position w:val="0"/>
          <w:sz w:val="21"/>
          <w:highlight w:val="none"/>
        </w:rPr>
      </w:pPr>
    </w:p>
    <w:p w14:paraId="6CE0D6E1">
      <w:pPr>
        <w:keepNext w:val="0"/>
        <w:keepLines w:val="0"/>
        <w:pageBreakBefore w:val="0"/>
        <w:widowControl/>
        <w:kinsoku w:val="0"/>
        <w:wordWrap/>
        <w:overflowPunct/>
        <w:topLinePunct w:val="0"/>
        <w:autoSpaceDE w:val="0"/>
        <w:autoSpaceDN w:val="0"/>
        <w:bidi w:val="0"/>
        <w:adjustRightInd w:val="0"/>
        <w:snapToGrid w:val="0"/>
        <w:spacing w:line="440" w:lineRule="exact"/>
        <w:ind w:left="37" w:right="24" w:firstLine="494"/>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 “报价清单”应与“投标人须知”“通用合同条款”“专用合同条款”和“发包  人要求”一起使用。投标人应按照本招标文件规定的咨询工作内容和计划工作量，认真阅读分析本招标项目原始资料，在编制完成技术建议书的前提下，慎重提出“报价清单”，并以此做为本招标项目咨询费的基础。</w:t>
      </w:r>
    </w:p>
    <w:p w14:paraId="7109F0AB">
      <w:pPr>
        <w:keepNext w:val="0"/>
        <w:keepLines w:val="0"/>
        <w:pageBreakBefore w:val="0"/>
        <w:widowControl/>
        <w:kinsoku w:val="0"/>
        <w:wordWrap/>
        <w:overflowPunct/>
        <w:topLinePunct w:val="0"/>
        <w:autoSpaceDE w:val="0"/>
        <w:autoSpaceDN w:val="0"/>
        <w:bidi w:val="0"/>
        <w:adjustRightInd w:val="0"/>
        <w:snapToGrid w:val="0"/>
        <w:spacing w:line="440" w:lineRule="exact"/>
        <w:ind w:left="36" w:right="23" w:firstLine="483"/>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 设计人应按照国家有关工程建设标准强制性条文和交通运输部有关标准、规范、规程、定额、办法、示例等要求的内容和深度，开展本招标项目的咨询工作，并将咨询费用计入相应的报价项目中。“报价清单”所列的报价，应包括设计咨询、地勘监理和交通安全评价报告编制等为完成本招标项目勘察设计全过程咨询的一切费用。</w:t>
      </w:r>
    </w:p>
    <w:p w14:paraId="3D905DE0">
      <w:pPr>
        <w:keepNext w:val="0"/>
        <w:keepLines w:val="0"/>
        <w:pageBreakBefore w:val="0"/>
        <w:widowControl/>
        <w:kinsoku w:val="0"/>
        <w:wordWrap/>
        <w:overflowPunct/>
        <w:topLinePunct w:val="0"/>
        <w:autoSpaceDE w:val="0"/>
        <w:autoSpaceDN w:val="0"/>
        <w:bidi w:val="0"/>
        <w:adjustRightInd w:val="0"/>
        <w:snapToGrid w:val="0"/>
        <w:spacing w:line="440" w:lineRule="exact"/>
        <w:ind w:left="38" w:right="24" w:firstLine="482"/>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3. “报价清单”为通用表格，投标人应根据本招标项目工作内容，按照表格格式详细填写，以免遗漏或有误。投标人没有报价的项目，发包人将认为有关费用已包含在其他项目之中，不另行支付。凡清单项目中未包含的但在咨询服务中又必须完成的工作内容，均被认为已包含在清单各项目报价中，发包人不另行支付。</w:t>
      </w:r>
    </w:p>
    <w:p w14:paraId="04B7EF06">
      <w:pPr>
        <w:keepNext w:val="0"/>
        <w:keepLines w:val="0"/>
        <w:pageBreakBefore w:val="0"/>
        <w:widowControl/>
        <w:kinsoku w:val="0"/>
        <w:wordWrap/>
        <w:overflowPunct/>
        <w:topLinePunct w:val="0"/>
        <w:autoSpaceDE w:val="0"/>
        <w:autoSpaceDN w:val="0"/>
        <w:bidi w:val="0"/>
        <w:adjustRightInd w:val="0"/>
        <w:snapToGrid w:val="0"/>
        <w:spacing w:line="440" w:lineRule="exact"/>
        <w:ind w:left="516"/>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4. 投标人在“报价清单”中报价应以人民币为单位。</w:t>
      </w:r>
    </w:p>
    <w:p w14:paraId="53A094A5">
      <w:pPr>
        <w:keepNext w:val="0"/>
        <w:keepLines w:val="0"/>
        <w:pageBreakBefore w:val="0"/>
        <w:widowControl/>
        <w:kinsoku w:val="0"/>
        <w:wordWrap/>
        <w:overflowPunct/>
        <w:topLinePunct w:val="0"/>
        <w:autoSpaceDE w:val="0"/>
        <w:autoSpaceDN w:val="0"/>
        <w:bidi w:val="0"/>
        <w:adjustRightInd w:val="0"/>
        <w:snapToGrid w:val="0"/>
        <w:spacing w:line="440" w:lineRule="exact"/>
        <w:ind w:left="37" w:right="26" w:firstLine="483"/>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5. 投标人应在“报价清单”后附详细的计算说明，包括计算方法、取费依据等，以便招标人对投标人报价的合理性作出判断。</w:t>
      </w:r>
    </w:p>
    <w:p w14:paraId="4F5330A0">
      <w:pPr>
        <w:keepNext w:val="0"/>
        <w:keepLines w:val="0"/>
        <w:pageBreakBefore w:val="0"/>
        <w:widowControl/>
        <w:kinsoku w:val="0"/>
        <w:wordWrap/>
        <w:overflowPunct/>
        <w:topLinePunct w:val="0"/>
        <w:autoSpaceDE w:val="0"/>
        <w:autoSpaceDN w:val="0"/>
        <w:bidi w:val="0"/>
        <w:adjustRightInd w:val="0"/>
        <w:snapToGrid w:val="0"/>
        <w:spacing w:line="440" w:lineRule="exact"/>
        <w:ind w:left="37" w:right="28" w:firstLine="481"/>
        <w:textAlignment w:val="baseline"/>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6. 本标段提供的报价清单供投标人参考使用，不做限制性要求，具体格式由投标人自拟。</w:t>
      </w:r>
    </w:p>
    <w:p w14:paraId="382E161C">
      <w:pPr>
        <w:keepNext w:val="0"/>
        <w:keepLines w:val="0"/>
        <w:pageBreakBefore w:val="0"/>
        <w:widowControl/>
        <w:kinsoku w:val="0"/>
        <w:wordWrap/>
        <w:overflowPunct/>
        <w:topLinePunct w:val="0"/>
        <w:autoSpaceDE w:val="0"/>
        <w:autoSpaceDN w:val="0"/>
        <w:bidi w:val="0"/>
        <w:adjustRightInd w:val="0"/>
        <w:snapToGrid w:val="0"/>
        <w:spacing w:line="440" w:lineRule="exact"/>
        <w:textAlignment w:val="baseline"/>
        <w:rPr>
          <w:rFonts w:ascii="宋体" w:hAnsi="宋体" w:eastAsia="宋体" w:cs="宋体"/>
          <w:color w:val="auto"/>
          <w:spacing w:val="0"/>
          <w:w w:val="100"/>
          <w:position w:val="0"/>
          <w:sz w:val="21"/>
          <w:szCs w:val="21"/>
          <w:highlight w:val="none"/>
        </w:rPr>
        <w:sectPr>
          <w:headerReference r:id="rId97" w:type="default"/>
          <w:footerReference r:id="rId98" w:type="default"/>
          <w:pgSz w:w="11900" w:h="16843"/>
          <w:pgMar w:top="1378" w:right="1417" w:bottom="1208" w:left="1417" w:header="1366" w:footer="1003" w:gutter="0"/>
          <w:pgNumType w:fmt="decimal"/>
          <w:cols w:space="0" w:num="1"/>
          <w:rtlGutter w:val="0"/>
          <w:docGrid w:linePitch="0" w:charSpace="0"/>
        </w:sectPr>
      </w:pPr>
    </w:p>
    <w:p w14:paraId="34D418FA">
      <w:pPr>
        <w:pStyle w:val="6"/>
        <w:spacing w:before="105" w:line="219" w:lineRule="auto"/>
        <w:jc w:val="center"/>
        <w:outlineLvl w:val="3"/>
        <w:rPr>
          <w:color w:val="auto"/>
          <w:spacing w:val="0"/>
          <w:w w:val="100"/>
          <w:position w:val="0"/>
          <w:sz w:val="28"/>
          <w:szCs w:val="28"/>
          <w:highlight w:val="none"/>
        </w:rPr>
      </w:pPr>
      <w:bookmarkStart w:id="56" w:name="bookmark53"/>
      <w:bookmarkEnd w:id="56"/>
      <w:bookmarkStart w:id="57" w:name="bookmark52"/>
      <w:bookmarkEnd w:id="57"/>
      <w:r>
        <w:rPr>
          <w:b/>
          <w:bCs/>
          <w:color w:val="auto"/>
          <w:spacing w:val="0"/>
          <w:w w:val="100"/>
          <w:position w:val="0"/>
          <w:sz w:val="28"/>
          <w:szCs w:val="28"/>
          <w:highlight w:val="none"/>
        </w:rPr>
        <w:t>（二）报价清单汇总表</w:t>
      </w:r>
    </w:p>
    <w:p w14:paraId="2AD89B96">
      <w:pPr>
        <w:spacing w:before="212" w:line="212" w:lineRule="auto"/>
        <w:ind w:left="404"/>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第</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 xml:space="preserve"> 标段                                                  单位：人民币元</w:t>
      </w:r>
    </w:p>
    <w:tbl>
      <w:tblPr>
        <w:tblStyle w:val="18"/>
        <w:tblW w:w="909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3"/>
        <w:gridCol w:w="3630"/>
        <w:gridCol w:w="1619"/>
        <w:gridCol w:w="2872"/>
      </w:tblGrid>
      <w:tr w14:paraId="199E3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jc w:val="center"/>
        </w:trPr>
        <w:tc>
          <w:tcPr>
            <w:tcW w:w="973" w:type="dxa"/>
            <w:vAlign w:val="top"/>
          </w:tcPr>
          <w:p w14:paraId="34862A33">
            <w:pPr>
              <w:pStyle w:val="19"/>
              <w:keepNext w:val="0"/>
              <w:keepLines w:val="0"/>
              <w:widowControl/>
              <w:suppressLineNumbers w:val="0"/>
              <w:spacing w:before="132" w:beforeAutospacing="0" w:after="0" w:afterAutospacing="0" w:line="222" w:lineRule="auto"/>
              <w:ind w:left="160" w:right="0"/>
              <w:rPr>
                <w:rFonts w:hint="default"/>
                <w:color w:val="auto"/>
                <w:spacing w:val="0"/>
                <w:w w:val="100"/>
                <w:position w:val="0"/>
                <w:highlight w:val="none"/>
              </w:rPr>
            </w:pPr>
            <w:r>
              <w:rPr>
                <w:rFonts w:hint="default"/>
                <w:color w:val="auto"/>
                <w:spacing w:val="0"/>
                <w:w w:val="100"/>
                <w:position w:val="0"/>
                <w:highlight w:val="none"/>
              </w:rPr>
              <w:t>序号</w:t>
            </w:r>
          </w:p>
        </w:tc>
        <w:tc>
          <w:tcPr>
            <w:tcW w:w="3630" w:type="dxa"/>
            <w:vAlign w:val="top"/>
          </w:tcPr>
          <w:p w14:paraId="26C8E1CC">
            <w:pPr>
              <w:pStyle w:val="19"/>
              <w:keepNext w:val="0"/>
              <w:keepLines w:val="0"/>
              <w:widowControl/>
              <w:suppressLineNumbers w:val="0"/>
              <w:spacing w:before="133" w:beforeAutospacing="0" w:after="0" w:afterAutospacing="0" w:line="221" w:lineRule="auto"/>
              <w:ind w:left="1621" w:right="0"/>
              <w:rPr>
                <w:rFonts w:hint="default"/>
                <w:color w:val="auto"/>
                <w:spacing w:val="0"/>
                <w:w w:val="100"/>
                <w:position w:val="0"/>
                <w:highlight w:val="none"/>
              </w:rPr>
            </w:pPr>
            <w:r>
              <w:rPr>
                <w:rFonts w:hint="default"/>
                <w:color w:val="auto"/>
                <w:spacing w:val="0"/>
                <w:w w:val="100"/>
                <w:position w:val="0"/>
                <w:highlight w:val="none"/>
              </w:rPr>
              <w:t>项目</w:t>
            </w:r>
          </w:p>
        </w:tc>
        <w:tc>
          <w:tcPr>
            <w:tcW w:w="1619" w:type="dxa"/>
            <w:vAlign w:val="top"/>
          </w:tcPr>
          <w:p w14:paraId="06A1132E">
            <w:pPr>
              <w:pStyle w:val="19"/>
              <w:keepNext w:val="0"/>
              <w:keepLines w:val="0"/>
              <w:widowControl/>
              <w:suppressLineNumbers w:val="0"/>
              <w:spacing w:before="133" w:beforeAutospacing="0" w:after="0" w:afterAutospacing="0" w:line="221" w:lineRule="auto"/>
              <w:ind w:left="0" w:right="22"/>
              <w:jc w:val="right"/>
              <w:rPr>
                <w:rFonts w:hint="default"/>
                <w:color w:val="auto"/>
                <w:spacing w:val="0"/>
                <w:w w:val="100"/>
                <w:position w:val="0"/>
                <w:highlight w:val="none"/>
              </w:rPr>
            </w:pPr>
            <w:r>
              <w:rPr>
                <w:rFonts w:hint="default"/>
                <w:color w:val="auto"/>
                <w:spacing w:val="0"/>
                <w:w w:val="100"/>
                <w:position w:val="0"/>
                <w:highlight w:val="none"/>
              </w:rPr>
              <w:t>费用合计（元）</w:t>
            </w:r>
          </w:p>
        </w:tc>
        <w:tc>
          <w:tcPr>
            <w:tcW w:w="2872" w:type="dxa"/>
            <w:vAlign w:val="top"/>
          </w:tcPr>
          <w:p w14:paraId="29FA4DDC">
            <w:pPr>
              <w:pStyle w:val="19"/>
              <w:keepNext w:val="0"/>
              <w:keepLines w:val="0"/>
              <w:widowControl/>
              <w:suppressLineNumbers w:val="0"/>
              <w:spacing w:before="132" w:beforeAutospacing="0" w:after="0" w:afterAutospacing="0" w:line="222" w:lineRule="auto"/>
              <w:ind w:left="1063" w:right="0"/>
              <w:rPr>
                <w:rFonts w:hint="default"/>
                <w:color w:val="auto"/>
                <w:spacing w:val="0"/>
                <w:w w:val="100"/>
                <w:position w:val="0"/>
                <w:highlight w:val="none"/>
              </w:rPr>
            </w:pPr>
            <w:r>
              <w:rPr>
                <w:rFonts w:hint="default"/>
                <w:color w:val="auto"/>
                <w:spacing w:val="0"/>
                <w:w w:val="100"/>
                <w:position w:val="0"/>
                <w:highlight w:val="none"/>
              </w:rPr>
              <w:t>备注</w:t>
            </w:r>
          </w:p>
        </w:tc>
      </w:tr>
      <w:tr w14:paraId="58BFB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973" w:type="dxa"/>
            <w:vAlign w:val="top"/>
          </w:tcPr>
          <w:p w14:paraId="1F26A008">
            <w:pPr>
              <w:pStyle w:val="19"/>
              <w:keepNext w:val="0"/>
              <w:keepLines w:val="0"/>
              <w:widowControl/>
              <w:suppressLineNumbers w:val="0"/>
              <w:spacing w:before="118" w:beforeAutospacing="0" w:after="0" w:afterAutospacing="0" w:line="233" w:lineRule="auto"/>
              <w:ind w:left="273" w:right="0"/>
              <w:rPr>
                <w:rFonts w:hint="default"/>
                <w:color w:val="auto"/>
                <w:spacing w:val="0"/>
                <w:w w:val="100"/>
                <w:position w:val="0"/>
                <w:highlight w:val="none"/>
              </w:rPr>
            </w:pPr>
            <w:r>
              <w:rPr>
                <w:rFonts w:hint="default"/>
                <w:color w:val="auto"/>
                <w:spacing w:val="0"/>
                <w:w w:val="100"/>
                <w:position w:val="0"/>
                <w:highlight w:val="none"/>
              </w:rPr>
              <w:t>（1）</w:t>
            </w:r>
          </w:p>
        </w:tc>
        <w:tc>
          <w:tcPr>
            <w:tcW w:w="3630" w:type="dxa"/>
            <w:vAlign w:val="top"/>
          </w:tcPr>
          <w:p w14:paraId="10D3BA18">
            <w:pPr>
              <w:pStyle w:val="19"/>
              <w:keepNext w:val="0"/>
              <w:keepLines w:val="0"/>
              <w:widowControl/>
              <w:suppressLineNumbers w:val="0"/>
              <w:spacing w:before="167" w:beforeAutospacing="0" w:after="0" w:afterAutospacing="0" w:line="221" w:lineRule="auto"/>
              <w:ind w:left="892" w:right="0"/>
              <w:rPr>
                <w:rFonts w:hint="default"/>
                <w:color w:val="auto"/>
                <w:spacing w:val="0"/>
                <w:w w:val="100"/>
                <w:position w:val="0"/>
                <w:highlight w:val="none"/>
              </w:rPr>
            </w:pPr>
            <w:r>
              <w:rPr>
                <w:rFonts w:hint="default"/>
                <w:color w:val="auto"/>
                <w:spacing w:val="0"/>
                <w:w w:val="100"/>
                <w:position w:val="0"/>
                <w:highlight w:val="none"/>
              </w:rPr>
              <w:t>工可阶段咨询工作费</w:t>
            </w:r>
          </w:p>
        </w:tc>
        <w:tc>
          <w:tcPr>
            <w:tcW w:w="1619" w:type="dxa"/>
            <w:vAlign w:val="top"/>
          </w:tcPr>
          <w:p w14:paraId="60E2F75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872" w:type="dxa"/>
            <w:vAlign w:val="top"/>
          </w:tcPr>
          <w:p w14:paraId="0925944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945B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973" w:type="dxa"/>
            <w:vAlign w:val="top"/>
          </w:tcPr>
          <w:p w14:paraId="23C7E306">
            <w:pPr>
              <w:pStyle w:val="19"/>
              <w:keepNext w:val="0"/>
              <w:keepLines w:val="0"/>
              <w:widowControl/>
              <w:suppressLineNumbers w:val="0"/>
              <w:spacing w:before="111" w:beforeAutospacing="0" w:after="0" w:afterAutospacing="0" w:line="233" w:lineRule="auto"/>
              <w:ind w:left="273" w:right="0"/>
              <w:rPr>
                <w:rFonts w:hint="default"/>
                <w:color w:val="auto"/>
                <w:spacing w:val="0"/>
                <w:w w:val="100"/>
                <w:position w:val="0"/>
                <w:highlight w:val="none"/>
              </w:rPr>
            </w:pPr>
            <w:r>
              <w:rPr>
                <w:rFonts w:hint="default"/>
                <w:color w:val="auto"/>
                <w:spacing w:val="0"/>
                <w:w w:val="100"/>
                <w:position w:val="0"/>
                <w:highlight w:val="none"/>
              </w:rPr>
              <w:t>（2）</w:t>
            </w:r>
          </w:p>
        </w:tc>
        <w:tc>
          <w:tcPr>
            <w:tcW w:w="3630" w:type="dxa"/>
            <w:vAlign w:val="top"/>
          </w:tcPr>
          <w:p w14:paraId="691A4FB0">
            <w:pPr>
              <w:pStyle w:val="19"/>
              <w:keepNext w:val="0"/>
              <w:keepLines w:val="0"/>
              <w:widowControl/>
              <w:suppressLineNumbers w:val="0"/>
              <w:spacing w:before="162" w:beforeAutospacing="0" w:after="0" w:afterAutospacing="0" w:line="221" w:lineRule="auto"/>
              <w:ind w:left="678" w:right="0"/>
              <w:rPr>
                <w:rFonts w:hint="default"/>
                <w:color w:val="auto"/>
                <w:spacing w:val="0"/>
                <w:w w:val="100"/>
                <w:position w:val="0"/>
                <w:highlight w:val="none"/>
              </w:rPr>
            </w:pPr>
            <w:r>
              <w:rPr>
                <w:rFonts w:hint="default"/>
                <w:color w:val="auto"/>
                <w:spacing w:val="0"/>
                <w:w w:val="100"/>
                <w:position w:val="0"/>
                <w:highlight w:val="none"/>
              </w:rPr>
              <w:t>初步设计阶段咨询工作费</w:t>
            </w:r>
          </w:p>
        </w:tc>
        <w:tc>
          <w:tcPr>
            <w:tcW w:w="1619" w:type="dxa"/>
            <w:vAlign w:val="top"/>
          </w:tcPr>
          <w:p w14:paraId="44EA49C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872" w:type="dxa"/>
            <w:vAlign w:val="top"/>
          </w:tcPr>
          <w:p w14:paraId="06EA19D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3A38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jc w:val="center"/>
        </w:trPr>
        <w:tc>
          <w:tcPr>
            <w:tcW w:w="973" w:type="dxa"/>
            <w:vAlign w:val="top"/>
          </w:tcPr>
          <w:p w14:paraId="1D931FCB">
            <w:pPr>
              <w:pStyle w:val="19"/>
              <w:keepNext w:val="0"/>
              <w:keepLines w:val="0"/>
              <w:widowControl/>
              <w:suppressLineNumbers w:val="0"/>
              <w:spacing w:before="187" w:beforeAutospacing="0" w:after="0" w:afterAutospacing="0" w:line="233" w:lineRule="auto"/>
              <w:ind w:left="273" w:right="0"/>
              <w:rPr>
                <w:rFonts w:hint="default"/>
                <w:color w:val="auto"/>
                <w:spacing w:val="0"/>
                <w:w w:val="100"/>
                <w:position w:val="0"/>
                <w:highlight w:val="none"/>
              </w:rPr>
            </w:pPr>
            <w:r>
              <w:rPr>
                <w:rFonts w:hint="default"/>
                <w:color w:val="auto"/>
                <w:spacing w:val="0"/>
                <w:w w:val="100"/>
                <w:position w:val="0"/>
                <w:highlight w:val="none"/>
              </w:rPr>
              <w:t>（3）</w:t>
            </w:r>
          </w:p>
        </w:tc>
        <w:tc>
          <w:tcPr>
            <w:tcW w:w="3630" w:type="dxa"/>
            <w:vAlign w:val="top"/>
          </w:tcPr>
          <w:p w14:paraId="6C49AE69">
            <w:pPr>
              <w:pStyle w:val="19"/>
              <w:keepNext w:val="0"/>
              <w:keepLines w:val="0"/>
              <w:widowControl/>
              <w:suppressLineNumbers w:val="0"/>
              <w:spacing w:before="187" w:beforeAutospacing="0" w:after="0" w:afterAutospacing="0" w:line="221" w:lineRule="auto"/>
              <w:ind w:left="574" w:right="0"/>
              <w:rPr>
                <w:rFonts w:hint="default"/>
                <w:color w:val="auto"/>
                <w:spacing w:val="0"/>
                <w:w w:val="100"/>
                <w:position w:val="0"/>
                <w:highlight w:val="none"/>
              </w:rPr>
            </w:pPr>
            <w:r>
              <w:rPr>
                <w:rFonts w:hint="default"/>
                <w:color w:val="auto"/>
                <w:spacing w:val="0"/>
                <w:w w:val="100"/>
                <w:position w:val="0"/>
                <w:highlight w:val="none"/>
              </w:rPr>
              <w:t>施工图设计阶段咨询工作费</w:t>
            </w:r>
          </w:p>
        </w:tc>
        <w:tc>
          <w:tcPr>
            <w:tcW w:w="1619" w:type="dxa"/>
            <w:vAlign w:val="top"/>
          </w:tcPr>
          <w:p w14:paraId="78384F7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872" w:type="dxa"/>
            <w:vAlign w:val="top"/>
          </w:tcPr>
          <w:p w14:paraId="522BFD9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E3C2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973" w:type="dxa"/>
            <w:vAlign w:val="top"/>
          </w:tcPr>
          <w:p w14:paraId="0523A597">
            <w:pPr>
              <w:pStyle w:val="19"/>
              <w:keepNext w:val="0"/>
              <w:keepLines w:val="0"/>
              <w:widowControl/>
              <w:suppressLineNumbers w:val="0"/>
              <w:spacing w:before="127" w:beforeAutospacing="0" w:after="0" w:afterAutospacing="0" w:line="233" w:lineRule="auto"/>
              <w:ind w:left="273" w:right="0"/>
              <w:rPr>
                <w:rFonts w:hint="default"/>
                <w:color w:val="auto"/>
                <w:spacing w:val="0"/>
                <w:w w:val="100"/>
                <w:position w:val="0"/>
                <w:highlight w:val="none"/>
              </w:rPr>
            </w:pPr>
            <w:r>
              <w:rPr>
                <w:rFonts w:hint="default"/>
                <w:color w:val="auto"/>
                <w:spacing w:val="0"/>
                <w:w w:val="100"/>
                <w:position w:val="0"/>
                <w:highlight w:val="none"/>
              </w:rPr>
              <w:t>（4）</w:t>
            </w:r>
          </w:p>
        </w:tc>
        <w:tc>
          <w:tcPr>
            <w:tcW w:w="3630" w:type="dxa"/>
            <w:vAlign w:val="top"/>
          </w:tcPr>
          <w:p w14:paraId="3F41AD64">
            <w:pPr>
              <w:pStyle w:val="19"/>
              <w:keepNext w:val="0"/>
              <w:keepLines w:val="0"/>
              <w:widowControl/>
              <w:suppressLineNumbers w:val="0"/>
              <w:spacing w:before="168" w:beforeAutospacing="0" w:after="0" w:afterAutospacing="0" w:line="221" w:lineRule="auto"/>
              <w:ind w:left="1307" w:right="0"/>
              <w:rPr>
                <w:rFonts w:hint="default"/>
                <w:color w:val="auto"/>
                <w:spacing w:val="0"/>
                <w:w w:val="100"/>
                <w:position w:val="0"/>
                <w:highlight w:val="none"/>
              </w:rPr>
            </w:pPr>
            <w:r>
              <w:rPr>
                <w:rFonts w:hint="default"/>
                <w:color w:val="auto"/>
                <w:spacing w:val="0"/>
                <w:w w:val="100"/>
                <w:position w:val="0"/>
                <w:highlight w:val="none"/>
              </w:rPr>
              <w:t>地勘监理费</w:t>
            </w:r>
          </w:p>
        </w:tc>
        <w:tc>
          <w:tcPr>
            <w:tcW w:w="1619" w:type="dxa"/>
            <w:vAlign w:val="top"/>
          </w:tcPr>
          <w:p w14:paraId="17D4C4F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872" w:type="dxa"/>
            <w:vAlign w:val="top"/>
          </w:tcPr>
          <w:p w14:paraId="17A31E1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438F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jc w:val="center"/>
        </w:trPr>
        <w:tc>
          <w:tcPr>
            <w:tcW w:w="973" w:type="dxa"/>
            <w:vAlign w:val="top"/>
          </w:tcPr>
          <w:p w14:paraId="775053EC">
            <w:pPr>
              <w:pStyle w:val="19"/>
              <w:keepNext w:val="0"/>
              <w:keepLines w:val="0"/>
              <w:widowControl/>
              <w:suppressLineNumbers w:val="0"/>
              <w:spacing w:before="190" w:beforeAutospacing="0" w:after="0" w:afterAutospacing="0" w:line="233" w:lineRule="auto"/>
              <w:ind w:left="273" w:right="0"/>
              <w:rPr>
                <w:rFonts w:hint="default"/>
                <w:color w:val="auto"/>
                <w:spacing w:val="0"/>
                <w:w w:val="100"/>
                <w:position w:val="0"/>
                <w:highlight w:val="none"/>
              </w:rPr>
            </w:pPr>
            <w:r>
              <w:rPr>
                <w:rFonts w:hint="default"/>
                <w:color w:val="auto"/>
                <w:spacing w:val="0"/>
                <w:w w:val="100"/>
                <w:position w:val="0"/>
                <w:highlight w:val="none"/>
              </w:rPr>
              <w:t>（5）</w:t>
            </w:r>
          </w:p>
        </w:tc>
        <w:tc>
          <w:tcPr>
            <w:tcW w:w="3630" w:type="dxa"/>
            <w:vAlign w:val="top"/>
          </w:tcPr>
          <w:p w14:paraId="10327706">
            <w:pPr>
              <w:pStyle w:val="19"/>
              <w:keepNext w:val="0"/>
              <w:keepLines w:val="0"/>
              <w:widowControl/>
              <w:suppressLineNumbers w:val="0"/>
              <w:spacing w:before="190" w:beforeAutospacing="0" w:after="0" w:afterAutospacing="0" w:line="219" w:lineRule="auto"/>
              <w:ind w:left="576" w:right="0"/>
              <w:rPr>
                <w:rFonts w:hint="default"/>
                <w:color w:val="auto"/>
                <w:spacing w:val="0"/>
                <w:w w:val="100"/>
                <w:position w:val="0"/>
                <w:highlight w:val="none"/>
              </w:rPr>
            </w:pPr>
            <w:r>
              <w:rPr>
                <w:rFonts w:hint="default"/>
                <w:color w:val="auto"/>
                <w:spacing w:val="0"/>
                <w:w w:val="100"/>
                <w:position w:val="0"/>
                <w:highlight w:val="none"/>
              </w:rPr>
              <w:t>项目安全性评价报告编制费</w:t>
            </w:r>
          </w:p>
        </w:tc>
        <w:tc>
          <w:tcPr>
            <w:tcW w:w="1619" w:type="dxa"/>
            <w:vAlign w:val="top"/>
          </w:tcPr>
          <w:p w14:paraId="10F57BD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872" w:type="dxa"/>
            <w:vAlign w:val="top"/>
          </w:tcPr>
          <w:p w14:paraId="781FCBE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252D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973" w:type="dxa"/>
            <w:vAlign w:val="top"/>
          </w:tcPr>
          <w:p w14:paraId="389D65D5">
            <w:pPr>
              <w:pStyle w:val="19"/>
              <w:keepNext w:val="0"/>
              <w:keepLines w:val="0"/>
              <w:widowControl/>
              <w:suppressLineNumbers w:val="0"/>
              <w:spacing w:before="128" w:beforeAutospacing="0" w:after="0" w:afterAutospacing="0" w:line="233" w:lineRule="auto"/>
              <w:ind w:left="273" w:right="0"/>
              <w:rPr>
                <w:rFonts w:hint="default"/>
                <w:color w:val="auto"/>
                <w:spacing w:val="0"/>
                <w:w w:val="100"/>
                <w:position w:val="0"/>
                <w:highlight w:val="none"/>
              </w:rPr>
            </w:pPr>
            <w:r>
              <w:rPr>
                <w:rFonts w:hint="default"/>
                <w:color w:val="auto"/>
                <w:spacing w:val="0"/>
                <w:w w:val="100"/>
                <w:position w:val="0"/>
                <w:highlight w:val="none"/>
              </w:rPr>
              <w:t>（6）</w:t>
            </w:r>
          </w:p>
        </w:tc>
        <w:tc>
          <w:tcPr>
            <w:tcW w:w="3630" w:type="dxa"/>
            <w:vAlign w:val="top"/>
          </w:tcPr>
          <w:p w14:paraId="0FD2FFD0">
            <w:pPr>
              <w:pStyle w:val="19"/>
              <w:keepNext w:val="0"/>
              <w:keepLines w:val="0"/>
              <w:widowControl/>
              <w:suppressLineNumbers w:val="0"/>
              <w:spacing w:before="179" w:beforeAutospacing="0" w:after="0" w:afterAutospacing="0" w:line="221" w:lineRule="auto"/>
              <w:ind w:left="1407" w:right="0"/>
              <w:rPr>
                <w:rFonts w:hint="default"/>
                <w:color w:val="auto"/>
                <w:spacing w:val="0"/>
                <w:w w:val="100"/>
                <w:position w:val="0"/>
                <w:highlight w:val="none"/>
              </w:rPr>
            </w:pPr>
            <w:r>
              <w:rPr>
                <w:rFonts w:hint="default"/>
                <w:color w:val="auto"/>
                <w:spacing w:val="0"/>
                <w:w w:val="100"/>
                <w:position w:val="0"/>
                <w:highlight w:val="none"/>
              </w:rPr>
              <w:t>其他费用</w:t>
            </w:r>
          </w:p>
        </w:tc>
        <w:tc>
          <w:tcPr>
            <w:tcW w:w="1619" w:type="dxa"/>
            <w:vAlign w:val="top"/>
          </w:tcPr>
          <w:p w14:paraId="65EF89F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872" w:type="dxa"/>
            <w:vAlign w:val="top"/>
          </w:tcPr>
          <w:p w14:paraId="4C21959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5716A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jc w:val="center"/>
        </w:trPr>
        <w:tc>
          <w:tcPr>
            <w:tcW w:w="973" w:type="dxa"/>
            <w:vAlign w:val="top"/>
          </w:tcPr>
          <w:p w14:paraId="75FF44A7">
            <w:pPr>
              <w:pStyle w:val="19"/>
              <w:keepNext w:val="0"/>
              <w:keepLines w:val="0"/>
              <w:widowControl/>
              <w:suppressLineNumbers w:val="0"/>
              <w:spacing w:before="253" w:beforeAutospacing="0" w:after="0" w:afterAutospacing="0" w:line="87" w:lineRule="exact"/>
              <w:ind w:left="0" w:right="0"/>
              <w:jc w:val="center"/>
              <w:rPr>
                <w:rFonts w:hint="default"/>
                <w:color w:val="auto"/>
                <w:spacing w:val="0"/>
                <w:w w:val="100"/>
                <w:position w:val="0"/>
                <w:highlight w:val="none"/>
              </w:rPr>
            </w:pPr>
            <w:r>
              <w:rPr>
                <w:rFonts w:hint="default"/>
                <w:color w:val="auto"/>
                <w:spacing w:val="0"/>
                <w:w w:val="100"/>
                <w:position w:val="0"/>
                <w:highlight w:val="none"/>
              </w:rPr>
              <w:t>...</w:t>
            </w:r>
          </w:p>
        </w:tc>
        <w:tc>
          <w:tcPr>
            <w:tcW w:w="3630" w:type="dxa"/>
            <w:vAlign w:val="top"/>
          </w:tcPr>
          <w:p w14:paraId="51376BC6">
            <w:pPr>
              <w:keepNext w:val="0"/>
              <w:keepLines w:val="0"/>
              <w:widowControl/>
              <w:suppressLineNumbers w:val="0"/>
              <w:spacing w:before="0" w:beforeAutospacing="0" w:after="0" w:afterAutospacing="0" w:line="320" w:lineRule="auto"/>
              <w:ind w:left="0" w:right="0"/>
              <w:rPr>
                <w:rFonts w:hint="default" w:ascii="Arial"/>
                <w:color w:val="auto"/>
                <w:spacing w:val="0"/>
                <w:w w:val="100"/>
                <w:position w:val="0"/>
                <w:sz w:val="21"/>
                <w:highlight w:val="none"/>
              </w:rPr>
            </w:pPr>
          </w:p>
          <w:p w14:paraId="1A020CFF">
            <w:pPr>
              <w:pStyle w:val="19"/>
              <w:keepNext w:val="0"/>
              <w:keepLines w:val="0"/>
              <w:widowControl/>
              <w:suppressLineNumbers w:val="0"/>
              <w:spacing w:before="68" w:beforeAutospacing="0" w:after="0" w:afterAutospacing="0" w:line="87" w:lineRule="exact"/>
              <w:ind w:left="1676" w:right="0"/>
              <w:rPr>
                <w:rFonts w:hint="default"/>
                <w:color w:val="auto"/>
                <w:spacing w:val="0"/>
                <w:w w:val="100"/>
                <w:position w:val="0"/>
                <w:highlight w:val="none"/>
              </w:rPr>
            </w:pPr>
            <w:r>
              <w:rPr>
                <w:rFonts w:hint="default"/>
                <w:color w:val="auto"/>
                <w:spacing w:val="0"/>
                <w:w w:val="100"/>
                <w:position w:val="0"/>
                <w:highlight w:val="none"/>
              </w:rPr>
              <w:t>...</w:t>
            </w:r>
          </w:p>
        </w:tc>
        <w:tc>
          <w:tcPr>
            <w:tcW w:w="1619" w:type="dxa"/>
            <w:vAlign w:val="top"/>
          </w:tcPr>
          <w:p w14:paraId="76CCF6C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872" w:type="dxa"/>
            <w:vAlign w:val="top"/>
          </w:tcPr>
          <w:p w14:paraId="610EB08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F3C9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jc w:val="center"/>
        </w:trPr>
        <w:tc>
          <w:tcPr>
            <w:tcW w:w="973" w:type="dxa"/>
            <w:vAlign w:val="top"/>
          </w:tcPr>
          <w:p w14:paraId="3046E28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630" w:type="dxa"/>
            <w:vAlign w:val="top"/>
          </w:tcPr>
          <w:p w14:paraId="4AB3AF1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19" w:type="dxa"/>
            <w:vAlign w:val="top"/>
          </w:tcPr>
          <w:p w14:paraId="40457E2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872" w:type="dxa"/>
            <w:vAlign w:val="top"/>
          </w:tcPr>
          <w:p w14:paraId="08844F8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6A20D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973" w:type="dxa"/>
            <w:vAlign w:val="top"/>
          </w:tcPr>
          <w:p w14:paraId="6094B6B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630" w:type="dxa"/>
            <w:vAlign w:val="top"/>
          </w:tcPr>
          <w:p w14:paraId="7F2FB28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19" w:type="dxa"/>
            <w:vAlign w:val="top"/>
          </w:tcPr>
          <w:p w14:paraId="78E835E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872" w:type="dxa"/>
            <w:vAlign w:val="top"/>
          </w:tcPr>
          <w:p w14:paraId="0401E52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AA93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973" w:type="dxa"/>
            <w:vAlign w:val="top"/>
          </w:tcPr>
          <w:p w14:paraId="5B48D13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630" w:type="dxa"/>
            <w:vAlign w:val="top"/>
          </w:tcPr>
          <w:p w14:paraId="511F5A7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619" w:type="dxa"/>
            <w:vAlign w:val="top"/>
          </w:tcPr>
          <w:p w14:paraId="2FFE1D1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872" w:type="dxa"/>
            <w:vAlign w:val="top"/>
          </w:tcPr>
          <w:p w14:paraId="6E5146C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BFF2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jc w:val="center"/>
        </w:trPr>
        <w:tc>
          <w:tcPr>
            <w:tcW w:w="973" w:type="dxa"/>
            <w:vAlign w:val="top"/>
          </w:tcPr>
          <w:p w14:paraId="71A939E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3630" w:type="dxa"/>
            <w:vAlign w:val="top"/>
          </w:tcPr>
          <w:p w14:paraId="1499FE2C">
            <w:pPr>
              <w:pStyle w:val="19"/>
              <w:keepNext w:val="0"/>
              <w:keepLines w:val="0"/>
              <w:widowControl/>
              <w:suppressLineNumbers w:val="0"/>
              <w:spacing w:before="164" w:beforeAutospacing="0" w:after="0" w:afterAutospacing="0" w:line="219" w:lineRule="auto"/>
              <w:ind w:left="1199" w:right="0"/>
              <w:rPr>
                <w:rFonts w:hint="default"/>
                <w:color w:val="auto"/>
                <w:spacing w:val="0"/>
                <w:w w:val="100"/>
                <w:position w:val="0"/>
                <w:highlight w:val="none"/>
              </w:rPr>
            </w:pPr>
            <w:r>
              <w:rPr>
                <w:rFonts w:hint="default"/>
                <w:color w:val="auto"/>
                <w:spacing w:val="0"/>
                <w:w w:val="100"/>
                <w:position w:val="0"/>
                <w:highlight w:val="none"/>
              </w:rPr>
              <w:t>投标报价总计</w:t>
            </w:r>
          </w:p>
        </w:tc>
        <w:tc>
          <w:tcPr>
            <w:tcW w:w="1619" w:type="dxa"/>
            <w:vAlign w:val="top"/>
          </w:tcPr>
          <w:p w14:paraId="387B617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872" w:type="dxa"/>
            <w:vAlign w:val="top"/>
          </w:tcPr>
          <w:p w14:paraId="70A1423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3A8F3AD3">
      <w:pPr>
        <w:spacing w:line="441" w:lineRule="auto"/>
        <w:rPr>
          <w:rFonts w:ascii="Arial"/>
          <w:color w:val="auto"/>
          <w:spacing w:val="0"/>
          <w:w w:val="100"/>
          <w:position w:val="0"/>
          <w:sz w:val="21"/>
          <w:highlight w:val="none"/>
        </w:rPr>
      </w:pPr>
    </w:p>
    <w:p w14:paraId="08470B8D">
      <w:pPr>
        <w:spacing w:before="68" w:line="220" w:lineRule="auto"/>
        <w:ind w:left="405"/>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本表格式仅为示例参考，投标人应根据本招标项目工程特点和工作内容列出并填写。</w:t>
      </w:r>
    </w:p>
    <w:p w14:paraId="2E132C12">
      <w:pPr>
        <w:spacing w:line="220" w:lineRule="auto"/>
        <w:rPr>
          <w:rFonts w:ascii="宋体" w:hAnsi="宋体" w:eastAsia="宋体" w:cs="宋体"/>
          <w:color w:val="auto"/>
          <w:spacing w:val="0"/>
          <w:w w:val="100"/>
          <w:position w:val="0"/>
          <w:sz w:val="21"/>
          <w:szCs w:val="21"/>
          <w:highlight w:val="none"/>
        </w:rPr>
        <w:sectPr>
          <w:headerReference r:id="rId99" w:type="default"/>
          <w:footerReference r:id="rId100" w:type="default"/>
          <w:pgSz w:w="11900" w:h="16843"/>
          <w:pgMar w:top="1378" w:right="1417" w:bottom="1208" w:left="1417" w:header="1366" w:footer="1003" w:gutter="0"/>
          <w:pgNumType w:fmt="decimal"/>
          <w:cols w:space="0" w:num="1"/>
          <w:rtlGutter w:val="0"/>
          <w:docGrid w:linePitch="0" w:charSpace="0"/>
        </w:sectPr>
      </w:pPr>
    </w:p>
    <w:p w14:paraId="038D6676">
      <w:pPr>
        <w:pStyle w:val="6"/>
        <w:spacing w:before="105" w:line="219" w:lineRule="auto"/>
        <w:jc w:val="center"/>
        <w:outlineLvl w:val="3"/>
        <w:rPr>
          <w:color w:val="auto"/>
          <w:spacing w:val="0"/>
          <w:w w:val="100"/>
          <w:position w:val="0"/>
          <w:sz w:val="28"/>
          <w:szCs w:val="28"/>
          <w:highlight w:val="none"/>
        </w:rPr>
      </w:pPr>
      <w:r>
        <w:rPr>
          <w:b/>
          <w:bCs/>
          <w:color w:val="auto"/>
          <w:spacing w:val="0"/>
          <w:w w:val="100"/>
          <w:position w:val="0"/>
          <w:sz w:val="28"/>
          <w:szCs w:val="28"/>
          <w:highlight w:val="none"/>
        </w:rPr>
        <w:t>（三）公路工程勘察监理报价清单表</w:t>
      </w:r>
    </w:p>
    <w:p w14:paraId="1BC5419A">
      <w:pPr>
        <w:spacing w:before="290" w:line="194" w:lineRule="auto"/>
        <w:ind w:left="3305"/>
        <w:rPr>
          <w:rFonts w:ascii="Microsoft JhengHei Light" w:hAnsi="Microsoft JhengHei Light" w:eastAsia="Microsoft JhengHei Light" w:cs="Microsoft JhengHei Light"/>
          <w:color w:val="auto"/>
          <w:spacing w:val="0"/>
          <w:w w:val="100"/>
          <w:position w:val="0"/>
          <w:sz w:val="28"/>
          <w:szCs w:val="28"/>
          <w:highlight w:val="none"/>
        </w:rPr>
      </w:pPr>
      <w:r>
        <w:rPr>
          <w:rFonts w:ascii="Microsoft JhengHei Light" w:hAnsi="Microsoft JhengHei Light" w:eastAsia="Microsoft JhengHei Light" w:cs="Microsoft JhengHei Light"/>
          <w:color w:val="auto"/>
          <w:spacing w:val="0"/>
          <w:w w:val="100"/>
          <w:position w:val="0"/>
          <w:sz w:val="28"/>
          <w:szCs w:val="28"/>
          <w:highlight w:val="none"/>
        </w:rPr>
        <w:t>地勘监理报价清单表</w:t>
      </w:r>
    </w:p>
    <w:p w14:paraId="1C7E9EB7">
      <w:pPr>
        <w:spacing w:before="26" w:line="212" w:lineRule="auto"/>
        <w:ind w:left="413"/>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第</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 xml:space="preserve"> 标段                                                 单位：人民币元</w:t>
      </w:r>
    </w:p>
    <w:tbl>
      <w:tblPr>
        <w:tblStyle w:val="18"/>
        <w:tblW w:w="90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0"/>
        <w:gridCol w:w="2652"/>
        <w:gridCol w:w="1108"/>
        <w:gridCol w:w="1259"/>
        <w:gridCol w:w="1245"/>
        <w:gridCol w:w="1820"/>
      </w:tblGrid>
      <w:tr w14:paraId="6CBDDD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jc w:val="center"/>
        </w:trPr>
        <w:tc>
          <w:tcPr>
            <w:tcW w:w="1010" w:type="dxa"/>
            <w:tcBorders>
              <w:top w:val="single" w:color="000000" w:sz="10" w:space="0"/>
              <w:left w:val="single" w:color="000000" w:sz="10" w:space="0"/>
            </w:tcBorders>
            <w:vAlign w:val="top"/>
          </w:tcPr>
          <w:p w14:paraId="02F3F590">
            <w:pPr>
              <w:pStyle w:val="19"/>
              <w:keepNext w:val="0"/>
              <w:keepLines w:val="0"/>
              <w:widowControl/>
              <w:suppressLineNumbers w:val="0"/>
              <w:spacing w:before="131" w:beforeAutospacing="0" w:after="0" w:afterAutospacing="0" w:line="221" w:lineRule="auto"/>
              <w:ind w:left="284" w:right="0"/>
              <w:rPr>
                <w:rFonts w:hint="default"/>
                <w:color w:val="auto"/>
                <w:spacing w:val="0"/>
                <w:w w:val="100"/>
                <w:position w:val="0"/>
                <w:highlight w:val="none"/>
              </w:rPr>
            </w:pPr>
            <w:r>
              <w:rPr>
                <w:rFonts w:hint="default"/>
                <w:color w:val="auto"/>
                <w:spacing w:val="0"/>
                <w:w w:val="100"/>
                <w:position w:val="0"/>
                <w:highlight w:val="none"/>
              </w:rPr>
              <w:t>编号</w:t>
            </w:r>
          </w:p>
        </w:tc>
        <w:tc>
          <w:tcPr>
            <w:tcW w:w="2652" w:type="dxa"/>
            <w:tcBorders>
              <w:top w:val="single" w:color="000000" w:sz="10" w:space="0"/>
            </w:tcBorders>
            <w:vAlign w:val="top"/>
          </w:tcPr>
          <w:p w14:paraId="1D644755">
            <w:pPr>
              <w:pStyle w:val="19"/>
              <w:keepNext w:val="0"/>
              <w:keepLines w:val="0"/>
              <w:widowControl/>
              <w:suppressLineNumbers w:val="0"/>
              <w:spacing w:before="132" w:beforeAutospacing="0" w:after="0" w:afterAutospacing="0" w:line="221" w:lineRule="auto"/>
              <w:ind w:left="1129" w:right="0"/>
              <w:rPr>
                <w:rFonts w:hint="default"/>
                <w:color w:val="auto"/>
                <w:spacing w:val="0"/>
                <w:w w:val="100"/>
                <w:position w:val="0"/>
                <w:highlight w:val="none"/>
              </w:rPr>
            </w:pPr>
            <w:r>
              <w:rPr>
                <w:rFonts w:hint="default"/>
                <w:color w:val="auto"/>
                <w:spacing w:val="0"/>
                <w:w w:val="100"/>
                <w:position w:val="0"/>
                <w:highlight w:val="none"/>
              </w:rPr>
              <w:t>项目</w:t>
            </w:r>
          </w:p>
        </w:tc>
        <w:tc>
          <w:tcPr>
            <w:tcW w:w="1108" w:type="dxa"/>
            <w:tcBorders>
              <w:top w:val="single" w:color="000000" w:sz="10" w:space="0"/>
            </w:tcBorders>
            <w:vAlign w:val="top"/>
          </w:tcPr>
          <w:p w14:paraId="07743669">
            <w:pPr>
              <w:pStyle w:val="19"/>
              <w:keepNext w:val="0"/>
              <w:keepLines w:val="0"/>
              <w:widowControl/>
              <w:suppressLineNumbers w:val="0"/>
              <w:spacing w:before="132" w:beforeAutospacing="0" w:after="0" w:afterAutospacing="0" w:line="221" w:lineRule="auto"/>
              <w:ind w:left="157" w:right="0"/>
              <w:rPr>
                <w:rFonts w:hint="default"/>
                <w:color w:val="auto"/>
                <w:spacing w:val="0"/>
                <w:w w:val="100"/>
                <w:position w:val="0"/>
                <w:highlight w:val="none"/>
              </w:rPr>
            </w:pPr>
            <w:r>
              <w:rPr>
                <w:rFonts w:hint="default"/>
                <w:color w:val="auto"/>
                <w:spacing w:val="0"/>
                <w:w w:val="100"/>
                <w:position w:val="0"/>
                <w:highlight w:val="none"/>
              </w:rPr>
              <w:t>计量单位</w:t>
            </w:r>
          </w:p>
        </w:tc>
        <w:tc>
          <w:tcPr>
            <w:tcW w:w="1259" w:type="dxa"/>
            <w:tcBorders>
              <w:top w:val="single" w:color="000000" w:sz="10" w:space="0"/>
            </w:tcBorders>
            <w:vAlign w:val="top"/>
          </w:tcPr>
          <w:p w14:paraId="7F41018B">
            <w:pPr>
              <w:pStyle w:val="19"/>
              <w:keepNext w:val="0"/>
              <w:keepLines w:val="0"/>
              <w:widowControl/>
              <w:suppressLineNumbers w:val="0"/>
              <w:spacing w:before="131" w:beforeAutospacing="0" w:after="0" w:afterAutospacing="0" w:line="221" w:lineRule="auto"/>
              <w:ind w:left="416" w:right="0"/>
              <w:rPr>
                <w:rFonts w:hint="default"/>
                <w:color w:val="auto"/>
                <w:spacing w:val="0"/>
                <w:w w:val="100"/>
                <w:position w:val="0"/>
                <w:highlight w:val="none"/>
              </w:rPr>
            </w:pPr>
            <w:r>
              <w:rPr>
                <w:rFonts w:hint="default"/>
                <w:color w:val="auto"/>
                <w:spacing w:val="0"/>
                <w:w w:val="100"/>
                <w:position w:val="0"/>
                <w:highlight w:val="none"/>
              </w:rPr>
              <w:t>数量</w:t>
            </w:r>
          </w:p>
        </w:tc>
        <w:tc>
          <w:tcPr>
            <w:tcW w:w="1245" w:type="dxa"/>
            <w:tcBorders>
              <w:top w:val="single" w:color="000000" w:sz="10" w:space="0"/>
            </w:tcBorders>
            <w:vAlign w:val="top"/>
          </w:tcPr>
          <w:p w14:paraId="51371E98">
            <w:pPr>
              <w:pStyle w:val="19"/>
              <w:keepNext w:val="0"/>
              <w:keepLines w:val="0"/>
              <w:widowControl/>
              <w:suppressLineNumbers w:val="0"/>
              <w:spacing w:before="132" w:beforeAutospacing="0" w:after="0" w:afterAutospacing="0" w:line="219" w:lineRule="auto"/>
              <w:ind w:left="134" w:right="0"/>
              <w:rPr>
                <w:rFonts w:hint="default"/>
                <w:color w:val="auto"/>
                <w:spacing w:val="0"/>
                <w:w w:val="100"/>
                <w:position w:val="0"/>
                <w:highlight w:val="none"/>
              </w:rPr>
            </w:pPr>
            <w:r>
              <w:rPr>
                <w:rFonts w:hint="default"/>
                <w:color w:val="auto"/>
                <w:spacing w:val="0"/>
                <w:w w:val="100"/>
                <w:position w:val="0"/>
                <w:highlight w:val="none"/>
              </w:rPr>
              <w:t>单价（元）</w:t>
            </w:r>
          </w:p>
        </w:tc>
        <w:tc>
          <w:tcPr>
            <w:tcW w:w="1820" w:type="dxa"/>
            <w:tcBorders>
              <w:top w:val="single" w:color="000000" w:sz="10" w:space="0"/>
              <w:right w:val="single" w:color="000000" w:sz="10" w:space="0"/>
            </w:tcBorders>
            <w:vAlign w:val="top"/>
          </w:tcPr>
          <w:p w14:paraId="4FBE01EF">
            <w:pPr>
              <w:pStyle w:val="19"/>
              <w:keepNext w:val="0"/>
              <w:keepLines w:val="0"/>
              <w:widowControl/>
              <w:suppressLineNumbers w:val="0"/>
              <w:spacing w:before="131" w:beforeAutospacing="0" w:after="0" w:afterAutospacing="0" w:line="221" w:lineRule="auto"/>
              <w:ind w:left="361" w:right="0"/>
              <w:rPr>
                <w:rFonts w:hint="default"/>
                <w:color w:val="auto"/>
                <w:spacing w:val="0"/>
                <w:w w:val="100"/>
                <w:position w:val="0"/>
                <w:highlight w:val="none"/>
              </w:rPr>
            </w:pPr>
            <w:r>
              <w:rPr>
                <w:rFonts w:hint="default"/>
                <w:color w:val="auto"/>
                <w:spacing w:val="0"/>
                <w:w w:val="100"/>
                <w:position w:val="0"/>
                <w:highlight w:val="none"/>
              </w:rPr>
              <w:t>金额（元）</w:t>
            </w:r>
          </w:p>
        </w:tc>
      </w:tr>
      <w:tr w14:paraId="0D0E8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1010" w:type="dxa"/>
            <w:tcBorders>
              <w:left w:val="single" w:color="000000" w:sz="10" w:space="0"/>
            </w:tcBorders>
            <w:vAlign w:val="top"/>
          </w:tcPr>
          <w:p w14:paraId="468B7279">
            <w:pPr>
              <w:pStyle w:val="19"/>
              <w:keepNext w:val="0"/>
              <w:keepLines w:val="0"/>
              <w:widowControl/>
              <w:suppressLineNumbers w:val="0"/>
              <w:spacing w:before="126" w:beforeAutospacing="0" w:after="0" w:afterAutospacing="0" w:line="233" w:lineRule="auto"/>
              <w:ind w:left="243" w:right="0"/>
              <w:rPr>
                <w:rFonts w:hint="default"/>
                <w:color w:val="auto"/>
                <w:spacing w:val="0"/>
                <w:w w:val="100"/>
                <w:position w:val="0"/>
                <w:highlight w:val="none"/>
              </w:rPr>
            </w:pPr>
            <w:r>
              <w:rPr>
                <w:rFonts w:hint="default"/>
                <w:color w:val="auto"/>
                <w:spacing w:val="0"/>
                <w:w w:val="100"/>
                <w:position w:val="0"/>
                <w:highlight w:val="none"/>
              </w:rPr>
              <w:t>（1）</w:t>
            </w:r>
          </w:p>
        </w:tc>
        <w:tc>
          <w:tcPr>
            <w:tcW w:w="2652" w:type="dxa"/>
            <w:vAlign w:val="top"/>
          </w:tcPr>
          <w:p w14:paraId="3124566E">
            <w:pPr>
              <w:pStyle w:val="19"/>
              <w:keepNext w:val="0"/>
              <w:keepLines w:val="0"/>
              <w:widowControl/>
              <w:suppressLineNumbers w:val="0"/>
              <w:spacing w:before="126" w:beforeAutospacing="0" w:after="0" w:afterAutospacing="0" w:line="221" w:lineRule="auto"/>
              <w:ind w:left="384" w:right="0"/>
              <w:rPr>
                <w:rFonts w:hint="default"/>
                <w:color w:val="auto"/>
                <w:spacing w:val="0"/>
                <w:w w:val="100"/>
                <w:position w:val="0"/>
                <w:highlight w:val="none"/>
              </w:rPr>
            </w:pPr>
            <w:r>
              <w:rPr>
                <w:rFonts w:hint="default"/>
                <w:color w:val="auto"/>
                <w:spacing w:val="0"/>
                <w:w w:val="100"/>
                <w:position w:val="0"/>
                <w:highlight w:val="none"/>
              </w:rPr>
              <w:t>地勘监理人员服务费</w:t>
            </w:r>
          </w:p>
        </w:tc>
        <w:tc>
          <w:tcPr>
            <w:tcW w:w="1108" w:type="dxa"/>
            <w:vAlign w:val="top"/>
          </w:tcPr>
          <w:p w14:paraId="419A0FCC">
            <w:pPr>
              <w:pStyle w:val="19"/>
              <w:keepNext w:val="0"/>
              <w:keepLines w:val="0"/>
              <w:widowControl/>
              <w:suppressLineNumbers w:val="0"/>
              <w:spacing w:before="126" w:beforeAutospacing="0" w:after="0" w:afterAutospacing="0" w:line="221" w:lineRule="auto"/>
              <w:ind w:left="254" w:right="0"/>
              <w:rPr>
                <w:rFonts w:hint="default"/>
                <w:color w:val="auto"/>
                <w:spacing w:val="0"/>
                <w:w w:val="100"/>
                <w:position w:val="0"/>
                <w:highlight w:val="none"/>
              </w:rPr>
            </w:pPr>
            <w:r>
              <w:rPr>
                <w:rFonts w:hint="default"/>
                <w:color w:val="auto"/>
                <w:spacing w:val="0"/>
                <w:w w:val="100"/>
                <w:position w:val="0"/>
                <w:highlight w:val="none"/>
              </w:rPr>
              <w:t>人 ·月</w:t>
            </w:r>
          </w:p>
        </w:tc>
        <w:tc>
          <w:tcPr>
            <w:tcW w:w="1259" w:type="dxa"/>
            <w:vAlign w:val="top"/>
          </w:tcPr>
          <w:p w14:paraId="6E84638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45" w:type="dxa"/>
            <w:vAlign w:val="top"/>
          </w:tcPr>
          <w:p w14:paraId="37B78ED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20" w:type="dxa"/>
            <w:tcBorders>
              <w:right w:val="single" w:color="000000" w:sz="10" w:space="0"/>
            </w:tcBorders>
            <w:vAlign w:val="top"/>
          </w:tcPr>
          <w:p w14:paraId="37936D52">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73246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010" w:type="dxa"/>
            <w:tcBorders>
              <w:left w:val="single" w:color="000000" w:sz="10" w:space="0"/>
            </w:tcBorders>
            <w:vAlign w:val="top"/>
          </w:tcPr>
          <w:p w14:paraId="67F482AA">
            <w:pPr>
              <w:pStyle w:val="19"/>
              <w:keepNext w:val="0"/>
              <w:keepLines w:val="0"/>
              <w:widowControl/>
              <w:suppressLineNumbers w:val="0"/>
              <w:spacing w:before="116" w:beforeAutospacing="0" w:after="0" w:afterAutospacing="0" w:line="233" w:lineRule="auto"/>
              <w:ind w:left="243" w:right="0"/>
              <w:rPr>
                <w:rFonts w:hint="default"/>
                <w:color w:val="auto"/>
                <w:spacing w:val="0"/>
                <w:w w:val="100"/>
                <w:position w:val="0"/>
                <w:highlight w:val="none"/>
              </w:rPr>
            </w:pPr>
            <w:r>
              <w:rPr>
                <w:rFonts w:hint="default"/>
                <w:color w:val="auto"/>
                <w:spacing w:val="0"/>
                <w:w w:val="100"/>
                <w:position w:val="0"/>
                <w:highlight w:val="none"/>
              </w:rPr>
              <w:t>（2）</w:t>
            </w:r>
          </w:p>
        </w:tc>
        <w:tc>
          <w:tcPr>
            <w:tcW w:w="2652" w:type="dxa"/>
            <w:vAlign w:val="top"/>
          </w:tcPr>
          <w:p w14:paraId="41AA45A9">
            <w:pPr>
              <w:pStyle w:val="19"/>
              <w:keepNext w:val="0"/>
              <w:keepLines w:val="0"/>
              <w:widowControl/>
              <w:suppressLineNumbers w:val="0"/>
              <w:spacing w:before="117" w:beforeAutospacing="0" w:after="0" w:afterAutospacing="0" w:line="221" w:lineRule="auto"/>
              <w:ind w:left="806" w:right="0"/>
              <w:rPr>
                <w:rFonts w:hint="default"/>
                <w:color w:val="auto"/>
                <w:spacing w:val="0"/>
                <w:w w:val="100"/>
                <w:position w:val="0"/>
                <w:highlight w:val="none"/>
              </w:rPr>
            </w:pPr>
            <w:r>
              <w:rPr>
                <w:rFonts w:hint="default"/>
                <w:color w:val="auto"/>
                <w:spacing w:val="0"/>
                <w:w w:val="100"/>
                <w:position w:val="0"/>
                <w:highlight w:val="none"/>
              </w:rPr>
              <w:t>交通设施费</w:t>
            </w:r>
          </w:p>
        </w:tc>
        <w:tc>
          <w:tcPr>
            <w:tcW w:w="1108" w:type="dxa"/>
            <w:vAlign w:val="top"/>
          </w:tcPr>
          <w:p w14:paraId="2AB409FD">
            <w:pPr>
              <w:pStyle w:val="19"/>
              <w:keepNext w:val="0"/>
              <w:keepLines w:val="0"/>
              <w:widowControl/>
              <w:suppressLineNumbers w:val="0"/>
              <w:spacing w:before="116" w:beforeAutospacing="0" w:after="0" w:afterAutospacing="0" w:line="221" w:lineRule="auto"/>
              <w:ind w:left="312" w:right="0"/>
              <w:rPr>
                <w:rFonts w:hint="default"/>
                <w:color w:val="auto"/>
                <w:spacing w:val="0"/>
                <w:w w:val="100"/>
                <w:position w:val="0"/>
                <w:highlight w:val="none"/>
              </w:rPr>
            </w:pPr>
            <w:r>
              <w:rPr>
                <w:rFonts w:hint="default"/>
                <w:color w:val="auto"/>
                <w:spacing w:val="0"/>
                <w:w w:val="100"/>
                <w:position w:val="0"/>
                <w:highlight w:val="none"/>
              </w:rPr>
              <w:t>辆.月</w:t>
            </w:r>
          </w:p>
        </w:tc>
        <w:tc>
          <w:tcPr>
            <w:tcW w:w="1259" w:type="dxa"/>
            <w:vAlign w:val="top"/>
          </w:tcPr>
          <w:p w14:paraId="0420B40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45" w:type="dxa"/>
            <w:vAlign w:val="top"/>
          </w:tcPr>
          <w:p w14:paraId="26C17F1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20" w:type="dxa"/>
            <w:tcBorders>
              <w:right w:val="single" w:color="000000" w:sz="10" w:space="0"/>
            </w:tcBorders>
            <w:vAlign w:val="top"/>
          </w:tcPr>
          <w:p w14:paraId="3CDB5B0E">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66A8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010" w:type="dxa"/>
            <w:tcBorders>
              <w:left w:val="single" w:color="000000" w:sz="10" w:space="0"/>
            </w:tcBorders>
            <w:vAlign w:val="top"/>
          </w:tcPr>
          <w:p w14:paraId="3647F8A8">
            <w:pPr>
              <w:pStyle w:val="19"/>
              <w:keepNext w:val="0"/>
              <w:keepLines w:val="0"/>
              <w:widowControl/>
              <w:suppressLineNumbers w:val="0"/>
              <w:spacing w:before="120" w:beforeAutospacing="0" w:after="0" w:afterAutospacing="0" w:line="233" w:lineRule="auto"/>
              <w:ind w:left="243" w:right="0"/>
              <w:rPr>
                <w:rFonts w:hint="default"/>
                <w:color w:val="auto"/>
                <w:spacing w:val="0"/>
                <w:w w:val="100"/>
                <w:position w:val="0"/>
                <w:highlight w:val="none"/>
              </w:rPr>
            </w:pPr>
            <w:r>
              <w:rPr>
                <w:rFonts w:hint="default"/>
                <w:color w:val="auto"/>
                <w:spacing w:val="0"/>
                <w:w w:val="100"/>
                <w:position w:val="0"/>
                <w:highlight w:val="none"/>
              </w:rPr>
              <w:t>（3）</w:t>
            </w:r>
          </w:p>
        </w:tc>
        <w:tc>
          <w:tcPr>
            <w:tcW w:w="2652" w:type="dxa"/>
            <w:vAlign w:val="top"/>
          </w:tcPr>
          <w:p w14:paraId="055FFE20">
            <w:pPr>
              <w:pStyle w:val="19"/>
              <w:keepNext w:val="0"/>
              <w:keepLines w:val="0"/>
              <w:widowControl/>
              <w:suppressLineNumbers w:val="0"/>
              <w:spacing w:before="120" w:beforeAutospacing="0" w:after="0" w:afterAutospacing="0" w:line="221" w:lineRule="auto"/>
              <w:ind w:left="707" w:right="0"/>
              <w:rPr>
                <w:rFonts w:hint="default"/>
                <w:color w:val="auto"/>
                <w:spacing w:val="0"/>
                <w:w w:val="100"/>
                <w:position w:val="0"/>
                <w:highlight w:val="none"/>
              </w:rPr>
            </w:pPr>
            <w:r>
              <w:rPr>
                <w:rFonts w:hint="default"/>
                <w:color w:val="auto"/>
                <w:spacing w:val="0"/>
                <w:w w:val="100"/>
                <w:position w:val="0"/>
                <w:highlight w:val="none"/>
              </w:rPr>
              <w:t>生活设施费用</w:t>
            </w:r>
          </w:p>
        </w:tc>
        <w:tc>
          <w:tcPr>
            <w:tcW w:w="1108" w:type="dxa"/>
            <w:vAlign w:val="top"/>
          </w:tcPr>
          <w:p w14:paraId="1E0BF8B5">
            <w:pPr>
              <w:pStyle w:val="19"/>
              <w:keepNext w:val="0"/>
              <w:keepLines w:val="0"/>
              <w:widowControl/>
              <w:suppressLineNumbers w:val="0"/>
              <w:spacing w:before="119" w:beforeAutospacing="0" w:after="0" w:afterAutospacing="0" w:line="221" w:lineRule="auto"/>
              <w:ind w:left="374" w:right="0"/>
              <w:rPr>
                <w:rFonts w:hint="default"/>
                <w:color w:val="auto"/>
                <w:spacing w:val="0"/>
                <w:w w:val="100"/>
                <w:position w:val="0"/>
                <w:highlight w:val="none"/>
              </w:rPr>
            </w:pPr>
            <w:r>
              <w:rPr>
                <w:rFonts w:hint="default"/>
                <w:color w:val="auto"/>
                <w:spacing w:val="0"/>
                <w:w w:val="100"/>
                <w:position w:val="0"/>
                <w:highlight w:val="none"/>
              </w:rPr>
              <w:t>总额</w:t>
            </w:r>
          </w:p>
        </w:tc>
        <w:tc>
          <w:tcPr>
            <w:tcW w:w="1259" w:type="dxa"/>
            <w:vAlign w:val="top"/>
          </w:tcPr>
          <w:p w14:paraId="41C1CB3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45" w:type="dxa"/>
            <w:vAlign w:val="top"/>
          </w:tcPr>
          <w:p w14:paraId="1719F12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20" w:type="dxa"/>
            <w:tcBorders>
              <w:right w:val="single" w:color="000000" w:sz="10" w:space="0"/>
            </w:tcBorders>
            <w:vAlign w:val="top"/>
          </w:tcPr>
          <w:p w14:paraId="3B8C149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3E86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1010" w:type="dxa"/>
            <w:tcBorders>
              <w:left w:val="single" w:color="000000" w:sz="10" w:space="0"/>
            </w:tcBorders>
            <w:vAlign w:val="top"/>
          </w:tcPr>
          <w:p w14:paraId="74C6D4A3">
            <w:pPr>
              <w:pStyle w:val="19"/>
              <w:keepNext w:val="0"/>
              <w:keepLines w:val="0"/>
              <w:widowControl/>
              <w:suppressLineNumbers w:val="0"/>
              <w:spacing w:before="138" w:beforeAutospacing="0" w:after="0" w:afterAutospacing="0" w:line="233" w:lineRule="auto"/>
              <w:ind w:left="243" w:right="0"/>
              <w:rPr>
                <w:rFonts w:hint="default"/>
                <w:color w:val="auto"/>
                <w:spacing w:val="0"/>
                <w:w w:val="100"/>
                <w:position w:val="0"/>
                <w:highlight w:val="none"/>
              </w:rPr>
            </w:pPr>
            <w:r>
              <w:rPr>
                <w:rFonts w:hint="default"/>
                <w:color w:val="auto"/>
                <w:spacing w:val="0"/>
                <w:w w:val="100"/>
                <w:position w:val="0"/>
                <w:highlight w:val="none"/>
              </w:rPr>
              <w:t>（4）</w:t>
            </w:r>
          </w:p>
        </w:tc>
        <w:tc>
          <w:tcPr>
            <w:tcW w:w="2652" w:type="dxa"/>
            <w:vAlign w:val="top"/>
          </w:tcPr>
          <w:p w14:paraId="0B2AFF33">
            <w:pPr>
              <w:pStyle w:val="19"/>
              <w:keepNext w:val="0"/>
              <w:keepLines w:val="0"/>
              <w:widowControl/>
              <w:suppressLineNumbers w:val="0"/>
              <w:spacing w:before="139" w:beforeAutospacing="0" w:after="0" w:afterAutospacing="0" w:line="221" w:lineRule="auto"/>
              <w:ind w:left="1013" w:right="0"/>
              <w:rPr>
                <w:rFonts w:hint="default"/>
                <w:color w:val="auto"/>
                <w:spacing w:val="0"/>
                <w:w w:val="100"/>
                <w:position w:val="0"/>
                <w:highlight w:val="none"/>
              </w:rPr>
            </w:pPr>
            <w:r>
              <w:rPr>
                <w:rFonts w:hint="default"/>
                <w:color w:val="auto"/>
                <w:spacing w:val="0"/>
                <w:w w:val="100"/>
                <w:position w:val="0"/>
                <w:highlight w:val="none"/>
              </w:rPr>
              <w:t>通讯费</w:t>
            </w:r>
          </w:p>
        </w:tc>
        <w:tc>
          <w:tcPr>
            <w:tcW w:w="1108" w:type="dxa"/>
            <w:vAlign w:val="top"/>
          </w:tcPr>
          <w:p w14:paraId="43641D97">
            <w:pPr>
              <w:pStyle w:val="19"/>
              <w:keepNext w:val="0"/>
              <w:keepLines w:val="0"/>
              <w:widowControl/>
              <w:suppressLineNumbers w:val="0"/>
              <w:spacing w:before="138" w:beforeAutospacing="0" w:after="0" w:afterAutospacing="0" w:line="221" w:lineRule="auto"/>
              <w:ind w:left="374" w:right="0"/>
              <w:rPr>
                <w:rFonts w:hint="default"/>
                <w:color w:val="auto"/>
                <w:spacing w:val="0"/>
                <w:w w:val="100"/>
                <w:position w:val="0"/>
                <w:highlight w:val="none"/>
              </w:rPr>
            </w:pPr>
            <w:r>
              <w:rPr>
                <w:rFonts w:hint="default"/>
                <w:color w:val="auto"/>
                <w:spacing w:val="0"/>
                <w:w w:val="100"/>
                <w:position w:val="0"/>
                <w:highlight w:val="none"/>
              </w:rPr>
              <w:t>总额</w:t>
            </w:r>
          </w:p>
        </w:tc>
        <w:tc>
          <w:tcPr>
            <w:tcW w:w="1259" w:type="dxa"/>
            <w:vAlign w:val="top"/>
          </w:tcPr>
          <w:p w14:paraId="34F221C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45" w:type="dxa"/>
            <w:vAlign w:val="top"/>
          </w:tcPr>
          <w:p w14:paraId="67A6698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20" w:type="dxa"/>
            <w:tcBorders>
              <w:right w:val="single" w:color="000000" w:sz="10" w:space="0"/>
            </w:tcBorders>
            <w:vAlign w:val="top"/>
          </w:tcPr>
          <w:p w14:paraId="6937B5B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9483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1010" w:type="dxa"/>
            <w:tcBorders>
              <w:left w:val="single" w:color="000000" w:sz="10" w:space="0"/>
            </w:tcBorders>
            <w:vAlign w:val="top"/>
          </w:tcPr>
          <w:p w14:paraId="1A2658AA">
            <w:pPr>
              <w:pStyle w:val="19"/>
              <w:keepNext w:val="0"/>
              <w:keepLines w:val="0"/>
              <w:widowControl/>
              <w:suppressLineNumbers w:val="0"/>
              <w:spacing w:before="145" w:beforeAutospacing="0" w:after="0" w:afterAutospacing="0" w:line="233" w:lineRule="auto"/>
              <w:ind w:left="243" w:right="0"/>
              <w:rPr>
                <w:rFonts w:hint="default"/>
                <w:color w:val="auto"/>
                <w:spacing w:val="0"/>
                <w:w w:val="100"/>
                <w:position w:val="0"/>
                <w:highlight w:val="none"/>
              </w:rPr>
            </w:pPr>
            <w:r>
              <w:rPr>
                <w:rFonts w:hint="default"/>
                <w:color w:val="auto"/>
                <w:spacing w:val="0"/>
                <w:w w:val="100"/>
                <w:position w:val="0"/>
                <w:highlight w:val="none"/>
              </w:rPr>
              <w:t>（5）</w:t>
            </w:r>
          </w:p>
        </w:tc>
        <w:tc>
          <w:tcPr>
            <w:tcW w:w="2652" w:type="dxa"/>
            <w:vAlign w:val="top"/>
          </w:tcPr>
          <w:p w14:paraId="5AAB95A3">
            <w:pPr>
              <w:pStyle w:val="19"/>
              <w:keepNext w:val="0"/>
              <w:keepLines w:val="0"/>
              <w:widowControl/>
              <w:suppressLineNumbers w:val="0"/>
              <w:spacing w:before="145" w:beforeAutospacing="0" w:after="0" w:afterAutospacing="0" w:line="221" w:lineRule="auto"/>
              <w:ind w:left="388" w:right="0"/>
              <w:rPr>
                <w:rFonts w:hint="default"/>
                <w:color w:val="auto"/>
                <w:spacing w:val="0"/>
                <w:w w:val="100"/>
                <w:position w:val="0"/>
                <w:highlight w:val="none"/>
              </w:rPr>
            </w:pPr>
            <w:r>
              <w:rPr>
                <w:rFonts w:hint="default"/>
                <w:color w:val="auto"/>
                <w:spacing w:val="0"/>
                <w:w w:val="100"/>
                <w:position w:val="0"/>
                <w:highlight w:val="none"/>
              </w:rPr>
              <w:t>办公、生活用房费用</w:t>
            </w:r>
          </w:p>
        </w:tc>
        <w:tc>
          <w:tcPr>
            <w:tcW w:w="1108" w:type="dxa"/>
            <w:vAlign w:val="top"/>
          </w:tcPr>
          <w:p w14:paraId="6E0E54E9">
            <w:pPr>
              <w:pStyle w:val="19"/>
              <w:keepNext w:val="0"/>
              <w:keepLines w:val="0"/>
              <w:widowControl/>
              <w:suppressLineNumbers w:val="0"/>
              <w:spacing w:before="145" w:beforeAutospacing="0" w:after="0" w:afterAutospacing="0" w:line="221" w:lineRule="auto"/>
              <w:ind w:left="374" w:right="0"/>
              <w:rPr>
                <w:rFonts w:hint="default"/>
                <w:color w:val="auto"/>
                <w:spacing w:val="0"/>
                <w:w w:val="100"/>
                <w:position w:val="0"/>
                <w:highlight w:val="none"/>
              </w:rPr>
            </w:pPr>
            <w:r>
              <w:rPr>
                <w:rFonts w:hint="default"/>
                <w:color w:val="auto"/>
                <w:spacing w:val="0"/>
                <w:w w:val="100"/>
                <w:position w:val="0"/>
                <w:highlight w:val="none"/>
              </w:rPr>
              <w:t>总额</w:t>
            </w:r>
          </w:p>
        </w:tc>
        <w:tc>
          <w:tcPr>
            <w:tcW w:w="1259" w:type="dxa"/>
            <w:vAlign w:val="top"/>
          </w:tcPr>
          <w:p w14:paraId="4754C63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45" w:type="dxa"/>
            <w:vAlign w:val="top"/>
          </w:tcPr>
          <w:p w14:paraId="53F0624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20" w:type="dxa"/>
            <w:tcBorders>
              <w:right w:val="single" w:color="000000" w:sz="10" w:space="0"/>
            </w:tcBorders>
            <w:vAlign w:val="top"/>
          </w:tcPr>
          <w:p w14:paraId="457B11F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95D8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010" w:type="dxa"/>
            <w:tcBorders>
              <w:left w:val="single" w:color="000000" w:sz="10" w:space="0"/>
            </w:tcBorders>
            <w:vAlign w:val="top"/>
          </w:tcPr>
          <w:p w14:paraId="23644367">
            <w:pPr>
              <w:pStyle w:val="19"/>
              <w:keepNext w:val="0"/>
              <w:keepLines w:val="0"/>
              <w:widowControl/>
              <w:suppressLineNumbers w:val="0"/>
              <w:spacing w:before="134" w:beforeAutospacing="0" w:after="0" w:afterAutospacing="0" w:line="233" w:lineRule="auto"/>
              <w:ind w:left="243" w:right="0"/>
              <w:rPr>
                <w:rFonts w:hint="default"/>
                <w:color w:val="auto"/>
                <w:spacing w:val="0"/>
                <w:w w:val="100"/>
                <w:position w:val="0"/>
                <w:highlight w:val="none"/>
              </w:rPr>
            </w:pPr>
            <w:r>
              <w:rPr>
                <w:rFonts w:hint="default"/>
                <w:color w:val="auto"/>
                <w:spacing w:val="0"/>
                <w:w w:val="100"/>
                <w:position w:val="0"/>
                <w:highlight w:val="none"/>
              </w:rPr>
              <w:t>（6）</w:t>
            </w:r>
          </w:p>
        </w:tc>
        <w:tc>
          <w:tcPr>
            <w:tcW w:w="2652" w:type="dxa"/>
            <w:vAlign w:val="top"/>
          </w:tcPr>
          <w:p w14:paraId="7BCD9E6A">
            <w:pPr>
              <w:pStyle w:val="19"/>
              <w:keepNext w:val="0"/>
              <w:keepLines w:val="0"/>
              <w:widowControl/>
              <w:suppressLineNumbers w:val="0"/>
              <w:spacing w:before="182" w:beforeAutospacing="0" w:after="0" w:afterAutospacing="0" w:line="221" w:lineRule="auto"/>
              <w:ind w:left="388" w:right="0"/>
              <w:rPr>
                <w:rFonts w:hint="default"/>
                <w:color w:val="auto"/>
                <w:spacing w:val="0"/>
                <w:w w:val="100"/>
                <w:position w:val="0"/>
                <w:highlight w:val="none"/>
              </w:rPr>
            </w:pPr>
            <w:r>
              <w:rPr>
                <w:rFonts w:hint="default"/>
                <w:color w:val="auto"/>
                <w:spacing w:val="0"/>
                <w:w w:val="100"/>
                <w:position w:val="0"/>
                <w:highlight w:val="none"/>
              </w:rPr>
              <w:t>办公设备及用品费用</w:t>
            </w:r>
          </w:p>
        </w:tc>
        <w:tc>
          <w:tcPr>
            <w:tcW w:w="1108" w:type="dxa"/>
            <w:vAlign w:val="top"/>
          </w:tcPr>
          <w:p w14:paraId="5DF97BB3">
            <w:pPr>
              <w:pStyle w:val="19"/>
              <w:keepNext w:val="0"/>
              <w:keepLines w:val="0"/>
              <w:widowControl/>
              <w:suppressLineNumbers w:val="0"/>
              <w:spacing w:before="134" w:beforeAutospacing="0" w:after="0" w:afterAutospacing="0" w:line="221" w:lineRule="auto"/>
              <w:ind w:left="374" w:right="0"/>
              <w:rPr>
                <w:rFonts w:hint="default"/>
                <w:color w:val="auto"/>
                <w:spacing w:val="0"/>
                <w:w w:val="100"/>
                <w:position w:val="0"/>
                <w:highlight w:val="none"/>
              </w:rPr>
            </w:pPr>
            <w:r>
              <w:rPr>
                <w:rFonts w:hint="default"/>
                <w:color w:val="auto"/>
                <w:spacing w:val="0"/>
                <w:w w:val="100"/>
                <w:position w:val="0"/>
                <w:highlight w:val="none"/>
              </w:rPr>
              <w:t>总额</w:t>
            </w:r>
          </w:p>
        </w:tc>
        <w:tc>
          <w:tcPr>
            <w:tcW w:w="1259" w:type="dxa"/>
            <w:vAlign w:val="top"/>
          </w:tcPr>
          <w:p w14:paraId="3B33BA0B">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45" w:type="dxa"/>
            <w:vAlign w:val="top"/>
          </w:tcPr>
          <w:p w14:paraId="56B3371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20" w:type="dxa"/>
            <w:tcBorders>
              <w:right w:val="single" w:color="000000" w:sz="10" w:space="0"/>
            </w:tcBorders>
            <w:vAlign w:val="top"/>
          </w:tcPr>
          <w:p w14:paraId="141EBB6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39A29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010" w:type="dxa"/>
            <w:tcBorders>
              <w:left w:val="single" w:color="000000" w:sz="10" w:space="0"/>
            </w:tcBorders>
            <w:vAlign w:val="top"/>
          </w:tcPr>
          <w:p w14:paraId="4595136B">
            <w:pPr>
              <w:pStyle w:val="19"/>
              <w:keepNext w:val="0"/>
              <w:keepLines w:val="0"/>
              <w:widowControl/>
              <w:suppressLineNumbers w:val="0"/>
              <w:spacing w:before="136" w:beforeAutospacing="0" w:after="0" w:afterAutospacing="0" w:line="233" w:lineRule="auto"/>
              <w:ind w:left="243" w:right="0"/>
              <w:rPr>
                <w:rFonts w:hint="default"/>
                <w:color w:val="auto"/>
                <w:spacing w:val="0"/>
                <w:w w:val="100"/>
                <w:position w:val="0"/>
                <w:highlight w:val="none"/>
              </w:rPr>
            </w:pPr>
            <w:r>
              <w:rPr>
                <w:rFonts w:hint="default"/>
                <w:color w:val="auto"/>
                <w:spacing w:val="0"/>
                <w:w w:val="100"/>
                <w:position w:val="0"/>
                <w:highlight w:val="none"/>
              </w:rPr>
              <w:t>（7）</w:t>
            </w:r>
          </w:p>
        </w:tc>
        <w:tc>
          <w:tcPr>
            <w:tcW w:w="2652" w:type="dxa"/>
            <w:vAlign w:val="top"/>
          </w:tcPr>
          <w:p w14:paraId="1C59903B">
            <w:pPr>
              <w:pStyle w:val="19"/>
              <w:keepNext w:val="0"/>
              <w:keepLines w:val="0"/>
              <w:widowControl/>
              <w:suppressLineNumbers w:val="0"/>
              <w:spacing w:before="187" w:beforeAutospacing="0" w:after="0" w:afterAutospacing="0" w:line="221" w:lineRule="auto"/>
              <w:ind w:left="1127" w:right="0"/>
              <w:rPr>
                <w:rFonts w:hint="default"/>
                <w:color w:val="auto"/>
                <w:spacing w:val="0"/>
                <w:w w:val="100"/>
                <w:position w:val="0"/>
                <w:highlight w:val="none"/>
              </w:rPr>
            </w:pPr>
            <w:r>
              <w:rPr>
                <w:rFonts w:hint="default"/>
                <w:color w:val="auto"/>
                <w:spacing w:val="0"/>
                <w:w w:val="100"/>
                <w:position w:val="0"/>
                <w:highlight w:val="none"/>
              </w:rPr>
              <w:t>其他</w:t>
            </w:r>
          </w:p>
        </w:tc>
        <w:tc>
          <w:tcPr>
            <w:tcW w:w="1108" w:type="dxa"/>
            <w:vAlign w:val="top"/>
          </w:tcPr>
          <w:p w14:paraId="6B2E06B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59" w:type="dxa"/>
            <w:vAlign w:val="top"/>
          </w:tcPr>
          <w:p w14:paraId="6474E92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45" w:type="dxa"/>
            <w:vAlign w:val="top"/>
          </w:tcPr>
          <w:p w14:paraId="2465229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20" w:type="dxa"/>
            <w:tcBorders>
              <w:right w:val="single" w:color="000000" w:sz="10" w:space="0"/>
            </w:tcBorders>
            <w:vAlign w:val="top"/>
          </w:tcPr>
          <w:p w14:paraId="25B58B8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CDAE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jc w:val="center"/>
        </w:trPr>
        <w:tc>
          <w:tcPr>
            <w:tcW w:w="1010" w:type="dxa"/>
            <w:tcBorders>
              <w:left w:val="single" w:color="000000" w:sz="10" w:space="0"/>
            </w:tcBorders>
            <w:vAlign w:val="top"/>
          </w:tcPr>
          <w:p w14:paraId="4E4BBC63">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652" w:type="dxa"/>
            <w:vAlign w:val="top"/>
          </w:tcPr>
          <w:p w14:paraId="00AA17C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p w14:paraId="6C44BC2E">
            <w:pPr>
              <w:pStyle w:val="19"/>
              <w:keepNext w:val="0"/>
              <w:keepLines w:val="0"/>
              <w:widowControl/>
              <w:suppressLineNumbers w:val="0"/>
              <w:spacing w:before="68" w:beforeAutospacing="0" w:after="0" w:afterAutospacing="0" w:line="87" w:lineRule="exact"/>
              <w:ind w:left="1184" w:right="0"/>
              <w:rPr>
                <w:rFonts w:hint="default"/>
                <w:color w:val="auto"/>
                <w:spacing w:val="0"/>
                <w:w w:val="100"/>
                <w:position w:val="0"/>
                <w:highlight w:val="none"/>
              </w:rPr>
            </w:pPr>
            <w:r>
              <w:rPr>
                <w:rFonts w:hint="default"/>
                <w:color w:val="auto"/>
                <w:spacing w:val="0"/>
                <w:w w:val="100"/>
                <w:position w:val="0"/>
                <w:highlight w:val="none"/>
              </w:rPr>
              <w:t>...</w:t>
            </w:r>
          </w:p>
        </w:tc>
        <w:tc>
          <w:tcPr>
            <w:tcW w:w="1108" w:type="dxa"/>
            <w:vAlign w:val="top"/>
          </w:tcPr>
          <w:p w14:paraId="39510C3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59" w:type="dxa"/>
            <w:vAlign w:val="top"/>
          </w:tcPr>
          <w:p w14:paraId="5303B21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45" w:type="dxa"/>
            <w:vAlign w:val="top"/>
          </w:tcPr>
          <w:p w14:paraId="75E9E5A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20" w:type="dxa"/>
            <w:tcBorders>
              <w:right w:val="single" w:color="000000" w:sz="10" w:space="0"/>
            </w:tcBorders>
            <w:vAlign w:val="top"/>
          </w:tcPr>
          <w:p w14:paraId="0565CBB0">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1BFF7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1010" w:type="dxa"/>
            <w:tcBorders>
              <w:left w:val="single" w:color="000000" w:sz="10" w:space="0"/>
              <w:bottom w:val="single" w:color="000000" w:sz="16" w:space="0"/>
            </w:tcBorders>
            <w:vAlign w:val="top"/>
          </w:tcPr>
          <w:p w14:paraId="772BF13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652" w:type="dxa"/>
            <w:tcBorders>
              <w:bottom w:val="single" w:color="000000" w:sz="16" w:space="0"/>
            </w:tcBorders>
            <w:vAlign w:val="top"/>
          </w:tcPr>
          <w:p w14:paraId="6F0ABF61">
            <w:pPr>
              <w:pStyle w:val="19"/>
              <w:keepNext w:val="0"/>
              <w:keepLines w:val="0"/>
              <w:widowControl/>
              <w:suppressLineNumbers w:val="0"/>
              <w:spacing w:before="159" w:beforeAutospacing="0" w:after="0" w:afterAutospacing="0" w:line="221" w:lineRule="auto"/>
              <w:ind w:left="803" w:right="0"/>
              <w:rPr>
                <w:rFonts w:hint="default"/>
                <w:color w:val="auto"/>
                <w:spacing w:val="0"/>
                <w:w w:val="100"/>
                <w:position w:val="0"/>
                <w:highlight w:val="none"/>
              </w:rPr>
            </w:pPr>
            <w:r>
              <w:rPr>
                <w:rFonts w:hint="default"/>
                <w:color w:val="auto"/>
                <w:spacing w:val="0"/>
                <w:w w:val="100"/>
                <w:position w:val="0"/>
                <w:highlight w:val="none"/>
              </w:rPr>
              <w:t>合计（元）</w:t>
            </w:r>
          </w:p>
        </w:tc>
        <w:tc>
          <w:tcPr>
            <w:tcW w:w="3612" w:type="dxa"/>
            <w:gridSpan w:val="3"/>
            <w:tcBorders>
              <w:bottom w:val="single" w:color="000000" w:sz="16" w:space="0"/>
            </w:tcBorders>
            <w:vAlign w:val="top"/>
          </w:tcPr>
          <w:p w14:paraId="654BECF3">
            <w:pPr>
              <w:pStyle w:val="19"/>
              <w:keepNext w:val="0"/>
              <w:keepLines w:val="0"/>
              <w:widowControl/>
              <w:suppressLineNumbers w:val="0"/>
              <w:spacing w:before="141" w:beforeAutospacing="0" w:after="0" w:afterAutospacing="0" w:line="226" w:lineRule="auto"/>
              <w:ind w:left="1772" w:right="0"/>
              <w:rPr>
                <w:rFonts w:hint="default"/>
                <w:color w:val="auto"/>
                <w:spacing w:val="0"/>
                <w:w w:val="100"/>
                <w:position w:val="0"/>
                <w:highlight w:val="none"/>
              </w:rPr>
            </w:pPr>
            <w:r>
              <w:rPr>
                <w:rFonts w:hint="default"/>
                <w:color w:val="auto"/>
                <w:spacing w:val="0"/>
                <w:w w:val="100"/>
                <w:position w:val="0"/>
                <w:highlight w:val="none"/>
              </w:rPr>
              <w:t>/</w:t>
            </w:r>
          </w:p>
        </w:tc>
        <w:tc>
          <w:tcPr>
            <w:tcW w:w="1820" w:type="dxa"/>
            <w:tcBorders>
              <w:bottom w:val="single" w:color="000000" w:sz="16" w:space="0"/>
              <w:right w:val="single" w:color="000000" w:sz="10" w:space="0"/>
            </w:tcBorders>
            <w:vAlign w:val="top"/>
          </w:tcPr>
          <w:p w14:paraId="047E70D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52752FBA">
      <w:pPr>
        <w:rPr>
          <w:rFonts w:ascii="Arial"/>
          <w:color w:val="auto"/>
          <w:spacing w:val="0"/>
          <w:w w:val="100"/>
          <w:position w:val="0"/>
          <w:sz w:val="21"/>
          <w:highlight w:val="none"/>
        </w:rPr>
      </w:pPr>
    </w:p>
    <w:p w14:paraId="77462255">
      <w:pPr>
        <w:rPr>
          <w:rFonts w:ascii="Arial" w:hAnsi="Arial" w:eastAsia="Arial" w:cs="Arial"/>
          <w:color w:val="auto"/>
          <w:spacing w:val="0"/>
          <w:w w:val="100"/>
          <w:position w:val="0"/>
          <w:sz w:val="21"/>
          <w:szCs w:val="21"/>
          <w:highlight w:val="none"/>
        </w:rPr>
        <w:sectPr>
          <w:headerReference r:id="rId101" w:type="default"/>
          <w:footerReference r:id="rId102" w:type="default"/>
          <w:pgSz w:w="11900" w:h="16843"/>
          <w:pgMar w:top="1378" w:right="1417" w:bottom="1208" w:left="1417" w:header="1366" w:footer="1003" w:gutter="0"/>
          <w:pgNumType w:fmt="decimal"/>
          <w:cols w:space="0" w:num="1"/>
          <w:rtlGutter w:val="0"/>
          <w:docGrid w:linePitch="0" w:charSpace="0"/>
        </w:sectPr>
      </w:pPr>
    </w:p>
    <w:p w14:paraId="7CEF5D6F">
      <w:pPr>
        <w:spacing w:before="171" w:line="194" w:lineRule="auto"/>
        <w:jc w:val="center"/>
        <w:rPr>
          <w:rFonts w:ascii="Microsoft JhengHei Light" w:hAnsi="Microsoft JhengHei Light" w:eastAsia="Microsoft JhengHei Light" w:cs="Microsoft JhengHei Light"/>
          <w:color w:val="auto"/>
          <w:spacing w:val="0"/>
          <w:w w:val="100"/>
          <w:position w:val="0"/>
          <w:sz w:val="28"/>
          <w:szCs w:val="28"/>
          <w:highlight w:val="none"/>
        </w:rPr>
      </w:pPr>
      <w:r>
        <w:rPr>
          <w:rFonts w:ascii="Microsoft JhengHei Light" w:hAnsi="Microsoft JhengHei Light" w:eastAsia="Microsoft JhengHei Light" w:cs="Microsoft JhengHei Light"/>
          <w:color w:val="auto"/>
          <w:spacing w:val="0"/>
          <w:w w:val="100"/>
          <w:position w:val="0"/>
          <w:sz w:val="28"/>
          <w:szCs w:val="28"/>
          <w:highlight w:val="none"/>
        </w:rPr>
        <w:t>地勘监理费人员服务费报价表</w:t>
      </w:r>
    </w:p>
    <w:p w14:paraId="6A59061C">
      <w:pPr>
        <w:spacing w:line="350" w:lineRule="auto"/>
        <w:rPr>
          <w:rFonts w:ascii="Arial"/>
          <w:color w:val="auto"/>
          <w:spacing w:val="0"/>
          <w:w w:val="100"/>
          <w:position w:val="0"/>
          <w:sz w:val="21"/>
          <w:highlight w:val="none"/>
        </w:rPr>
      </w:pPr>
    </w:p>
    <w:p w14:paraId="39A8D255">
      <w:pPr>
        <w:spacing w:before="68" w:line="212" w:lineRule="auto"/>
        <w:ind w:left="413"/>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第</w:t>
      </w:r>
      <w:r>
        <w:rPr>
          <w:rFonts w:ascii="宋体" w:hAnsi="宋体" w:eastAsia="宋体" w:cs="宋体"/>
          <w:color w:val="auto"/>
          <w:spacing w:val="0"/>
          <w:w w:val="100"/>
          <w:position w:val="0"/>
          <w:sz w:val="21"/>
          <w:szCs w:val="21"/>
          <w:highlight w:val="none"/>
          <w:u w:val="single" w:color="auto"/>
        </w:rPr>
        <w:t xml:space="preserve">   </w:t>
      </w:r>
      <w:r>
        <w:rPr>
          <w:rFonts w:ascii="宋体" w:hAnsi="宋体" w:eastAsia="宋体" w:cs="宋体"/>
          <w:color w:val="auto"/>
          <w:spacing w:val="0"/>
          <w:w w:val="100"/>
          <w:position w:val="0"/>
          <w:sz w:val="21"/>
          <w:szCs w:val="21"/>
          <w:highlight w:val="none"/>
        </w:rPr>
        <w:t xml:space="preserve"> 标段                                                  单位：人民币元</w:t>
      </w:r>
    </w:p>
    <w:tbl>
      <w:tblPr>
        <w:tblStyle w:val="18"/>
        <w:tblW w:w="90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10"/>
        <w:gridCol w:w="2653"/>
        <w:gridCol w:w="1108"/>
        <w:gridCol w:w="1259"/>
        <w:gridCol w:w="1259"/>
        <w:gridCol w:w="1805"/>
      </w:tblGrid>
      <w:tr w14:paraId="7A370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1010" w:type="dxa"/>
            <w:tcBorders>
              <w:top w:val="single" w:color="000000" w:sz="10" w:space="0"/>
              <w:left w:val="single" w:color="000000" w:sz="10" w:space="0"/>
            </w:tcBorders>
            <w:vAlign w:val="top"/>
          </w:tcPr>
          <w:p w14:paraId="2FD50C00">
            <w:pPr>
              <w:pStyle w:val="19"/>
              <w:keepNext w:val="0"/>
              <w:keepLines w:val="0"/>
              <w:widowControl/>
              <w:suppressLineNumbers w:val="0"/>
              <w:spacing w:before="117" w:beforeAutospacing="0" w:after="0" w:afterAutospacing="0" w:line="221" w:lineRule="auto"/>
              <w:ind w:left="284" w:right="0"/>
              <w:rPr>
                <w:rFonts w:hint="default"/>
                <w:color w:val="auto"/>
                <w:spacing w:val="0"/>
                <w:w w:val="100"/>
                <w:position w:val="0"/>
                <w:highlight w:val="none"/>
              </w:rPr>
            </w:pPr>
            <w:r>
              <w:rPr>
                <w:rFonts w:hint="default"/>
                <w:color w:val="auto"/>
                <w:spacing w:val="0"/>
                <w:w w:val="100"/>
                <w:position w:val="0"/>
                <w:highlight w:val="none"/>
              </w:rPr>
              <w:t>编号</w:t>
            </w:r>
          </w:p>
        </w:tc>
        <w:tc>
          <w:tcPr>
            <w:tcW w:w="2653" w:type="dxa"/>
            <w:tcBorders>
              <w:top w:val="single" w:color="000000" w:sz="10" w:space="0"/>
            </w:tcBorders>
            <w:vAlign w:val="top"/>
          </w:tcPr>
          <w:p w14:paraId="053F6699">
            <w:pPr>
              <w:pStyle w:val="19"/>
              <w:keepNext w:val="0"/>
              <w:keepLines w:val="0"/>
              <w:widowControl/>
              <w:suppressLineNumbers w:val="0"/>
              <w:spacing w:before="117" w:beforeAutospacing="0" w:after="0" w:afterAutospacing="0" w:line="221" w:lineRule="auto"/>
              <w:ind w:left="706" w:right="0"/>
              <w:rPr>
                <w:rFonts w:hint="default"/>
                <w:color w:val="auto"/>
                <w:spacing w:val="0"/>
                <w:w w:val="100"/>
                <w:position w:val="0"/>
                <w:highlight w:val="none"/>
              </w:rPr>
            </w:pPr>
            <w:r>
              <w:rPr>
                <w:rFonts w:hint="default"/>
                <w:color w:val="auto"/>
                <w:spacing w:val="0"/>
                <w:w w:val="100"/>
                <w:position w:val="0"/>
                <w:highlight w:val="none"/>
              </w:rPr>
              <w:t>地勘监理人员</w:t>
            </w:r>
          </w:p>
        </w:tc>
        <w:tc>
          <w:tcPr>
            <w:tcW w:w="1108" w:type="dxa"/>
            <w:tcBorders>
              <w:top w:val="single" w:color="000000" w:sz="10" w:space="0"/>
            </w:tcBorders>
            <w:vAlign w:val="top"/>
          </w:tcPr>
          <w:p w14:paraId="7D59CA7E">
            <w:pPr>
              <w:pStyle w:val="19"/>
              <w:keepNext w:val="0"/>
              <w:keepLines w:val="0"/>
              <w:widowControl/>
              <w:suppressLineNumbers w:val="0"/>
              <w:spacing w:before="117" w:beforeAutospacing="0" w:after="0" w:afterAutospacing="0" w:line="221" w:lineRule="auto"/>
              <w:ind w:left="369" w:right="0"/>
              <w:rPr>
                <w:rFonts w:hint="default"/>
                <w:color w:val="auto"/>
                <w:spacing w:val="0"/>
                <w:w w:val="100"/>
                <w:position w:val="0"/>
                <w:highlight w:val="none"/>
              </w:rPr>
            </w:pPr>
            <w:r>
              <w:rPr>
                <w:rFonts w:hint="default"/>
                <w:color w:val="auto"/>
                <w:spacing w:val="0"/>
                <w:w w:val="100"/>
                <w:position w:val="0"/>
                <w:highlight w:val="none"/>
              </w:rPr>
              <w:t>单位</w:t>
            </w:r>
          </w:p>
        </w:tc>
        <w:tc>
          <w:tcPr>
            <w:tcW w:w="1259" w:type="dxa"/>
            <w:tcBorders>
              <w:top w:val="single" w:color="000000" w:sz="10" w:space="0"/>
            </w:tcBorders>
            <w:vAlign w:val="top"/>
          </w:tcPr>
          <w:p w14:paraId="65CA332A">
            <w:pPr>
              <w:pStyle w:val="19"/>
              <w:keepNext w:val="0"/>
              <w:keepLines w:val="0"/>
              <w:widowControl/>
              <w:suppressLineNumbers w:val="0"/>
              <w:spacing w:before="117" w:beforeAutospacing="0" w:after="0" w:afterAutospacing="0" w:line="221" w:lineRule="auto"/>
              <w:ind w:left="430" w:right="0"/>
              <w:rPr>
                <w:rFonts w:hint="default"/>
                <w:color w:val="auto"/>
                <w:spacing w:val="0"/>
                <w:w w:val="100"/>
                <w:position w:val="0"/>
                <w:highlight w:val="none"/>
              </w:rPr>
            </w:pPr>
            <w:r>
              <w:rPr>
                <w:rFonts w:hint="default"/>
                <w:color w:val="auto"/>
                <w:spacing w:val="0"/>
                <w:w w:val="100"/>
                <w:position w:val="0"/>
                <w:highlight w:val="none"/>
              </w:rPr>
              <w:t>数量</w:t>
            </w:r>
          </w:p>
        </w:tc>
        <w:tc>
          <w:tcPr>
            <w:tcW w:w="1259" w:type="dxa"/>
            <w:tcBorders>
              <w:top w:val="single" w:color="000000" w:sz="10" w:space="0"/>
            </w:tcBorders>
            <w:vAlign w:val="top"/>
          </w:tcPr>
          <w:p w14:paraId="2AC10060">
            <w:pPr>
              <w:pStyle w:val="19"/>
              <w:keepNext w:val="0"/>
              <w:keepLines w:val="0"/>
              <w:widowControl/>
              <w:suppressLineNumbers w:val="0"/>
              <w:spacing w:before="117" w:beforeAutospacing="0" w:after="0" w:afterAutospacing="0" w:line="219" w:lineRule="auto"/>
              <w:ind w:left="133" w:right="0"/>
              <w:rPr>
                <w:rFonts w:hint="default"/>
                <w:color w:val="auto"/>
                <w:spacing w:val="0"/>
                <w:w w:val="100"/>
                <w:position w:val="0"/>
                <w:highlight w:val="none"/>
              </w:rPr>
            </w:pPr>
            <w:r>
              <w:rPr>
                <w:rFonts w:hint="default"/>
                <w:color w:val="auto"/>
                <w:spacing w:val="0"/>
                <w:w w:val="100"/>
                <w:position w:val="0"/>
                <w:highlight w:val="none"/>
              </w:rPr>
              <w:t>单价（元）</w:t>
            </w:r>
          </w:p>
        </w:tc>
        <w:tc>
          <w:tcPr>
            <w:tcW w:w="1805" w:type="dxa"/>
            <w:tcBorders>
              <w:top w:val="single" w:color="000000" w:sz="10" w:space="0"/>
              <w:right w:val="single" w:color="000000" w:sz="10" w:space="0"/>
            </w:tcBorders>
            <w:vAlign w:val="top"/>
          </w:tcPr>
          <w:p w14:paraId="22D7CB44">
            <w:pPr>
              <w:pStyle w:val="19"/>
              <w:keepNext w:val="0"/>
              <w:keepLines w:val="0"/>
              <w:widowControl/>
              <w:suppressLineNumbers w:val="0"/>
              <w:spacing w:before="117" w:beforeAutospacing="0" w:after="0" w:afterAutospacing="0" w:line="221" w:lineRule="auto"/>
              <w:ind w:left="348" w:right="0"/>
              <w:rPr>
                <w:rFonts w:hint="default"/>
                <w:color w:val="auto"/>
                <w:spacing w:val="0"/>
                <w:w w:val="100"/>
                <w:position w:val="0"/>
                <w:highlight w:val="none"/>
              </w:rPr>
            </w:pPr>
            <w:r>
              <w:rPr>
                <w:rFonts w:hint="default"/>
                <w:color w:val="auto"/>
                <w:spacing w:val="0"/>
                <w:w w:val="100"/>
                <w:position w:val="0"/>
                <w:highlight w:val="none"/>
              </w:rPr>
              <w:t>金额（元）</w:t>
            </w:r>
          </w:p>
        </w:tc>
      </w:tr>
      <w:tr w14:paraId="36DFE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010" w:type="dxa"/>
            <w:tcBorders>
              <w:left w:val="single" w:color="000000" w:sz="10" w:space="0"/>
            </w:tcBorders>
            <w:vAlign w:val="top"/>
          </w:tcPr>
          <w:p w14:paraId="4B11F0AA">
            <w:pPr>
              <w:pStyle w:val="19"/>
              <w:keepNext w:val="0"/>
              <w:keepLines w:val="0"/>
              <w:widowControl/>
              <w:suppressLineNumbers w:val="0"/>
              <w:spacing w:before="111" w:beforeAutospacing="0" w:after="0" w:afterAutospacing="0" w:line="233" w:lineRule="auto"/>
              <w:ind w:left="243" w:right="0"/>
              <w:rPr>
                <w:rFonts w:hint="default"/>
                <w:color w:val="auto"/>
                <w:spacing w:val="0"/>
                <w:w w:val="100"/>
                <w:position w:val="0"/>
                <w:highlight w:val="none"/>
              </w:rPr>
            </w:pPr>
            <w:r>
              <w:rPr>
                <w:rFonts w:hint="default"/>
                <w:color w:val="auto"/>
                <w:spacing w:val="0"/>
                <w:w w:val="100"/>
                <w:position w:val="0"/>
                <w:highlight w:val="none"/>
              </w:rPr>
              <w:t>（1）</w:t>
            </w:r>
          </w:p>
        </w:tc>
        <w:tc>
          <w:tcPr>
            <w:tcW w:w="2653" w:type="dxa"/>
            <w:vAlign w:val="top"/>
          </w:tcPr>
          <w:p w14:paraId="1ABA81FF">
            <w:pPr>
              <w:pStyle w:val="19"/>
              <w:keepNext w:val="0"/>
              <w:keepLines w:val="0"/>
              <w:widowControl/>
              <w:suppressLineNumbers w:val="0"/>
              <w:spacing w:before="161" w:beforeAutospacing="0" w:after="0" w:afterAutospacing="0" w:line="221" w:lineRule="auto"/>
              <w:ind w:left="600" w:right="0"/>
              <w:rPr>
                <w:rFonts w:hint="default"/>
                <w:color w:val="auto"/>
                <w:spacing w:val="0"/>
                <w:w w:val="100"/>
                <w:position w:val="0"/>
                <w:highlight w:val="none"/>
              </w:rPr>
            </w:pPr>
            <w:r>
              <w:rPr>
                <w:rFonts w:hint="default"/>
                <w:color w:val="auto"/>
                <w:spacing w:val="0"/>
                <w:w w:val="100"/>
                <w:position w:val="0"/>
                <w:highlight w:val="none"/>
              </w:rPr>
              <w:t>地勘监理负责人</w:t>
            </w:r>
          </w:p>
        </w:tc>
        <w:tc>
          <w:tcPr>
            <w:tcW w:w="1108" w:type="dxa"/>
            <w:vAlign w:val="top"/>
          </w:tcPr>
          <w:p w14:paraId="7E4BF905">
            <w:pPr>
              <w:pStyle w:val="19"/>
              <w:keepNext w:val="0"/>
              <w:keepLines w:val="0"/>
              <w:widowControl/>
              <w:suppressLineNumbers w:val="0"/>
              <w:spacing w:before="161" w:beforeAutospacing="0" w:after="0" w:afterAutospacing="0" w:line="221" w:lineRule="auto"/>
              <w:ind w:left="253" w:right="0"/>
              <w:rPr>
                <w:rFonts w:hint="default"/>
                <w:color w:val="auto"/>
                <w:spacing w:val="0"/>
                <w:w w:val="100"/>
                <w:position w:val="0"/>
                <w:highlight w:val="none"/>
              </w:rPr>
            </w:pPr>
            <w:r>
              <w:rPr>
                <w:rFonts w:hint="default"/>
                <w:color w:val="auto"/>
                <w:spacing w:val="0"/>
                <w:w w:val="100"/>
                <w:position w:val="0"/>
                <w:highlight w:val="none"/>
              </w:rPr>
              <w:t>人 ·月</w:t>
            </w:r>
          </w:p>
        </w:tc>
        <w:tc>
          <w:tcPr>
            <w:tcW w:w="1259" w:type="dxa"/>
            <w:vAlign w:val="top"/>
          </w:tcPr>
          <w:p w14:paraId="2388341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59" w:type="dxa"/>
            <w:vAlign w:val="top"/>
          </w:tcPr>
          <w:p w14:paraId="34DA6FE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05" w:type="dxa"/>
            <w:tcBorders>
              <w:right w:val="single" w:color="000000" w:sz="10" w:space="0"/>
            </w:tcBorders>
            <w:vAlign w:val="top"/>
          </w:tcPr>
          <w:p w14:paraId="3BB3D17F">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43614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010" w:type="dxa"/>
            <w:tcBorders>
              <w:left w:val="single" w:color="000000" w:sz="10" w:space="0"/>
            </w:tcBorders>
            <w:vAlign w:val="top"/>
          </w:tcPr>
          <w:p w14:paraId="5FF48ADE">
            <w:pPr>
              <w:pStyle w:val="19"/>
              <w:keepNext w:val="0"/>
              <w:keepLines w:val="0"/>
              <w:widowControl/>
              <w:suppressLineNumbers w:val="0"/>
              <w:spacing w:before="129" w:beforeAutospacing="0" w:after="0" w:afterAutospacing="0" w:line="233" w:lineRule="auto"/>
              <w:ind w:left="243" w:right="0"/>
              <w:rPr>
                <w:rFonts w:hint="default"/>
                <w:color w:val="auto"/>
                <w:spacing w:val="0"/>
                <w:w w:val="100"/>
                <w:position w:val="0"/>
                <w:highlight w:val="none"/>
              </w:rPr>
            </w:pPr>
            <w:r>
              <w:rPr>
                <w:rFonts w:hint="default"/>
                <w:color w:val="auto"/>
                <w:spacing w:val="0"/>
                <w:w w:val="100"/>
                <w:position w:val="0"/>
                <w:highlight w:val="none"/>
              </w:rPr>
              <w:t>（2）</w:t>
            </w:r>
          </w:p>
        </w:tc>
        <w:tc>
          <w:tcPr>
            <w:tcW w:w="2653" w:type="dxa"/>
            <w:vAlign w:val="top"/>
          </w:tcPr>
          <w:p w14:paraId="45D2C565">
            <w:pPr>
              <w:pStyle w:val="19"/>
              <w:keepNext w:val="0"/>
              <w:keepLines w:val="0"/>
              <w:widowControl/>
              <w:suppressLineNumbers w:val="0"/>
              <w:spacing w:before="170" w:beforeAutospacing="0" w:after="0" w:afterAutospacing="0" w:line="221" w:lineRule="auto"/>
              <w:ind w:left="804" w:right="0"/>
              <w:rPr>
                <w:rFonts w:hint="default"/>
                <w:color w:val="auto"/>
                <w:spacing w:val="0"/>
                <w:w w:val="100"/>
                <w:position w:val="0"/>
                <w:highlight w:val="none"/>
              </w:rPr>
            </w:pPr>
            <w:r>
              <w:rPr>
                <w:rFonts w:hint="default"/>
                <w:color w:val="auto"/>
                <w:spacing w:val="0"/>
                <w:w w:val="100"/>
                <w:position w:val="0"/>
                <w:highlight w:val="none"/>
              </w:rPr>
              <w:t>分项负责人</w:t>
            </w:r>
          </w:p>
        </w:tc>
        <w:tc>
          <w:tcPr>
            <w:tcW w:w="1108" w:type="dxa"/>
            <w:vAlign w:val="top"/>
          </w:tcPr>
          <w:p w14:paraId="2FF8614B">
            <w:pPr>
              <w:pStyle w:val="19"/>
              <w:keepNext w:val="0"/>
              <w:keepLines w:val="0"/>
              <w:widowControl/>
              <w:suppressLineNumbers w:val="0"/>
              <w:spacing w:before="170" w:beforeAutospacing="0" w:after="0" w:afterAutospacing="0" w:line="221" w:lineRule="auto"/>
              <w:ind w:left="253" w:right="0"/>
              <w:rPr>
                <w:rFonts w:hint="default"/>
                <w:color w:val="auto"/>
                <w:spacing w:val="0"/>
                <w:w w:val="100"/>
                <w:position w:val="0"/>
                <w:highlight w:val="none"/>
              </w:rPr>
            </w:pPr>
            <w:r>
              <w:rPr>
                <w:rFonts w:hint="default"/>
                <w:color w:val="auto"/>
                <w:spacing w:val="0"/>
                <w:w w:val="100"/>
                <w:position w:val="0"/>
                <w:highlight w:val="none"/>
              </w:rPr>
              <w:t>人 ·月</w:t>
            </w:r>
          </w:p>
        </w:tc>
        <w:tc>
          <w:tcPr>
            <w:tcW w:w="1259" w:type="dxa"/>
            <w:vAlign w:val="top"/>
          </w:tcPr>
          <w:p w14:paraId="2650E47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59" w:type="dxa"/>
            <w:vAlign w:val="top"/>
          </w:tcPr>
          <w:p w14:paraId="1503168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05" w:type="dxa"/>
            <w:tcBorders>
              <w:right w:val="single" w:color="000000" w:sz="10" w:space="0"/>
            </w:tcBorders>
            <w:vAlign w:val="top"/>
          </w:tcPr>
          <w:p w14:paraId="75CF7FF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67ED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010" w:type="dxa"/>
            <w:tcBorders>
              <w:left w:val="single" w:color="000000" w:sz="10" w:space="0"/>
            </w:tcBorders>
            <w:vAlign w:val="top"/>
          </w:tcPr>
          <w:p w14:paraId="1B7158F2">
            <w:pPr>
              <w:pStyle w:val="19"/>
              <w:keepNext w:val="0"/>
              <w:keepLines w:val="0"/>
              <w:widowControl/>
              <w:suppressLineNumbers w:val="0"/>
              <w:spacing w:before="133" w:beforeAutospacing="0" w:after="0" w:afterAutospacing="0" w:line="233" w:lineRule="auto"/>
              <w:ind w:left="243" w:right="0"/>
              <w:rPr>
                <w:rFonts w:hint="default"/>
                <w:color w:val="auto"/>
                <w:spacing w:val="0"/>
                <w:w w:val="100"/>
                <w:position w:val="0"/>
                <w:highlight w:val="none"/>
              </w:rPr>
            </w:pPr>
            <w:r>
              <w:rPr>
                <w:rFonts w:hint="default"/>
                <w:color w:val="auto"/>
                <w:spacing w:val="0"/>
                <w:w w:val="100"/>
                <w:position w:val="0"/>
                <w:highlight w:val="none"/>
              </w:rPr>
              <w:t>（3）</w:t>
            </w:r>
          </w:p>
        </w:tc>
        <w:tc>
          <w:tcPr>
            <w:tcW w:w="2653" w:type="dxa"/>
            <w:vAlign w:val="top"/>
          </w:tcPr>
          <w:p w14:paraId="3E34E131">
            <w:pPr>
              <w:pStyle w:val="19"/>
              <w:keepNext w:val="0"/>
              <w:keepLines w:val="0"/>
              <w:widowControl/>
              <w:suppressLineNumbers w:val="0"/>
              <w:spacing w:before="181" w:beforeAutospacing="0" w:after="0" w:afterAutospacing="0" w:line="221" w:lineRule="auto"/>
              <w:ind w:left="1127" w:right="0"/>
              <w:rPr>
                <w:rFonts w:hint="default"/>
                <w:color w:val="auto"/>
                <w:spacing w:val="0"/>
                <w:w w:val="100"/>
                <w:position w:val="0"/>
                <w:highlight w:val="none"/>
              </w:rPr>
            </w:pPr>
            <w:r>
              <w:rPr>
                <w:rFonts w:hint="default"/>
                <w:color w:val="auto"/>
                <w:spacing w:val="0"/>
                <w:w w:val="100"/>
                <w:position w:val="0"/>
                <w:highlight w:val="none"/>
              </w:rPr>
              <w:t>其他</w:t>
            </w:r>
          </w:p>
        </w:tc>
        <w:tc>
          <w:tcPr>
            <w:tcW w:w="1108" w:type="dxa"/>
            <w:vAlign w:val="top"/>
          </w:tcPr>
          <w:p w14:paraId="2A71860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59" w:type="dxa"/>
            <w:vAlign w:val="top"/>
          </w:tcPr>
          <w:p w14:paraId="0D35356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59" w:type="dxa"/>
            <w:vAlign w:val="top"/>
          </w:tcPr>
          <w:p w14:paraId="599EDAF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05" w:type="dxa"/>
            <w:tcBorders>
              <w:right w:val="single" w:color="000000" w:sz="10" w:space="0"/>
            </w:tcBorders>
            <w:vAlign w:val="top"/>
          </w:tcPr>
          <w:p w14:paraId="6E67AAB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1B5DC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jc w:val="center"/>
        </w:trPr>
        <w:tc>
          <w:tcPr>
            <w:tcW w:w="1010" w:type="dxa"/>
            <w:tcBorders>
              <w:left w:val="single" w:color="000000" w:sz="10" w:space="0"/>
            </w:tcBorders>
            <w:vAlign w:val="top"/>
          </w:tcPr>
          <w:p w14:paraId="575335C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653" w:type="dxa"/>
            <w:vAlign w:val="top"/>
          </w:tcPr>
          <w:p w14:paraId="55718A36">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108" w:type="dxa"/>
            <w:vAlign w:val="top"/>
          </w:tcPr>
          <w:p w14:paraId="58660CDA">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59" w:type="dxa"/>
            <w:vAlign w:val="top"/>
          </w:tcPr>
          <w:p w14:paraId="43750594">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59" w:type="dxa"/>
            <w:vAlign w:val="top"/>
          </w:tcPr>
          <w:p w14:paraId="529DEF7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05" w:type="dxa"/>
            <w:tcBorders>
              <w:right w:val="single" w:color="000000" w:sz="10" w:space="0"/>
            </w:tcBorders>
            <w:vAlign w:val="top"/>
          </w:tcPr>
          <w:p w14:paraId="07700311">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61A22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6" w:hRule="atLeast"/>
          <w:jc w:val="center"/>
        </w:trPr>
        <w:tc>
          <w:tcPr>
            <w:tcW w:w="1010" w:type="dxa"/>
            <w:tcBorders>
              <w:left w:val="single" w:color="000000" w:sz="10" w:space="0"/>
            </w:tcBorders>
            <w:vAlign w:val="top"/>
          </w:tcPr>
          <w:p w14:paraId="37B2F8F5">
            <w:pPr>
              <w:pStyle w:val="19"/>
              <w:keepNext w:val="0"/>
              <w:keepLines w:val="0"/>
              <w:widowControl/>
              <w:suppressLineNumbers w:val="0"/>
              <w:spacing w:before="283" w:beforeAutospacing="0" w:after="0" w:afterAutospacing="0" w:line="86" w:lineRule="exact"/>
              <w:ind w:left="0" w:right="0"/>
              <w:jc w:val="center"/>
              <w:rPr>
                <w:rFonts w:hint="default"/>
                <w:color w:val="auto"/>
                <w:spacing w:val="0"/>
                <w:w w:val="100"/>
                <w:position w:val="0"/>
                <w:highlight w:val="none"/>
              </w:rPr>
            </w:pPr>
            <w:r>
              <w:rPr>
                <w:rFonts w:hint="default"/>
                <w:color w:val="auto"/>
                <w:spacing w:val="0"/>
                <w:w w:val="100"/>
                <w:position w:val="0"/>
                <w:highlight w:val="none"/>
              </w:rPr>
              <w:t>...</w:t>
            </w:r>
          </w:p>
        </w:tc>
        <w:tc>
          <w:tcPr>
            <w:tcW w:w="2653" w:type="dxa"/>
            <w:vAlign w:val="top"/>
          </w:tcPr>
          <w:p w14:paraId="0FCD8770">
            <w:pPr>
              <w:pStyle w:val="19"/>
              <w:keepNext w:val="0"/>
              <w:keepLines w:val="0"/>
              <w:widowControl/>
              <w:suppressLineNumbers w:val="0"/>
              <w:spacing w:before="283" w:beforeAutospacing="0" w:after="0" w:afterAutospacing="0" w:line="86" w:lineRule="exact"/>
              <w:ind w:left="1184" w:right="0"/>
              <w:rPr>
                <w:rFonts w:hint="default"/>
                <w:color w:val="auto"/>
                <w:spacing w:val="0"/>
                <w:w w:val="100"/>
                <w:position w:val="0"/>
                <w:highlight w:val="none"/>
              </w:rPr>
            </w:pPr>
            <w:r>
              <w:rPr>
                <w:rFonts w:hint="default"/>
                <w:color w:val="auto"/>
                <w:spacing w:val="0"/>
                <w:w w:val="100"/>
                <w:position w:val="0"/>
                <w:highlight w:val="none"/>
              </w:rPr>
              <w:t>...</w:t>
            </w:r>
          </w:p>
        </w:tc>
        <w:tc>
          <w:tcPr>
            <w:tcW w:w="1108" w:type="dxa"/>
            <w:vAlign w:val="top"/>
          </w:tcPr>
          <w:p w14:paraId="56FC986C">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59" w:type="dxa"/>
            <w:vAlign w:val="top"/>
          </w:tcPr>
          <w:p w14:paraId="05894A67">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259" w:type="dxa"/>
            <w:vAlign w:val="top"/>
          </w:tcPr>
          <w:p w14:paraId="7AA8C43D">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1805" w:type="dxa"/>
            <w:tcBorders>
              <w:right w:val="single" w:color="000000" w:sz="10" w:space="0"/>
            </w:tcBorders>
            <w:vAlign w:val="top"/>
          </w:tcPr>
          <w:p w14:paraId="3FD6C368">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r w14:paraId="0C2CE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jc w:val="center"/>
        </w:trPr>
        <w:tc>
          <w:tcPr>
            <w:tcW w:w="1010" w:type="dxa"/>
            <w:tcBorders>
              <w:left w:val="single" w:color="000000" w:sz="10" w:space="0"/>
              <w:bottom w:val="single" w:color="000000" w:sz="10" w:space="0"/>
            </w:tcBorders>
            <w:vAlign w:val="top"/>
          </w:tcPr>
          <w:p w14:paraId="2B39FA79">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c>
          <w:tcPr>
            <w:tcW w:w="2653" w:type="dxa"/>
            <w:tcBorders>
              <w:bottom w:val="single" w:color="000000" w:sz="10" w:space="0"/>
            </w:tcBorders>
            <w:vAlign w:val="top"/>
          </w:tcPr>
          <w:p w14:paraId="7B686B74">
            <w:pPr>
              <w:pStyle w:val="19"/>
              <w:keepNext w:val="0"/>
              <w:keepLines w:val="0"/>
              <w:widowControl/>
              <w:suppressLineNumbers w:val="0"/>
              <w:spacing w:before="147" w:beforeAutospacing="0" w:after="0" w:afterAutospacing="0" w:line="221" w:lineRule="auto"/>
              <w:ind w:left="803" w:right="0"/>
              <w:rPr>
                <w:rFonts w:hint="default"/>
                <w:color w:val="auto"/>
                <w:spacing w:val="0"/>
                <w:w w:val="100"/>
                <w:position w:val="0"/>
                <w:highlight w:val="none"/>
              </w:rPr>
            </w:pPr>
            <w:r>
              <w:rPr>
                <w:rFonts w:hint="default"/>
                <w:color w:val="auto"/>
                <w:spacing w:val="0"/>
                <w:w w:val="100"/>
                <w:position w:val="0"/>
                <w:highlight w:val="none"/>
              </w:rPr>
              <w:t>合计（元）</w:t>
            </w:r>
          </w:p>
        </w:tc>
        <w:tc>
          <w:tcPr>
            <w:tcW w:w="3626" w:type="dxa"/>
            <w:gridSpan w:val="3"/>
            <w:tcBorders>
              <w:bottom w:val="single" w:color="000000" w:sz="10" w:space="0"/>
            </w:tcBorders>
            <w:vAlign w:val="top"/>
          </w:tcPr>
          <w:p w14:paraId="1AC7924E">
            <w:pPr>
              <w:pStyle w:val="19"/>
              <w:keepNext w:val="0"/>
              <w:keepLines w:val="0"/>
              <w:widowControl/>
              <w:suppressLineNumbers w:val="0"/>
              <w:spacing w:before="132" w:beforeAutospacing="0" w:after="0" w:afterAutospacing="0" w:line="226" w:lineRule="auto"/>
              <w:ind w:left="1771" w:right="0"/>
              <w:rPr>
                <w:rFonts w:hint="default"/>
                <w:color w:val="auto"/>
                <w:spacing w:val="0"/>
                <w:w w:val="100"/>
                <w:position w:val="0"/>
                <w:highlight w:val="none"/>
              </w:rPr>
            </w:pPr>
            <w:r>
              <w:rPr>
                <w:rFonts w:hint="default"/>
                <w:color w:val="auto"/>
                <w:spacing w:val="0"/>
                <w:w w:val="100"/>
                <w:position w:val="0"/>
                <w:highlight w:val="none"/>
              </w:rPr>
              <w:t>/</w:t>
            </w:r>
          </w:p>
        </w:tc>
        <w:tc>
          <w:tcPr>
            <w:tcW w:w="1805" w:type="dxa"/>
            <w:tcBorders>
              <w:bottom w:val="single" w:color="000000" w:sz="10" w:space="0"/>
              <w:right w:val="single" w:color="000000" w:sz="10" w:space="0"/>
            </w:tcBorders>
            <w:vAlign w:val="top"/>
          </w:tcPr>
          <w:p w14:paraId="474C3D35">
            <w:pPr>
              <w:keepNext w:val="0"/>
              <w:keepLines w:val="0"/>
              <w:widowControl/>
              <w:suppressLineNumbers w:val="0"/>
              <w:spacing w:before="0" w:beforeAutospacing="0" w:after="0" w:afterAutospacing="0"/>
              <w:ind w:left="0" w:right="0"/>
              <w:rPr>
                <w:rFonts w:hint="default" w:ascii="Arial"/>
                <w:color w:val="auto"/>
                <w:spacing w:val="0"/>
                <w:w w:val="100"/>
                <w:position w:val="0"/>
                <w:sz w:val="21"/>
                <w:highlight w:val="none"/>
              </w:rPr>
            </w:pPr>
          </w:p>
        </w:tc>
      </w:tr>
    </w:tbl>
    <w:p w14:paraId="1A255A74">
      <w:pPr>
        <w:rPr>
          <w:rFonts w:ascii="Arial"/>
          <w:color w:val="auto"/>
          <w:spacing w:val="0"/>
          <w:w w:val="100"/>
          <w:position w:val="0"/>
          <w:sz w:val="21"/>
          <w:highlight w:val="none"/>
        </w:rPr>
      </w:pPr>
    </w:p>
    <w:p w14:paraId="400C8BD4">
      <w:pPr>
        <w:rPr>
          <w:rFonts w:ascii="Arial" w:hAnsi="Arial" w:eastAsia="Arial" w:cs="Arial"/>
          <w:color w:val="auto"/>
          <w:spacing w:val="0"/>
          <w:w w:val="100"/>
          <w:position w:val="0"/>
          <w:sz w:val="21"/>
          <w:szCs w:val="21"/>
          <w:highlight w:val="none"/>
        </w:rPr>
        <w:sectPr>
          <w:footerReference r:id="rId103" w:type="default"/>
          <w:pgSz w:w="11900" w:h="16843"/>
          <w:pgMar w:top="1378" w:right="1417" w:bottom="1208" w:left="1417" w:header="1366" w:footer="1003" w:gutter="0"/>
          <w:pgNumType w:fmt="decimal"/>
          <w:cols w:space="0" w:num="1"/>
          <w:rtlGutter w:val="0"/>
          <w:docGrid w:linePitch="0" w:charSpace="0"/>
        </w:sectPr>
      </w:pPr>
    </w:p>
    <w:p w14:paraId="2DEBD5B3">
      <w:pPr>
        <w:spacing w:before="110" w:line="224" w:lineRule="auto"/>
        <w:ind w:left="3231"/>
        <w:outlineLvl w:val="2"/>
        <w:rPr>
          <w:rFonts w:ascii="宋体" w:hAnsi="宋体" w:eastAsia="宋体" w:cs="宋体"/>
          <w:color w:val="auto"/>
          <w:spacing w:val="0"/>
          <w:w w:val="100"/>
          <w:position w:val="0"/>
          <w:sz w:val="31"/>
          <w:szCs w:val="31"/>
          <w:highlight w:val="none"/>
        </w:rPr>
      </w:pPr>
      <w:bookmarkStart w:id="58" w:name="bookmark54"/>
      <w:bookmarkEnd w:id="58"/>
      <w:r>
        <w:rPr>
          <w:rFonts w:hint="eastAsia" w:ascii="宋体" w:hAnsi="宋体" w:eastAsia="宋体" w:cs="宋体"/>
          <w:b/>
          <w:bCs/>
          <w:color w:val="auto"/>
          <w:spacing w:val="0"/>
          <w:w w:val="100"/>
          <w:position w:val="0"/>
          <w:sz w:val="31"/>
          <w:szCs w:val="31"/>
          <w:highlight w:val="none"/>
          <w:lang w:eastAsia="zh-CN"/>
        </w:rPr>
        <w:t>（</w:t>
      </w:r>
      <w:r>
        <w:rPr>
          <w:rFonts w:hint="eastAsia" w:ascii="宋体" w:hAnsi="宋体" w:eastAsia="宋体" w:cs="宋体"/>
          <w:b/>
          <w:bCs/>
          <w:color w:val="auto"/>
          <w:spacing w:val="0"/>
          <w:w w:val="100"/>
          <w:position w:val="0"/>
          <w:sz w:val="31"/>
          <w:szCs w:val="31"/>
          <w:highlight w:val="none"/>
          <w:lang w:val="en-US" w:eastAsia="zh-CN"/>
        </w:rPr>
        <w:t>四</w:t>
      </w:r>
      <w:r>
        <w:rPr>
          <w:rFonts w:hint="eastAsia" w:ascii="宋体" w:hAnsi="宋体" w:eastAsia="宋体" w:cs="宋体"/>
          <w:b/>
          <w:bCs/>
          <w:color w:val="auto"/>
          <w:spacing w:val="0"/>
          <w:w w:val="100"/>
          <w:position w:val="0"/>
          <w:sz w:val="31"/>
          <w:szCs w:val="31"/>
          <w:highlight w:val="none"/>
          <w:lang w:eastAsia="zh-CN"/>
        </w:rPr>
        <w:t>）</w:t>
      </w:r>
      <w:r>
        <w:rPr>
          <w:rFonts w:ascii="宋体" w:hAnsi="宋体" w:eastAsia="宋体" w:cs="宋体"/>
          <w:b/>
          <w:bCs/>
          <w:color w:val="auto"/>
          <w:spacing w:val="0"/>
          <w:w w:val="100"/>
          <w:position w:val="0"/>
          <w:sz w:val="31"/>
          <w:szCs w:val="31"/>
          <w:highlight w:val="none"/>
        </w:rPr>
        <w:t>其他材料</w:t>
      </w:r>
    </w:p>
    <w:p w14:paraId="522D169E">
      <w:pPr>
        <w:spacing w:line="244" w:lineRule="auto"/>
        <w:rPr>
          <w:rFonts w:ascii="Arial"/>
          <w:color w:val="auto"/>
          <w:spacing w:val="0"/>
          <w:w w:val="100"/>
          <w:position w:val="0"/>
          <w:sz w:val="21"/>
          <w:highlight w:val="none"/>
        </w:rPr>
      </w:pPr>
    </w:p>
    <w:p w14:paraId="2BC94571">
      <w:pPr>
        <w:spacing w:line="244" w:lineRule="auto"/>
        <w:rPr>
          <w:rFonts w:ascii="Arial"/>
          <w:color w:val="auto"/>
          <w:spacing w:val="0"/>
          <w:w w:val="100"/>
          <w:position w:val="0"/>
          <w:sz w:val="21"/>
          <w:highlight w:val="none"/>
        </w:rPr>
      </w:pPr>
    </w:p>
    <w:p w14:paraId="160ED963">
      <w:pPr>
        <w:spacing w:line="244" w:lineRule="auto"/>
        <w:rPr>
          <w:rFonts w:ascii="Arial"/>
          <w:color w:val="auto"/>
          <w:spacing w:val="0"/>
          <w:w w:val="100"/>
          <w:position w:val="0"/>
          <w:sz w:val="21"/>
          <w:highlight w:val="none"/>
        </w:rPr>
      </w:pPr>
    </w:p>
    <w:p w14:paraId="734004AD">
      <w:pPr>
        <w:spacing w:line="244" w:lineRule="auto"/>
        <w:rPr>
          <w:rFonts w:ascii="Arial"/>
          <w:color w:val="auto"/>
          <w:spacing w:val="0"/>
          <w:w w:val="100"/>
          <w:position w:val="0"/>
          <w:sz w:val="21"/>
          <w:highlight w:val="none"/>
        </w:rPr>
      </w:pPr>
    </w:p>
    <w:p w14:paraId="31B06EF2">
      <w:pPr>
        <w:spacing w:before="68" w:line="219" w:lineRule="auto"/>
        <w:ind w:left="964"/>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1.工作量计算及报价计算说明</w:t>
      </w:r>
    </w:p>
    <w:p w14:paraId="2C309448">
      <w:pPr>
        <w:spacing w:before="158" w:line="220" w:lineRule="auto"/>
        <w:ind w:left="951"/>
        <w:rPr>
          <w:rFonts w:ascii="宋体" w:hAnsi="宋体" w:eastAsia="宋体" w:cs="宋体"/>
          <w:color w:val="auto"/>
          <w:spacing w:val="0"/>
          <w:w w:val="100"/>
          <w:position w:val="0"/>
          <w:sz w:val="21"/>
          <w:szCs w:val="21"/>
          <w:highlight w:val="none"/>
        </w:rPr>
      </w:pPr>
      <w:r>
        <w:rPr>
          <w:rFonts w:ascii="宋体" w:hAnsi="宋体" w:eastAsia="宋体" w:cs="宋体"/>
          <w:color w:val="auto"/>
          <w:spacing w:val="0"/>
          <w:w w:val="100"/>
          <w:position w:val="0"/>
          <w:sz w:val="21"/>
          <w:szCs w:val="21"/>
          <w:highlight w:val="none"/>
        </w:rPr>
        <w:t>2.其他材料</w:t>
      </w:r>
    </w:p>
    <w:sectPr>
      <w:headerReference r:id="rId104" w:type="default"/>
      <w:footerReference r:id="rId105" w:type="default"/>
      <w:pgSz w:w="11900" w:h="16843"/>
      <w:pgMar w:top="1378" w:right="1417" w:bottom="1208" w:left="1417" w:header="1366" w:footer="1003"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Segoe UI Symbol">
    <w:panose1 w:val="020B0502040204020203"/>
    <w:charset w:val="00"/>
    <w:family w:val="auto"/>
    <w:pitch w:val="default"/>
    <w:sig w:usb0="800001E3" w:usb1="1200FFEF" w:usb2="00040000" w:usb3="04000000" w:csb0="00000001" w:csb1="40000000"/>
  </w:font>
  <w:font w:name="Microsoft JhengHei Light">
    <w:panose1 w:val="020B0304030504040204"/>
    <w:charset w:val="86"/>
    <w:family w:val="auto"/>
    <w:pitch w:val="default"/>
    <w:sig w:usb0="800002A7" w:usb1="28CF4400" w:usb2="00000016" w:usb3="00000000" w:csb0="00100009" w:csb1="00000000"/>
  </w:font>
  <w:font w:name="layui-icon">
    <w:altName w:val="Segoe Print"/>
    <w:panose1 w:val="00000000000000000000"/>
    <w:charset w:val="00"/>
    <w:family w:val="auto"/>
    <w:pitch w:val="default"/>
    <w:sig w:usb0="00000000" w:usb1="00000000" w:usb2="00000000" w:usb3="00000000" w:csb0="00000000" w:csb1="00000000"/>
  </w:font>
  <w:font w:name="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EFF" w:usb1="C000785B" w:usb2="00000009" w:usb3="00000000" w:csb0="400001FF" w:csb1="FFFF0000"/>
  </w:font>
  <w:font w:name="helvetica">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ECC96">
    <w:pPr>
      <w:pStyle w:val="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24EFF">
    <w:pPr>
      <w:spacing w:line="220" w:lineRule="auto"/>
      <w:ind w:left="41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6" name="文本框 2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548A05">
                          <w:pPr>
                            <w:pStyle w:val="8"/>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83MGU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i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PNzBlNAIAAGUEAAAOAAAAAAAAAAEAIAAAAB8BAABkcnMvZTJvRG9jLnhtbFBL&#10;BQYAAAAABgAGAFkBAADFBQAAAAA=&#10;">
              <v:fill on="f" focussize="0,0"/>
              <v:stroke on="f" weight="0.5pt"/>
              <v:imagedata o:title=""/>
              <o:lock v:ext="edit" aspectratio="f"/>
              <v:textbox inset="0mm,0mm,0mm,0mm" style="mso-fit-shape-to-text:t;">
                <w:txbxContent>
                  <w:p w14:paraId="08548A05">
                    <w:pPr>
                      <w:pStyle w:val="8"/>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6369B">
    <w:pPr>
      <w:spacing w:line="220" w:lineRule="auto"/>
      <w:ind w:left="41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7" name="文本框 2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942907">
                          <w:pPr>
                            <w:pStyle w:val="8"/>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Lrvk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ki675NAIAAGUEAAAOAAAAAAAAAAEAIAAAAB8BAABkcnMvZTJvRG9jLnhtbFBL&#10;BQYAAAAABgAGAFkBAADFBQAAAAA=&#10;">
              <v:fill on="f" focussize="0,0"/>
              <v:stroke on="f" weight="0.5pt"/>
              <v:imagedata o:title=""/>
              <o:lock v:ext="edit" aspectratio="f"/>
              <v:textbox inset="0mm,0mm,0mm,0mm" style="mso-fit-shape-to-text:t;">
                <w:txbxContent>
                  <w:p w14:paraId="60942907">
                    <w:pPr>
                      <w:pStyle w:val="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F8B3C">
    <w:pPr>
      <w:spacing w:line="220" w:lineRule="auto"/>
      <w:ind w:left="41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9" name="文本框 2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B7D94D">
                          <w:pPr>
                            <w:pStyle w:val="8"/>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L42Ds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Ng7NAIAAGUEAAAOAAAAAAAAAAEAIAAAAB8BAABkcnMvZTJvRG9jLnhtbFBL&#10;BQYAAAAABgAGAFkBAADFBQAAAAA=&#10;">
              <v:fill on="f" focussize="0,0"/>
              <v:stroke on="f" weight="0.5pt"/>
              <v:imagedata o:title=""/>
              <o:lock v:ext="edit" aspectratio="f"/>
              <v:textbox inset="0mm,0mm,0mm,0mm" style="mso-fit-shape-to-text:t;">
                <w:txbxContent>
                  <w:p w14:paraId="78B7D94D">
                    <w:pPr>
                      <w:pStyle w:val="8"/>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85B">
    <w:pPr>
      <w:spacing w:line="220" w:lineRule="auto"/>
      <w:ind w:left="41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2" name="文本框 2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A48134">
                          <w:pPr>
                            <w:pStyle w:val="8"/>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WgrM40AgAAZQQAAA4AAABkcnMvZTJvRG9jLnhtbK1UzY7TMBC+I/EO&#10;lu80aRCrqmq6KlsVIVXsSgVxdh2nieQ/2W6T8gDwBpy4cOe5+hx8zk8XLRz2wMUZe8bf+PtmJovb&#10;VklyEs7XRud0OkkpEZqbotaHnH76uHk1o8QHpgsmjRY5PQtPb5cvXywaOxeZqYwshCMA0X7e2JxW&#10;Idh5knheCcX8xFih4SyNUyxg6w5J4VgDdCWTLE1vksa4wjrDhfc4XfdOOiC65wCasqy5WBt+VEKH&#10;HtUJyQIo+aq2ni6715al4OG+LL0IROYUTEO3IgnsfVyT5YLND47ZqubDE9hznvCEk2K1RtIr1JoF&#10;Ro6u/gtK1dwZb8ow4UYlPZFOEbCYpk+02VXMio4LpPb2Krr/f7D8w+nBkbrIaZZllGimUPLL92+X&#10;H78uP7+SeAiJGuvniNxZxIb2rWnROOO5x2Fk3pZOxS84Efgh8PkqsGgD4fHSLJvNUrg4fOMG+Mnj&#10;det8eCeMItHIqUMFO2HZaetDHzqGxGzabGopuypKTZqc3rx+k3YXrh6AS40ckUT/2GiFdt8OzPam&#10;OIOYM313eMs3NZJvmQ8PzKEd8GAMTLjHUkqDJGawKKmM+/Kv8xiPKsFLSYP2yqnGNFEi32tUD4Bh&#10;NNxo7EdDH9WdQb9OMYiWdyYuuCBHs3RGfcYUrWIOuJjmyJTTMJp3oW9xTCEXq1UXdLSuPlT9BfSe&#10;ZWGrd5bHNFFIb1fHADE7jaNAvSqDbui+rkrDpMT2/nPfRT3+HZ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VoKzONAIAAGUEAAAOAAAAAAAAAAEAIAAAAB8BAABkcnMvZTJvRG9jLnhtbFBL&#10;BQYAAAAABgAGAFkBAADFBQAAAAA=&#10;">
              <v:fill on="f" focussize="0,0"/>
              <v:stroke on="f" weight="0.5pt"/>
              <v:imagedata o:title=""/>
              <o:lock v:ext="edit" aspectratio="f"/>
              <v:textbox inset="0mm,0mm,0mm,0mm" style="mso-fit-shape-to-text:t;">
                <w:txbxContent>
                  <w:p w14:paraId="35A48134">
                    <w:pPr>
                      <w:pStyle w:val="8"/>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BC7AD">
    <w:pPr>
      <w:spacing w:line="220" w:lineRule="auto"/>
      <w:ind w:left="41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3" name="文本框 2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9F5201">
                          <w:pPr>
                            <w:pStyle w:val="8"/>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4cMlI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HDJSNAIAAGUEAAAOAAAAAAAAAAEAIAAAAB8BAABkcnMvZTJvRG9jLnhtbFBL&#10;BQYAAAAABgAGAFkBAADFBQAAAAA=&#10;">
              <v:fill on="f" focussize="0,0"/>
              <v:stroke on="f" weight="0.5pt"/>
              <v:imagedata o:title=""/>
              <o:lock v:ext="edit" aspectratio="f"/>
              <v:textbox inset="0mm,0mm,0mm,0mm" style="mso-fit-shape-to-text:t;">
                <w:txbxContent>
                  <w:p w14:paraId="7E9F5201">
                    <w:pPr>
                      <w:pStyle w:val="8"/>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5664A">
    <w:pPr>
      <w:spacing w:line="220" w:lineRule="auto"/>
      <w:ind w:left="410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D3457B">
                          <w:pPr>
                            <w:pStyle w:val="8"/>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lCTM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tJQkzNAIAAGUEAAAOAAAAAAAAAAEAIAAAAB8BAABkcnMvZTJvRG9jLnhtbFBL&#10;BQYAAAAABgAGAFkBAADFBQAAAAA=&#10;">
              <v:fill on="f" focussize="0,0"/>
              <v:stroke on="f" weight="0.5pt"/>
              <v:imagedata o:title=""/>
              <o:lock v:ext="edit" aspectratio="f"/>
              <v:textbox inset="0mm,0mm,0mm,0mm" style="mso-fit-shape-to-text:t;">
                <w:txbxContent>
                  <w:p w14:paraId="4AD3457B">
                    <w:pPr>
                      <w:pStyle w:val="8"/>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948EF">
    <w:pPr>
      <w:spacing w:line="220" w:lineRule="auto"/>
      <w:ind w:left="409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5" name="文本框 2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E84AA">
                          <w:pPr>
                            <w:pStyle w:val="8"/>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aZl68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p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GmZevNAIAAGUEAAAOAAAAAAAAAAEAIAAAAB8BAABkcnMvZTJvRG9jLnhtbFBL&#10;BQYAAAAABgAGAFkBAADFBQAAAAA=&#10;">
              <v:fill on="f" focussize="0,0"/>
              <v:stroke on="f" weight="0.5pt"/>
              <v:imagedata o:title=""/>
              <o:lock v:ext="edit" aspectratio="f"/>
              <v:textbox inset="0mm,0mm,0mm,0mm" style="mso-fit-shape-to-text:t;">
                <w:txbxContent>
                  <w:p w14:paraId="14BE84AA">
                    <w:pPr>
                      <w:pStyle w:val="8"/>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ADBD4">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7" name="文本框 2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77BAC">
                          <w:pPr>
                            <w:pStyle w:val="8"/>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n200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R59tNNAIAAGUEAAAOAAAAAAAAAAEAIAAAAB8BAABkcnMvZTJvRG9jLnhtbFBL&#10;BQYAAAAABgAGAFkBAADFBQAAAAA=&#10;">
              <v:fill on="f" focussize="0,0"/>
              <v:stroke on="f" weight="0.5pt"/>
              <v:imagedata o:title=""/>
              <o:lock v:ext="edit" aspectratio="f"/>
              <v:textbox inset="0mm,0mm,0mm,0mm" style="mso-fit-shape-to-text:t;">
                <w:txbxContent>
                  <w:p w14:paraId="67D77BAC">
                    <w:pPr>
                      <w:pStyle w:val="8"/>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1A585">
    <w:pPr>
      <w:spacing w:line="223"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FA49F">
                          <w:pPr>
                            <w:pStyle w:val="8"/>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UrY8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3lK2PNAIAAGUEAAAOAAAAAAAAAAEAIAAAAB8BAABkcnMvZTJvRG9jLnhtbFBL&#10;BQYAAAAABgAGAFkBAADFBQAAAAA=&#10;">
              <v:fill on="f" focussize="0,0"/>
              <v:stroke on="f" weight="0.5pt"/>
              <v:imagedata o:title=""/>
              <o:lock v:ext="edit" aspectratio="f"/>
              <v:textbox inset="0mm,0mm,0mm,0mm" style="mso-fit-shape-to-text:t;">
                <w:txbxContent>
                  <w:p w14:paraId="4C5FA49F">
                    <w:pPr>
                      <w:pStyle w:val="8"/>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8C444">
    <w:pPr>
      <w:spacing w:line="223"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0" name="文本框 2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10AE5">
                          <w:pPr>
                            <w:pStyle w:val="8"/>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4HPY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aGKYRsnPP76f&#10;f/4+//pG0iEkql2YI/LBITY272yDxhnOAw4T86b0On3BicAPsNNFYNFEwtOl2XQ2G8PF4Rs2wM+e&#10;rjsf4nthNUlGTj0q2ArLjtsQu9AhJGUzdiOVaquoDKlzen31dtxeuHgArgxyJBLdY5MVm13TM9vZ&#10;4gRi3nbdERzfSCTfshDvmUc74MEYmHiHpVQWSWxvUVJZ//Vf5ykeVYKXkhrtlVODaaJEfTCoHgDj&#10;YPjB2A2GOehbi36dYBAdb01c8FENZumt/oIpWqUccDHDkSmncTBvY9fimEIuVqs26OC83FfdBfSe&#10;Y3FrHhxPaZKQwa0OEWK2GieBOlV63dB9bZX6SUnt/ee+jXr6O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u+Bz2NAIAAGUEAAAOAAAAAAAAAAEAIAAAAB8BAABkcnMvZTJvRG9jLnhtbFBL&#10;BQYAAAAABgAGAFkBAADFBQAAAAA=&#10;">
              <v:fill on="f" focussize="0,0"/>
              <v:stroke on="f" weight="0.5pt"/>
              <v:imagedata o:title=""/>
              <o:lock v:ext="edit" aspectratio="f"/>
              <v:textbox inset="0mm,0mm,0mm,0mm" style="mso-fit-shape-to-text:t;">
                <w:txbxContent>
                  <w:p w14:paraId="04310AE5">
                    <w:pPr>
                      <w:pStyle w:val="8"/>
                    </w:pPr>
                    <w:r>
                      <w:fldChar w:fldCharType="begin"/>
                    </w:r>
                    <w:r>
                      <w:instrText xml:space="preserve"> PAGE  \* MERGEFORMAT </w:instrText>
                    </w:r>
                    <w:r>
                      <w:fldChar w:fldCharType="separate"/>
                    </w:r>
                    <w:r>
                      <w:t>114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911E2">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4" name="文本框 1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302A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IWSys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SU64c0rSgzTKPnp+7fT&#10;j1+nn19JOoREjQszRG4cYmP71rYIH84DDhPztvI6fcGJwA+BjxeBRRsJT5emk+k0h4vDN2yAnz1c&#10;dz7Ed8JqkoyCelSwE5YdbkPsQ4eQlM3YtVSqq6IypCno1cvXeXfh4gG4MsiRSPSPTVZst+2Z2daW&#10;RxDztu+O4PhaIvktC/GeebQDHoyBiXdYKmWRxJ4tSmrrv/zrPMWjSvBS0qC9CmowTZSo9wbVA2Ac&#10;DD8Y28Ewe31j0a9jDKLjnYkLPqrBrLzVnzFFy5QDLmY4MhU0DuZN7FscU8jFctkF7Z2Xu7q/gN5z&#10;LN6ajeMpTRIyuOU+QsxO4yRQr8pZN3RfV6XzpKT2/nPfRT38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FksrNAIAAGUEAAAOAAAAAAAAAAEAIAAAAB8BAABkcnMvZTJvRG9jLnhtbFBL&#10;BQYAAAAABgAGAFkBAADFBQAAAAA=&#10;">
              <v:fill on="f" focussize="0,0"/>
              <v:stroke on="f" weight="0.5pt"/>
              <v:imagedata o:title=""/>
              <o:lock v:ext="edit" aspectratio="f"/>
              <v:textbox inset="0mm,0mm,0mm,0mm" style="mso-fit-shape-to-text:t;">
                <w:txbxContent>
                  <w:p w14:paraId="47C302A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90673">
    <w:pPr>
      <w:spacing w:line="223"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2" name="文本框 2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50F2CA">
                          <w:pPr>
                            <w:pStyle w:val="8"/>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mGUBQ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OrK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5hlAUNAIAAGUEAAAOAAAAAAAAAAEAIAAAAB8BAABkcnMvZTJvRG9jLnhtbFBL&#10;BQYAAAAABgAGAFkBAADFBQAAAAA=&#10;">
              <v:fill on="f" focussize="0,0"/>
              <v:stroke on="f" weight="0.5pt"/>
              <v:imagedata o:title=""/>
              <o:lock v:ext="edit" aspectratio="f"/>
              <v:textbox inset="0mm,0mm,0mm,0mm" style="mso-fit-shape-to-text:t;">
                <w:txbxContent>
                  <w:p w14:paraId="3550F2CA">
                    <w:pPr>
                      <w:pStyle w:val="8"/>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423F6">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BC6B39">
                          <w:pPr>
                            <w:pStyle w:val="8"/>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D9ek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m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QQP16TUCAABlBAAADgAAAAAAAAABACAAAAAfAQAAZHJzL2Uyb0RvYy54bWxQ&#10;SwUGAAAAAAYABgBZAQAAxgUAAAAA&#10;">
              <v:fill on="f" focussize="0,0"/>
              <v:stroke on="f" weight="0.5pt"/>
              <v:imagedata o:title=""/>
              <o:lock v:ext="edit" aspectratio="f"/>
              <v:textbox inset="0mm,0mm,0mm,0mm" style="mso-fit-shape-to-text:t;">
                <w:txbxContent>
                  <w:p w14:paraId="43BC6B39">
                    <w:pPr>
                      <w:pStyle w:val="8"/>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0FCDB">
    <w:pPr>
      <w:spacing w:line="220" w:lineRule="auto"/>
      <w:ind w:left="40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5" name="文本框 2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D0E0D">
                          <w:pPr>
                            <w:pStyle w:val="8"/>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q/a3U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Ora0oM0yj5+fu3&#10;849f559fSTqERLULc0Q+OsTG5q1t0DjDecBhYt6UXqcvOBH4IfDpIrBoIuHp0mw6m43h4vANG+Bn&#10;T9edD/GdsJokI6ceFWyFZcdtiF3oEJKyGbuRSrVVVIbUOb25uh63Fy4egCuDHIlE99hkxWbX9Mx2&#10;tjiBmLdddwTHNxLJtyzEB+bRDngwBibeYymVRRLbW5RU1n/513mKR5XgpaRGe+XUYJooUe8NqgfA&#10;OBh+MHaDYQ76zqJfJxhEx1sTF3xUg1l6qz9jilYpB1zMcGTKaRzMu9i1OKaQi9WqDTo4L/dVdwG9&#10;51jcmkfHU5okZHCrQ4SYrcZJoE6VXjd0X1ulflJS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qv2t1NAIAAGUEAAAOAAAAAAAAAAEAIAAAAB8BAABkcnMvZTJvRG9jLnhtbFBL&#10;BQYAAAAABgAGAFkBAADFBQAAAAA=&#10;">
              <v:fill on="f" focussize="0,0"/>
              <v:stroke on="f" weight="0.5pt"/>
              <v:imagedata o:title=""/>
              <o:lock v:ext="edit" aspectratio="f"/>
              <v:textbox inset="0mm,0mm,0mm,0mm" style="mso-fit-shape-to-text:t;">
                <w:txbxContent>
                  <w:p w14:paraId="251D0E0D">
                    <w:pPr>
                      <w:pStyle w:val="8"/>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2440F">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6" name="文本框 2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E72F6">
                          <w:pPr>
                            <w:pStyle w:val="8"/>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Z9uQs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E5uppRoplDyy4/v&#10;l5+/L7++kXgIiWrr54jcWcSG5p1p0DjDucdhZN4UTsUvOBH4IfD5KrBoAuHx0mwym6VwcfiGDfCT&#10;p+vW+fBeGEWikVGHCrbCstPWhy50CInZtNlUUrZVlJrUGZ3evE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fbkLNAIAAGUEAAAOAAAAAAAAAAEAIAAAAB8BAABkcnMvZTJvRG9jLnhtbFBL&#10;BQYAAAAABgAGAFkBAADFBQAAAAA=&#10;">
              <v:fill on="f" focussize="0,0"/>
              <v:stroke on="f" weight="0.5pt"/>
              <v:imagedata o:title=""/>
              <o:lock v:ext="edit" aspectratio="f"/>
              <v:textbox inset="0mm,0mm,0mm,0mm" style="mso-fit-shape-to-text:t;">
                <w:txbxContent>
                  <w:p w14:paraId="0E9E72F6">
                    <w:pPr>
                      <w:pStyle w:val="8"/>
                    </w:pPr>
                    <w:r>
                      <w:fldChar w:fldCharType="begin"/>
                    </w:r>
                    <w:r>
                      <w:instrText xml:space="preserve"> PAGE  \* MERGEFORMAT </w:instrText>
                    </w:r>
                    <w:r>
                      <w:fldChar w:fldCharType="separate"/>
                    </w:r>
                    <w:r>
                      <w:t>121</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A88D3">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7" name="文本框 2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A0842">
                          <w:pPr>
                            <w:pStyle w:val="8"/>
                          </w:pPr>
                          <w:r>
                            <w:fldChar w:fldCharType="begin"/>
                          </w:r>
                          <w:r>
                            <w:instrText xml:space="preserve"> PAGE  \* MERGEFORMAT </w:instrText>
                          </w:r>
                          <w:r>
                            <w:fldChar w:fldCharType="separate"/>
                          </w:r>
                          <w:r>
                            <w:t>122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BJ5c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vcEnlzUCAABlBAAADgAAAAAAAAABACAAAAAfAQAAZHJzL2Uyb0RvYy54bWxQ&#10;SwUGAAAAAAYABgBZAQAAxgUAAAAA&#10;">
              <v:fill on="f" focussize="0,0"/>
              <v:stroke on="f" weight="0.5pt"/>
              <v:imagedata o:title=""/>
              <o:lock v:ext="edit" aspectratio="f"/>
              <v:textbox inset="0mm,0mm,0mm,0mm" style="mso-fit-shape-to-text:t;">
                <w:txbxContent>
                  <w:p w14:paraId="613A0842">
                    <w:pPr>
                      <w:pStyle w:val="8"/>
                    </w:pPr>
                    <w:r>
                      <w:fldChar w:fldCharType="begin"/>
                    </w:r>
                    <w:r>
                      <w:instrText xml:space="preserve"> PAGE  \* MERGEFORMAT </w:instrText>
                    </w:r>
                    <w:r>
                      <w:fldChar w:fldCharType="separate"/>
                    </w:r>
                    <w:r>
                      <w:t>122</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C0F80">
    <w:pPr>
      <w:spacing w:line="223"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8" name="文本框 2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EF3392">
                          <w:pPr>
                            <w:pStyle w:val="8"/>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Oz8k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FN4wjZKff3w/&#10;//x9/vWNpENIVLswR+SDQ2xs3tkGjTOcBxwm5k3pdfqCE4EfAp8uAosmEp4uzaaz2RguDt+wAX72&#10;dN35EN8Lq0kycupRwVZYdtyG2IUOISmbsRupVFtFZUid0+urt+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wDs/JNAIAAGUEAAAOAAAAAAAAAAEAIAAAAB8BAABkcnMvZTJvRG9jLnhtbFBL&#10;BQYAAAAABgAGAFkBAADFBQAAAAA=&#10;">
              <v:fill on="f" focussize="0,0"/>
              <v:stroke on="f" weight="0.5pt"/>
              <v:imagedata o:title=""/>
              <o:lock v:ext="edit" aspectratio="f"/>
              <v:textbox inset="0mm,0mm,0mm,0mm" style="mso-fit-shape-to-text:t;">
                <w:txbxContent>
                  <w:p w14:paraId="7CEF3392">
                    <w:pPr>
                      <w:pStyle w:val="8"/>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2DF86">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9" name="文本框 2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A601F">
                          <w:pPr>
                            <w:pStyle w:val="8"/>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UVU1AgAAZQ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7JRVTUCAABlBAAADgAAAAAAAAABACAAAAAfAQAAZHJzL2Uyb0RvYy54bWxQ&#10;SwUGAAAAAAYABgBZAQAAxgUAAAAA&#10;">
              <v:fill on="f" focussize="0,0"/>
              <v:stroke on="f" weight="0.5pt"/>
              <v:imagedata o:title=""/>
              <o:lock v:ext="edit" aspectratio="f"/>
              <v:textbox inset="0mm,0mm,0mm,0mm" style="mso-fit-shape-to-text:t;">
                <w:txbxContent>
                  <w:p w14:paraId="1B5A601F">
                    <w:pPr>
                      <w:pStyle w:val="8"/>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17CB8">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0" name="文本框 2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0E31B7">
                          <w:pPr>
                            <w:pStyle w:val="8"/>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Be58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GmhimUfLTj++n&#10;nw+nX99IOoREjQszRN47xMb2nW3ROMN5wGFi3lZepy84EfgBdrwILNpIeLo0nUynOVwcvmED/Ozx&#10;uvMhvhdWk2QU1KOCnbDssAmxDx1CUjZj11KprorKkKagV6/f5t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pAXufNAIAAGUEAAAOAAAAAAAAAAEAIAAAAB8BAABkcnMvZTJvRG9jLnhtbFBL&#10;BQYAAAAABgAGAFkBAADFBQAAAAA=&#10;">
              <v:fill on="f" focussize="0,0"/>
              <v:stroke on="f" weight="0.5pt"/>
              <v:imagedata o:title=""/>
              <o:lock v:ext="edit" aspectratio="f"/>
              <v:textbox inset="0mm,0mm,0mm,0mm" style="mso-fit-shape-to-text:t;">
                <w:txbxContent>
                  <w:p w14:paraId="010E31B7">
                    <w:pPr>
                      <w:pStyle w:val="8"/>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3E2DC">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1" name="文本框 2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E9E7F">
                          <w:pPr>
                            <w:pStyle w:val="8"/>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95QM0AgAAZQ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Tt6MKTFMo+WnH99P&#10;Px9Ov76RdAiJGhdmiLx3iI3tO9ticIbzgMPEvK28Tl9wIvBD4ONFYNFGwtOl6WQ6zeHi8A0b4GeP&#10;150P8b2wmiSjoB4d7IRlh02IfegQkrIZu5ZKdV1UhjQFvXr9Nu8uXDwAVwY5Eom+2GTFdtuemW1t&#10;eQQxb/vpCI6vJZJvWIh3zGMcUDAeTLzFUimLJPZsUVJb//Vf5ykeXYKXkgbjVVCD10SJ+mDQPQDG&#10;wfCDsR0Ms9c3FvOKfqCWzsQFH9VgVt7qL3hFy5QDLmY4MhU0DuZN7Eccr5CL5bIL2jsvd3V/AbPn&#10;WNyYe8dTmiRkcMt9hJidxkmgXpWzbpi+rkvnl5LG+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CveUDNAIAAGUEAAAOAAAAAAAAAAEAIAAAAB8BAABkcnMvZTJvRG9jLnhtbFBL&#10;BQYAAAAABgAGAFkBAADFBQAAAAA=&#10;">
              <v:fill on="f" focussize="0,0"/>
              <v:stroke on="f" weight="0.5pt"/>
              <v:imagedata o:title=""/>
              <o:lock v:ext="edit" aspectratio="f"/>
              <v:textbox inset="0mm,0mm,0mm,0mm" style="mso-fit-shape-to-text:t;">
                <w:txbxContent>
                  <w:p w14:paraId="653E9E7F">
                    <w:pPr>
                      <w:pStyle w:val="8"/>
                    </w:pPr>
                    <w:r>
                      <w:fldChar w:fldCharType="begin"/>
                    </w:r>
                    <w:r>
                      <w:instrText xml:space="preserve"> PAGE  \* MERGEFORMAT </w:instrText>
                    </w:r>
                    <w:r>
                      <w:fldChar w:fldCharType="separate"/>
                    </w:r>
                    <w:r>
                      <w:t>131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558CA">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2" name="文本框 2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70904">
                          <w:pPr>
                            <w:pStyle w:val="8"/>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5/N30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JmQo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zd9NAIAAGUEAAAOAAAAAAAAAAEAIAAAAB8BAABkcnMvZTJvRG9jLnhtbFBL&#10;BQYAAAAABgAGAFkBAADFBQAAAAA=&#10;">
              <v:fill on="f" focussize="0,0"/>
              <v:stroke on="f" weight="0.5pt"/>
              <v:imagedata o:title=""/>
              <o:lock v:ext="edit" aspectratio="f"/>
              <v:textbox inset="0mm,0mm,0mm,0mm" style="mso-fit-shape-to-text:t;">
                <w:txbxContent>
                  <w:p w14:paraId="71570904">
                    <w:pPr>
                      <w:pStyle w:val="8"/>
                    </w:pPr>
                    <w:r>
                      <w:fldChar w:fldCharType="begin"/>
                    </w:r>
                    <w:r>
                      <w:instrText xml:space="preserve"> PAGE  \* MERGEFORMAT </w:instrText>
                    </w:r>
                    <w:r>
                      <w:fldChar w:fldCharType="separate"/>
                    </w:r>
                    <w:r>
                      <w:t>132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2314D">
    <w:pPr>
      <w:spacing w:line="220" w:lineRule="auto"/>
      <w:ind w:left="41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 name="文本框 1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A451C">
                          <w:pPr>
                            <w:pStyle w:val="8"/>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oB8kzAgAAZQ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7pUQzhZJffny/&#10;/Hy4/PpG4iEkqq2fI3JnERuad6ZB+HDucRiZN4VT8QtOBH4IfL4KLJpAeLw0m8xmKVwcvmED/OTx&#10;unU+vBdGkWhk1KGCrbDstPWhCx1CYjZtNpWUbRWlJnVGp6/fpO2FqwfgUiNHJNE9Nlqh2Tc9s73J&#10;zyDmTNcd3vJNheRb5sM9c2gHPBgDE+6wFNIgiektSkrjvv7rPMajSvBSUqO9MqoxTZTIDxrVA2AY&#10;DDcY+8HQR3Vr0K9jDKLlrYkLLsjBLJxRXzBFq5gDLqY5MmU0DOZt6FocU8jFatUGHa2rDmV3Ab1n&#10;WdjqneUxTRTS29UxQMxW4yhQp0qvG7qvrVI/KbG9/9y3UY9/h+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VoB8kzAgAAZQQAAA4AAAAAAAAAAQAgAAAAHwEAAGRycy9lMm9Eb2MueG1sUEsF&#10;BgAAAAAGAAYAWQEAAMQFAAAAAA==&#10;">
              <v:fill on="f" focussize="0,0"/>
              <v:stroke on="f" weight="0.5pt"/>
              <v:imagedata o:title=""/>
              <o:lock v:ext="edit" aspectratio="f"/>
              <v:textbox inset="0mm,0mm,0mm,0mm" style="mso-fit-shape-to-text:t;">
                <w:txbxContent>
                  <w:p w14:paraId="01DA451C">
                    <w:pPr>
                      <w:pStyle w:val="8"/>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BEA38">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3" name="文本框 2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93728">
                          <w:pPr>
                            <w:pStyle w:val="8"/>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DqeE1AgAAZQ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6ihLDNEp++v7t&#10;9OPX6edXkg4hUePCDJEPDrGxfWtbNM5wHnCYmLeV1+kLTgR+CHy8CCzaSHi6NJ1MpzlcHL5hA/zs&#10;8brzIb4TVpNkFNSjgp2w7LAJsQ8dQlI2Y9dSqa6KypCmoNdXb/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cOp4TUCAABlBAAADgAAAAAAAAABACAAAAAfAQAAZHJzL2Uyb0RvYy54bWxQ&#10;SwUGAAAAAAYABgBZAQAAxgUAAAAA&#10;">
              <v:fill on="f" focussize="0,0"/>
              <v:stroke on="f" weight="0.5pt"/>
              <v:imagedata o:title=""/>
              <o:lock v:ext="edit" aspectratio="f"/>
              <v:textbox inset="0mm,0mm,0mm,0mm" style="mso-fit-shape-to-text:t;">
                <w:txbxContent>
                  <w:p w14:paraId="79693728">
                    <w:pPr>
                      <w:pStyle w:val="8"/>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57F56">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5" name="文本框 2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3F555A">
                          <w:pPr>
                            <w:pStyle w:val="8"/>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1GDBw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7UYMHDUCAABlBAAADgAAAAAAAAABACAAAAAfAQAAZHJzL2Uyb0RvYy54bWxQ&#10;SwUGAAAAAAYABgBZAQAAxgUAAAAA&#10;">
              <v:fill on="f" focussize="0,0"/>
              <v:stroke on="f" weight="0.5pt"/>
              <v:imagedata o:title=""/>
              <o:lock v:ext="edit" aspectratio="f"/>
              <v:textbox inset="0mm,0mm,0mm,0mm" style="mso-fit-shape-to-text:t;">
                <w:txbxContent>
                  <w:p w14:paraId="733F555A">
                    <w:pPr>
                      <w:pStyle w:val="8"/>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188D3">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6" name="文本框 2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B58933">
                          <w:pPr>
                            <w:pStyle w:val="8"/>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E3mI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mbK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RhN5iNAIAAGUEAAAOAAAAAAAAAAEAIAAAAB8BAABkcnMvZTJvRG9jLnhtbFBL&#10;BQYAAAAABgAGAFkBAADFBQAAAAA=&#10;">
              <v:fill on="f" focussize="0,0"/>
              <v:stroke on="f" weight="0.5pt"/>
              <v:imagedata o:title=""/>
              <o:lock v:ext="edit" aspectratio="f"/>
              <v:textbox inset="0mm,0mm,0mm,0mm" style="mso-fit-shape-to-text:t;">
                <w:txbxContent>
                  <w:p w14:paraId="33B58933">
                    <w:pPr>
                      <w:pStyle w:val="8"/>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4478D">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7" name="文本框 2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6238DF">
                          <w:pPr>
                            <w:pStyle w:val="8"/>
                          </w:pPr>
                          <w:r>
                            <w:fldChar w:fldCharType="begin"/>
                          </w:r>
                          <w:r>
                            <w:instrText xml:space="preserve"> PAGE  \* MERGEFORMAT </w:instrText>
                          </w:r>
                          <w:r>
                            <w:fldChar w:fldCharType="separate"/>
                          </w:r>
                          <w:r>
                            <w:t>137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4QP40AgAAZQ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6OED+NAIAAGUEAAAOAAAAAAAAAAEAIAAAAB8BAABkcnMvZTJvRG9jLnhtbFBL&#10;BQYAAAAABgAGAFkBAADFBQAAAAA=&#10;">
              <v:fill on="f" focussize="0,0"/>
              <v:stroke on="f" weight="0.5pt"/>
              <v:imagedata o:title=""/>
              <o:lock v:ext="edit" aspectratio="f"/>
              <v:textbox inset="0mm,0mm,0mm,0mm" style="mso-fit-shape-to-text:t;">
                <w:txbxContent>
                  <w:p w14:paraId="2B6238DF">
                    <w:pPr>
                      <w:pStyle w:val="8"/>
                    </w:pPr>
                    <w:r>
                      <w:fldChar w:fldCharType="begin"/>
                    </w:r>
                    <w:r>
                      <w:instrText xml:space="preserve"> PAGE  \* MERGEFORMAT </w:instrText>
                    </w:r>
                    <w:r>
                      <w:fldChar w:fldCharType="separate"/>
                    </w:r>
                    <w:r>
                      <w:t>137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A3BF0">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0" name="文本框 2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FD2C0B">
                          <w:pPr>
                            <w:pStyle w:val="8"/>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Unh0UyAgAAZQ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On0DTQzTaPn5+7fz&#10;j1/nn19JuoREtQtzRN47xMbmrW0wOMN9wGVi3pRep19wIvAD7HQRWDSR8PRoNp3NxnBx+IYD8LPH&#10;586H+E5YTZKRU48OtsKy4zbELnQISdmM3Uil2i4qQ+qcXr1GyX94AK4MciQSXbHJis2u6ZntbHEC&#10;MW+76QiObySSb1mId8xjHFAwFibe4lMqiyS2tyiprP/yr/sUjy7BS0mN8cqpwTZRot4bdA+AcTD8&#10;YOwGwxz0jcW8TrCIjrcmHvioBrP0Vn/GFq1SDriY4ciU0ziYN7EbcWwhF6tVG3RwXu6r7gFmz7G4&#10;NfeOpzRJruBWhwgxW42TQJ0qvW6YvrZL/aak8f793EY9/jssH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SeHRTICAABlBAAADgAAAAAAAAABACAAAAAfAQAAZHJzL2Uyb0RvYy54bWxQSwUG&#10;AAAAAAYABgBZAQAAwwUAAAAA&#10;">
              <v:fill on="f" focussize="0,0"/>
              <v:stroke on="f" weight="0.5pt"/>
              <v:imagedata o:title=""/>
              <o:lock v:ext="edit" aspectratio="f"/>
              <v:textbox inset="0mm,0mm,0mm,0mm" style="mso-fit-shape-to-text:t;">
                <w:txbxContent>
                  <w:p w14:paraId="2AFD2C0B">
                    <w:pPr>
                      <w:pStyle w:val="8"/>
                    </w:pPr>
                    <w:r>
                      <w:fldChar w:fldCharType="begin"/>
                    </w:r>
                    <w:r>
                      <w:instrText xml:space="preserve"> PAGE  \* MERGEFORMAT </w:instrText>
                    </w:r>
                    <w:r>
                      <w:fldChar w:fldCharType="separate"/>
                    </w:r>
                    <w:r>
                      <w:t>140</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54017">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9" name="文本框 2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BF15EE">
                          <w:pPr>
                            <w:pStyle w:val="8"/>
                          </w:pPr>
                          <w:r>
                            <w:fldChar w:fldCharType="begin"/>
                          </w:r>
                          <w:r>
                            <w:instrText xml:space="preserve"> PAGE  \* MERGEFORMAT </w:instrText>
                          </w:r>
                          <w:r>
                            <w:fldChar w:fldCharType="separate"/>
                          </w:r>
                          <w:r>
                            <w:t>139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LNjw0AgAAZQ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J6/eUGKYRslP37+d&#10;fvw6/fxK0iEkalyYIXLjEBvbt7ZF4wznAYeJeVt5nb7gROCHwMeLwKKNhKdL08l0msPF4Rs2wM8e&#10;rjsf4jthNUlGQT0q2AnLDrch9qFDSMpm7Foq1VVRGdIU9Orl67y7cPEAXBnkSCT6xyYrttv2zGxr&#10;yyOIedt3R3B8LZH8loV4zzzaAQ/GwMQ7LJWySGLPFiW19V/+dZ7iUSV4KWnQXgU1mCZK1HuD6gEw&#10;DoYfjO1gmL2+sejXMQbR8c7EBR/VYFbe6s+YomXKARczHJkKGgfzJvYtjinkYrnsgvbOy13dX0Dv&#10;ORZvzcbxlCYJGdxyHyFmp3ESqFflrBu6r6vSeVJSe/+576Ie/g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cSzY8NAIAAGUEAAAOAAAAAAAAAAEAIAAAAB8BAABkcnMvZTJvRG9jLnhtbFBL&#10;BQYAAAAABgAGAFkBAADFBQAAAAA=&#10;">
              <v:fill on="f" focussize="0,0"/>
              <v:stroke on="f" weight="0.5pt"/>
              <v:imagedata o:title=""/>
              <o:lock v:ext="edit" aspectratio="f"/>
              <v:textbox inset="0mm,0mm,0mm,0mm" style="mso-fit-shape-to-text:t;">
                <w:txbxContent>
                  <w:p w14:paraId="3DBF15EE">
                    <w:pPr>
                      <w:pStyle w:val="8"/>
                    </w:pPr>
                    <w:r>
                      <w:fldChar w:fldCharType="begin"/>
                    </w:r>
                    <w:r>
                      <w:instrText xml:space="preserve"> PAGE  \* MERGEFORMAT </w:instrText>
                    </w:r>
                    <w:r>
                      <w:fldChar w:fldCharType="separate"/>
                    </w:r>
                    <w:r>
                      <w:t>139</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6C73E">
    <w:pPr>
      <w:spacing w:line="220" w:lineRule="auto"/>
      <w:ind w:left="40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2" name="文本框 2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6F992">
                          <w:pPr>
                            <w:pStyle w:val="8"/>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JZy6c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OrK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WcunNAIAAGUEAAAOAAAAAAAAAAEAIAAAAB8BAABkcnMvZTJvRG9jLnhtbFBL&#10;BQYAAAAABgAGAFkBAADFBQAAAAA=&#10;">
              <v:fill on="f" focussize="0,0"/>
              <v:stroke on="f" weight="0.5pt"/>
              <v:imagedata o:title=""/>
              <o:lock v:ext="edit" aspectratio="f"/>
              <v:textbox inset="0mm,0mm,0mm,0mm" style="mso-fit-shape-to-text:t;">
                <w:txbxContent>
                  <w:p w14:paraId="50D6F992">
                    <w:pPr>
                      <w:pStyle w:val="8"/>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D5AF0">
    <w:pPr>
      <w:spacing w:line="223" w:lineRule="auto"/>
      <w:ind w:left="40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3" name="文本框 2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0786E3">
                          <w:pPr>
                            <w:pStyle w:val="8"/>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nlVTs0AgAAZQ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PrK0oM0yj5+fu3&#10;849f559fSTqERLULc0Q+OsTG5q1t0DjDecBhYt6UXqcvOBH4IfDpIrBoIuHp0mw6m43h4vANG+Bn&#10;T9edD/GdsJokI6ceFWyFZcdtiF3oEJKyGbuRSrVVVIbUOb25uh63Fy4egCuDHIlE99hkxWbX9Mx2&#10;tjiBmLdddwTHNxLJtyzEB+bRDngwBibeYymVRRLbW5RU1n/513mKR5XgpaRGe+XUYJooUe8NqgfA&#10;OBh+MHaDYQ76zqJfJxhEx1sTF3xUg1l6qz9jilYpB1zMcGTKaRzMu9i1OKaQi9WqDTo4L/dVdwG9&#10;51jcmkfHU5okZHCrQ4SYrcZJoE6VXjd0X1ulflJSe/+5b6Oe/g7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55VU7NAIAAGUEAAAOAAAAAAAAAAEAIAAAAB8BAABkcnMvZTJvRG9jLnhtbFBL&#10;BQYAAAAABgAGAFkBAADFBQAAAAA=&#10;">
              <v:fill on="f" focussize="0,0"/>
              <v:stroke on="f" weight="0.5pt"/>
              <v:imagedata o:title=""/>
              <o:lock v:ext="edit" aspectratio="f"/>
              <v:textbox inset="0mm,0mm,0mm,0mm" style="mso-fit-shape-to-text:t;">
                <w:txbxContent>
                  <w:p w14:paraId="040786E3">
                    <w:pPr>
                      <w:pStyle w:val="8"/>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B6CFD">
    <w:pPr>
      <w:spacing w:line="223" w:lineRule="auto"/>
      <w:ind w:left="40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4" name="文本框 2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AA8C6">
                          <w:pPr>
                            <w:pStyle w:val="8"/>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rcblo1AgAAZQQAAA4AAABkcnMvZTJvRG9jLnhtbK1UzY7TMBC+I/EO&#10;lu80aWFX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6txuWjUCAABlBAAADgAAAAAAAAABACAAAAAfAQAAZHJzL2Uyb0RvYy54bWxQ&#10;SwUGAAAAAAYABgBZAQAAxgUAAAAA&#10;">
              <v:fill on="f" focussize="0,0"/>
              <v:stroke on="f" weight="0.5pt"/>
              <v:imagedata o:title=""/>
              <o:lock v:ext="edit" aspectratio="f"/>
              <v:textbox inset="0mm,0mm,0mm,0mm" style="mso-fit-shape-to-text:t;">
                <w:txbxContent>
                  <w:p w14:paraId="5F3AA8C6">
                    <w:pPr>
                      <w:pStyle w:val="8"/>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18FC5">
    <w:pPr>
      <w:spacing w:line="220" w:lineRule="auto"/>
      <w:ind w:left="40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5" name="文本框 2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32F8B">
                          <w:pPr>
                            <w:pStyle w:val="8"/>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Fg8MY0AgAAZ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Mp5RoplDyy4/v&#10;l5+/L7++kXgIiWrr54jcWcSG5p1p0DjDucdhZN4UTsUvOBH4IfD5KrBoAuHx0mwym6VwcfiGDfCT&#10;p+vW+fBeGEWikVGHCrbCstPWhy50CInZtNlUUrZVlJrUGb15O0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BYPDGNAIAAGUEAAAOAAAAAAAAAAEAIAAAAB8BAABkcnMvZTJvRG9jLnhtbFBL&#10;BQYAAAAABgAGAFkBAADFBQAAAAA=&#10;">
              <v:fill on="f" focussize="0,0"/>
              <v:stroke on="f" weight="0.5pt"/>
              <v:imagedata o:title=""/>
              <o:lock v:ext="edit" aspectratio="f"/>
              <v:textbox inset="0mm,0mm,0mm,0mm" style="mso-fit-shape-to-text:t;">
                <w:txbxContent>
                  <w:p w14:paraId="2FA32F8B">
                    <w:pPr>
                      <w:pStyle w:val="8"/>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47894">
    <w:pPr>
      <w:spacing w:line="220" w:lineRule="auto"/>
      <w:ind w:left="411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 name="文本框 2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7F9A6">
                          <w:pPr>
                            <w:pStyle w:val="8"/>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HsE0AgAAZ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FnSSX1GimULJTz++&#10;n37+Pv36RuIhJGqtnyHywSI2dO9Mh8YZzj0OI/Oucip+wYnAD4GPF4FFFwiPl6aT6TSHi8M3bICf&#10;PV23zof3wigSjYI6VDAJyw4bH/rQISRm02bdSJmqKDVpC3r99ipPFy4egEuNHJFE/9hohW7bnZlt&#10;TXkEMWf67vCWrxsk3zAf7plDO+DBGJhwh6WSBknM2aKkNu7rv85jPKoELyUt2qugGtNEifygUT0A&#10;hsFwg7EdDL1Xtwb9OsYgWp5MXHBBDmbljPqCKVrGHHAxzZGpoGEwb0Pf4phCLpbLFLS3rtnV/QX0&#10;nmVhox8sj2mikN4u9wFiJo2jQL0qZ93QfalK50mJ7f3nPkU9/R0W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f0x7BNAIAAGUEAAAOAAAAAAAAAAEAIAAAAB8BAABkcnMvZTJvRG9jLnhtbFBL&#10;BQYAAAAABgAGAFkBAADFBQAAAAA=&#10;">
              <v:fill on="f" focussize="0,0"/>
              <v:stroke on="f" weight="0.5pt"/>
              <v:imagedata o:title=""/>
              <o:lock v:ext="edit" aspectratio="f"/>
              <v:textbox inset="0mm,0mm,0mm,0mm" style="mso-fit-shape-to-text:t;">
                <w:txbxContent>
                  <w:p w14:paraId="24D7F9A6">
                    <w:pPr>
                      <w:pStyle w:val="8"/>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F756B">
    <w:pPr>
      <w:spacing w:line="223" w:lineRule="auto"/>
      <w:ind w:left="40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6" name="文本框 2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3CFF34">
                          <w:pPr>
                            <w:pStyle w:val="8"/>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2iIrg0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E5uppRoplDyy4/v&#10;l5+/L7++kXgIiWrr54jcWcSG5p1p0DjDucdhZN4UTsUvOBH4IfD5KrBoAuHx0mwym6VwcfiGDfCT&#10;p+vW+fBeGEWikVGHCrbCstPWhy50CInZtNlUUrZVlJrUGZ2+vUn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9oiK4NAIAAGUEAAAOAAAAAAAAAAEAIAAAAB8BAABkcnMvZTJvRG9jLnhtbFBL&#10;BQYAAAAABgAGAFkBAADFBQAAAAA=&#10;">
              <v:fill on="f" focussize="0,0"/>
              <v:stroke on="f" weight="0.5pt"/>
              <v:imagedata o:title=""/>
              <o:lock v:ext="edit" aspectratio="f"/>
              <v:textbox inset="0mm,0mm,0mm,0mm" style="mso-fit-shape-to-text:t;">
                <w:txbxContent>
                  <w:p w14:paraId="493CFF34">
                    <w:pPr>
                      <w:pStyle w:val="8"/>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20188">
    <w:pPr>
      <w:spacing w:line="220" w:lineRule="auto"/>
      <w:ind w:left="40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57" name="文本框 2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D1FE3">
                          <w:pPr>
                            <w:pStyle w:val="8"/>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YevCQ1AgAAZQQAAA4AAABkcnMvZTJvRG9jLnhtbK1UzY7TMBC+I/EO&#10;lu80adEu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Fh68JDUCAABlBAAADgAAAAAAAAABACAAAAAfAQAAZHJzL2Uyb0RvYy54bWxQ&#10;SwUGAAAAAAYABgBZAQAAxgUAAAAA&#10;">
              <v:fill on="f" focussize="0,0"/>
              <v:stroke on="f" weight="0.5pt"/>
              <v:imagedata o:title=""/>
              <o:lock v:ext="edit" aspectratio="f"/>
              <v:textbox inset="0mm,0mm,0mm,0mm" style="mso-fit-shape-to-text:t;">
                <w:txbxContent>
                  <w:p w14:paraId="685D1FE3">
                    <w:pPr>
                      <w:pStyle w:val="8"/>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2D455">
    <w:pPr>
      <w:spacing w:line="220" w:lineRule="auto"/>
      <w:ind w:left="40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8" name="文本框 2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79BD33">
                          <w:pPr>
                            <w:pStyle w:val="8"/>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vRVHo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FN4wjZKff3w/&#10;//x9/vWNpENIVLswR+SDQ2xs3tkGjTOcBxwm5k3pdfqCE4EfAp8uAosmEp4uzaaz2RguDt+wAX72&#10;dN35EN8Lq0kycupRwVZYdtyG2IUOISmbsRupVFtFZUid0+u3V+P2wsUDcGWQI5HoHpus2OyantnO&#10;FicQ87brjuD4RiL5loV4zzzaAQ/GwMQ7LKWySGJ7i5LK+q//Ok/xqBK8lNRor5waTBMl6oNB9QAY&#10;B8MPxm4wzEHfWvTrBIPoeGvigo9qMEtv9RdM0SrlgIsZjkw5jYN5G7sWxxRysVq1QQfn5b7qLqD3&#10;HItb8+B4SpOEDG51iBCz1TgJ1KnS64bua6vUT0pq7z/3bdTT32H5C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b0VR6NAIAAGUEAAAOAAAAAAAAAAEAIAAAAB8BAABkcnMvZTJvRG9jLnhtbFBL&#10;BQYAAAAABgAGAFkBAADFBQAAAAA=&#10;">
              <v:fill on="f" focussize="0,0"/>
              <v:stroke on="f" weight="0.5pt"/>
              <v:imagedata o:title=""/>
              <o:lock v:ext="edit" aspectratio="f"/>
              <v:textbox inset="0mm,0mm,0mm,0mm" style="mso-fit-shape-to-text:t;">
                <w:txbxContent>
                  <w:p w14:paraId="1979BD33">
                    <w:pPr>
                      <w:pStyle w:val="8"/>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FED52">
    <w:pPr>
      <w:spacing w:line="220" w:lineRule="auto"/>
      <w:ind w:left="40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9" name="文本框 2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D8634">
                          <w:pPr>
                            <w:pStyle w:val="8"/>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BtyuY1AgAAZQ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HL1hhLDNEp++v7t&#10;9OPX6edXkg4hUePCDJEPDrGxfWtbNM5wHnCYmLeV1+kLTgR+CHy8CCzaSHi6NJ1MpzlcHL5hA/zs&#10;8brzIb4TVpNkFNSjgp2w7LAJsQ8dQlI2Y9dSqa6KypCmoNevr/L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MG3K5jUCAABlBAAADgAAAAAAAAABACAAAAAfAQAAZHJzL2Uyb0RvYy54bWxQ&#10;SwUGAAAAAAYABgBZAQAAxgUAAAAA&#10;">
              <v:fill on="f" focussize="0,0"/>
              <v:stroke on="f" weight="0.5pt"/>
              <v:imagedata o:title=""/>
              <o:lock v:ext="edit" aspectratio="f"/>
              <v:textbox inset="0mm,0mm,0mm,0mm" style="mso-fit-shape-to-text:t;">
                <w:txbxContent>
                  <w:p w14:paraId="533D8634">
                    <w:pPr>
                      <w:pStyle w:val="8"/>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C8E85">
    <w:pPr>
      <w:spacing w:line="220" w:lineRule="auto"/>
      <w:ind w:left="40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0" name="文本框 2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5E194">
                          <w:pPr>
                            <w:pStyle w:val="8"/>
                          </w:pPr>
                          <w:r>
                            <w:fldChar w:fldCharType="begin"/>
                          </w:r>
                          <w:r>
                            <w:instrText xml:space="preserve"> PAGE  \* MERGEFORMAT </w:instrText>
                          </w:r>
                          <w:r>
                            <w:fldChar w:fldCharType="separate"/>
                          </w:r>
                          <w:r>
                            <w:t>150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BL8vE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fQxDCNkl++f7v8&#10;+HX5+ZWkQ0hUu7BA5INDbGze2gaNM5wHHCbmTel1+oITgR9g56vAoomEp0vz6Xw+hovDN2yAnz1e&#10;dz7Ed8JqkoycelSwFZaddiF2oUNIymbsVirVVlEZUud09vrNuL1w9QBcGeRIJLrHJis2+6ZntrfF&#10;GcS87bojOL6VSL5jId4zj3bAgzEw8Q5LqSyS2N6ipLL+y7/OUzyqBC8lNdorpwbTRIl6b1A9AMbB&#10;8IOxHwxz1LcW/TrBIDremrjgoxrM0lv9GVO0TjngYoYjU07jYN7GrsUxhVys123Q0Xl5qLoL6D3H&#10;4s48OJ7SJCGDWx8jxGw1TgJ1qvS6ofvaKvWTktr7z30b9fh3W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BL8vEzAgAAZQQAAA4AAAAAAAAAAQAgAAAAHwEAAGRycy9lMm9Eb2MueG1sUEsF&#10;BgAAAAAGAAYAWQEAAMQFAAAAAA==&#10;">
              <v:fill on="f" focussize="0,0"/>
              <v:stroke on="f" weight="0.5pt"/>
              <v:imagedata o:title=""/>
              <o:lock v:ext="edit" aspectratio="f"/>
              <v:textbox inset="0mm,0mm,0mm,0mm" style="mso-fit-shape-to-text:t;">
                <w:txbxContent>
                  <w:p w14:paraId="0AF5E194">
                    <w:pPr>
                      <w:pStyle w:val="8"/>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550CE">
    <w:pPr>
      <w:spacing w:line="220" w:lineRule="auto"/>
      <w:ind w:left="40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1" name="文本框 2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6F019">
                          <w:pPr>
                            <w:pStyle w:val="8"/>
                          </w:pPr>
                          <w:r>
                            <w:fldChar w:fldCharType="begin"/>
                          </w:r>
                          <w:r>
                            <w:instrText xml:space="preserve"> PAGE  \* MERGEFORMAT </w:instrText>
                          </w:r>
                          <w:r>
                            <w:fldChar w:fldCharType="separate"/>
                          </w:r>
                          <w:r>
                            <w:t>151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3bG0zAgAAZQQAAA4AAABkcnMvZTJvRG9jLnhtbK1US44TMRDdI3EH&#10;y3vSSRBRFKUzChMFIUXMSANi7bjdaUv+yXbSHQ4AN2DFhj3nyjl47k8GDSxmwcZddpVf1XtV7uVN&#10;oxU5CR+kNTmdjMaUCMNtIc0hp58+bl/NKQmRmYIpa0ROzyLQm9XLF8vaLcTUVlYVwhOAmLCoXU6r&#10;GN0iywKvhGZhZJ0wcJbWaxax9Yes8KwGulbZdDyeZbX1hfOWixBwuumctEf0zwG0ZSm52Fh+1MLE&#10;DtULxSIohUq6QFdttWUpeLwryyAiUTkF09iuSAJ7n9ZstWSLg2eukrwvgT2nhCecNJMGSa9QGxYZ&#10;OXr5F5SW3NtgyzjiVmcdkVYRsJiMn2jzUDEnWi6QOrir6OH/wfIPp3tPZJHT6WxCiWEaLb98/3b5&#10;8evy8ytJh5CodmGByAeH2Ni8tQ0GZzgPOEzMm9Lr9AUnAj8EPl8FFk0kPF2aT+fzMVwcvmED/Ozx&#10;uvMhvhNWk2Tk1KODrbDstAuxCx1CUjZjt1KptovKkDqns9dvxu2FqwfgyiBHItEVm6zY7Jue2d4W&#10;ZxDztpuO4PhWIvmOhXjPPMYBBePBxDsspbJIYnuLksr6L/86T/HoEryU1BivnBq8JkrUe4PuATAO&#10;hh+M/WCYo761mFf0A7W0Ji74qAaz9FZ/xitapxxwMcORKadxMG9jN+J4hVys123Q0Xl5qLoLmD3H&#10;4s48OJ7SJCGDWx8jxGw1TgJ1qvS6YfraLvUvJY33n/s26vHv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v3bG0zAgAAZQQAAA4AAAAAAAAAAQAgAAAAHwEAAGRycy9lMm9Eb2MueG1sUEsF&#10;BgAAAAAGAAYAWQEAAMQFAAAAAA==&#10;">
              <v:fill on="f" focussize="0,0"/>
              <v:stroke on="f" weight="0.5pt"/>
              <v:imagedata o:title=""/>
              <o:lock v:ext="edit" aspectratio="f"/>
              <v:textbox inset="0mm,0mm,0mm,0mm" style="mso-fit-shape-to-text:t;">
                <w:txbxContent>
                  <w:p w14:paraId="5BA6F019">
                    <w:pPr>
                      <w:pStyle w:val="8"/>
                    </w:pPr>
                    <w:r>
                      <w:fldChar w:fldCharType="begin"/>
                    </w:r>
                    <w:r>
                      <w:instrText xml:space="preserve"> PAGE  \* MERGEFORMAT </w:instrText>
                    </w:r>
                    <w:r>
                      <w:fldChar w:fldCharType="separate"/>
                    </w:r>
                    <w:r>
                      <w:t>151</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C14B9">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3" name="文本框 2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A3F9D">
                          <w:pPr>
                            <w:pStyle w:val="8"/>
                          </w:pPr>
                          <w:r>
                            <w:fldChar w:fldCharType="begin"/>
                          </w:r>
                          <w:r>
                            <w:instrText xml:space="preserve"> PAGE  \* MERGEFORMAT </w:instrText>
                          </w:r>
                          <w:r>
                            <w:fldChar w:fldCharType="separate"/>
                          </w:r>
                          <w:r>
                            <w:t>153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yJII80AgAAZ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E6mN5RoplDyy4/v&#10;l5+/L7++kXgIiWrr54jcWcSG5p1p0DjDucdhZN4UTsUvOBH4IfD5KrBoAuHx0mwym6VwcfiGDfCT&#10;p+vW+fBeGEWikVGHCrbCstPWhy50CInZtNlUUrZVlJrUGZ3evE3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MiSCPNAIAAGUEAAAOAAAAAAAAAAEAIAAAAB8BAABkcnMvZTJvRG9jLnhtbFBL&#10;BQYAAAAABgAGAFkBAADFBQAAAAA=&#10;">
              <v:fill on="f" focussize="0,0"/>
              <v:stroke on="f" weight="0.5pt"/>
              <v:imagedata o:title=""/>
              <o:lock v:ext="edit" aspectratio="f"/>
              <v:textbox inset="0mm,0mm,0mm,0mm" style="mso-fit-shape-to-text:t;">
                <w:txbxContent>
                  <w:p w14:paraId="7F0A3F9D">
                    <w:pPr>
                      <w:pStyle w:val="8"/>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ED9FA">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64" name="文本框 2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2EAC28">
                          <w:pPr>
                            <w:pStyle w:val="8"/>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wG+40AgAAZ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0DSWaKZT88uP7&#10;5efD5dc3Eg8hUW39HJE7i9jQvDMNGmc49ziMzJvCqfgFJwI/BD5fBRZNIDxemk1msxQuDt+wAX7y&#10;eN06H94Lo0g0MupQwVZYdtr60IUOITGbNptKyraKUpM6o9PXb9P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fsBvuNAIAAGUEAAAOAAAAAAAAAAEAIAAAAB8BAABkcnMvZTJvRG9jLnhtbFBL&#10;BQYAAAAABgAGAFkBAADFBQAAAAA=&#10;">
              <v:fill on="f" focussize="0,0"/>
              <v:stroke on="f" weight="0.5pt"/>
              <v:imagedata o:title=""/>
              <o:lock v:ext="edit" aspectratio="f"/>
              <v:textbox inset="0mm,0mm,0mm,0mm" style="mso-fit-shape-to-text:t;">
                <w:txbxContent>
                  <w:p w14:paraId="3A2EAC28">
                    <w:pPr>
                      <w:pStyle w:val="8"/>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F24ED">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5" name="文本框 2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533C6">
                          <w:pPr>
                            <w:pStyle w:val="8"/>
                          </w:pPr>
                          <w:r>
                            <w:fldChar w:fldCharType="begin"/>
                          </w:r>
                          <w:r>
                            <w:instrText xml:space="preserve"> PAGE  \* MERGEFORMAT </w:instrText>
                          </w:r>
                          <w:r>
                            <w:fldChar w:fldCharType="separate"/>
                          </w:r>
                          <w:r>
                            <w:t>155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MhXI0AgAAZQ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E6mN5RoplDyy4/v&#10;l5+/L7++kXgIiWrr54jcWcSG5p1p0DjDucdhZN4UTsUvOBH4IfD5KrBoAuHx0mwym6VwcfiGDfCT&#10;p+vW+fBeGEWikVGHCrbCstPWhy50CInZtNlUUrZVlJrUGZ2+vUnbC1cPwKVGjkiie2y0QrNvemZ7&#10;k59BzJmuO7zlmwrJt8yHB+bQDngwBibcYymkQRLTW5SUxn3913mMR5XgpaRGe2VUY5ookR80qgfA&#10;MBhuMPaDoY/qzqBfxxhEy1sTF1yQg1k4o75gilYxB1xMc2TKaBjMu9C1OKaQi9WqDTpaVx3K7gJ6&#10;z7Kw1TvLY5oopLerY4CYrcZRoE6VXjd0X1ulflJi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0DIVyNAIAAGUEAAAOAAAAAAAAAAEAIAAAAB8BAABkcnMvZTJvRG9jLnhtbFBL&#10;BQYAAAAABgAGAFkBAADFBQAAAAA=&#10;">
              <v:fill on="f" focussize="0,0"/>
              <v:stroke on="f" weight="0.5pt"/>
              <v:imagedata o:title=""/>
              <o:lock v:ext="edit" aspectratio="f"/>
              <v:textbox inset="0mm,0mm,0mm,0mm" style="mso-fit-shape-to-text:t;">
                <w:txbxContent>
                  <w:p w14:paraId="727533C6">
                    <w:pPr>
                      <w:pStyle w:val="8"/>
                    </w:pPr>
                    <w:r>
                      <w:fldChar w:fldCharType="begin"/>
                    </w:r>
                    <w:r>
                      <w:instrText xml:space="preserve"> PAGE  \* MERGEFORMAT </w:instrText>
                    </w:r>
                    <w:r>
                      <w:fldChar w:fldCharType="separate"/>
                    </w:r>
                    <w:r>
                      <w:t>155</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EDF5D">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6" name="文本框 2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A9CED">
                          <w:pPr>
                            <w:pStyle w:val="8"/>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Vww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IzlcMNAIAAGUEAAAOAAAAAAAAAAEAIAAAAB8BAABkcnMvZTJvRG9jLnhtbFBL&#10;BQYAAAAABgAGAFkBAADFBQAAAAA=&#10;">
              <v:fill on="f" focussize="0,0"/>
              <v:stroke on="f" weight="0.5pt"/>
              <v:imagedata o:title=""/>
              <o:lock v:ext="edit" aspectratio="f"/>
              <v:textbox inset="0mm,0mm,0mm,0mm" style="mso-fit-shape-to-text:t;">
                <w:txbxContent>
                  <w:p w14:paraId="378A9CED">
                    <w:pPr>
                      <w:pStyle w:val="8"/>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0B66F">
    <w:pPr>
      <w:spacing w:line="223" w:lineRule="auto"/>
      <w:ind w:left="40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7" name="文本框 2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CAABC">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UiM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JK/pcQwjZKffnw/&#10;/Xw4/fpG0iEkalyYIfLeITa272yLxhnOAw4T87byOn3BicAPgY8XgUUbCU+XppPpNIeLwzdsgJ89&#10;Xnc+xPfCapKMgnpUsBOWHTYh9qFDSMpm7Foq1VVRGdIU9Or1m7y7cPEAXBnkSCT6xyYrttv2zGxr&#10;yyOIedt3R3B8LZF8w0K8Yx7tgAdjYOItlkpZJLFni5La+q//Ok/xqBK8lDRor4IaTBMl6oNB9QAY&#10;B8MPxnYwzF7fWPTrGIPoeGfigo9qMCtv9RdM0TLlgIsZjkwFjYN5E/sWxxRysVx2QXvn5a7uL6D3&#10;HIsbc+94SpOEDG65jxCz0zgJ1Kty1g3d11XpPCmpvf/cd1GPf4f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IrVIjNAIAAGUEAAAOAAAAAAAAAAEAIAAAAB8BAABkcnMvZTJvRG9jLnhtbFBL&#10;BQYAAAAABgAGAFkBAADFBQAAAAA=&#10;">
              <v:fill on="f" focussize="0,0"/>
              <v:stroke on="f" weight="0.5pt"/>
              <v:imagedata o:title=""/>
              <o:lock v:ext="edit" aspectratio="f"/>
              <v:textbox inset="0mm,0mm,0mm,0mm" style="mso-fit-shape-to-text:t;">
                <w:txbxContent>
                  <w:p w14:paraId="5BACAABC">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2B505">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7" name="文本框 2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AD4853">
                          <w:pPr>
                            <w:pStyle w:val="8"/>
                          </w:pPr>
                          <w:r>
                            <w:fldChar w:fldCharType="begin"/>
                          </w:r>
                          <w:r>
                            <w:instrText xml:space="preserve"> PAGE  \* MERGEFORMAT </w:instrText>
                          </w:r>
                          <w:r>
                            <w:fldChar w:fldCharType="separate"/>
                          </w:r>
                          <w:r>
                            <w:t>157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yyZA0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0L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jcsmQNAIAAGUEAAAOAAAAAAAAAAEAIAAAAB8BAABkcnMvZTJvRG9jLnhtbFBL&#10;BQYAAAAABgAGAFkBAADFBQAAAAA=&#10;">
              <v:fill on="f" focussize="0,0"/>
              <v:stroke on="f" weight="0.5pt"/>
              <v:imagedata o:title=""/>
              <o:lock v:ext="edit" aspectratio="f"/>
              <v:textbox inset="0mm,0mm,0mm,0mm" style="mso-fit-shape-to-text:t;">
                <w:txbxContent>
                  <w:p w14:paraId="4BAD4853">
                    <w:pPr>
                      <w:pStyle w:val="8"/>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365D1">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8" name="文本框 2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E2C6F2">
                          <w:pPr>
                            <w:pStyle w:val="8"/>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69Ic4z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covGEaJb98/3b5&#10;8evy8ytJh5CodmGByAeH2Ni8tQ0aZzgPOEzMm9Lr9AUnAj8EPl8FFk0kPF2aT+fzMVwcvmED/Ozx&#10;uvMhvhNWk2Tk1KOCrbDstAuxCx1CUjZjt1KptorKkDqns9dvxu2FqwfgyiBHItE9Nlmx2Tc9s70t&#10;ziDmbdcdwfGtRPIdC/GeebQDHoyBiXdYSmWRxPYWJZX1X/51nuJRJXgpqdFeOTWYJkrUe4PqATAO&#10;hh+M/WCYo7616NcJBtHx1sQFH9Vglt7qz5iidcoBFzMcmXIaB/M2di2OKeRivW6Djs7LQ9VdQO85&#10;FnfmwfGUJgkZ3PoYIWarcRKoU6XXDd3XVqmflNTef+7bqMe/w+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69Ic4zAgAAZQQAAA4AAAAAAAAAAQAgAAAAHwEAAGRycy9lMm9Eb2MueG1sUEsF&#10;BgAAAAAGAAYAWQEAAMQFAAAAAA==&#10;">
              <v:fill on="f" focussize="0,0"/>
              <v:stroke on="f" weight="0.5pt"/>
              <v:imagedata o:title=""/>
              <o:lock v:ext="edit" aspectratio="f"/>
              <v:textbox inset="0mm,0mm,0mm,0mm" style="mso-fit-shape-to-text:t;">
                <w:txbxContent>
                  <w:p w14:paraId="20E2C6F2">
                    <w:pPr>
                      <w:pStyle w:val="8"/>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F25B9">
    <w:pPr>
      <w:spacing w:line="220" w:lineRule="auto"/>
      <w:ind w:left="45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0" name="文本框 2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3F0C75">
                          <w:pPr>
                            <w:pStyle w:val="8"/>
                          </w:pPr>
                          <w:r>
                            <w:fldChar w:fldCharType="begin"/>
                          </w:r>
                          <w:r>
                            <w:instrText xml:space="preserve"> PAGE  \* MERGEFORMAT </w:instrText>
                          </w:r>
                          <w:r>
                            <w:fldChar w:fldCharType="separate"/>
                          </w:r>
                          <w:r>
                            <w:t>160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tDis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IWmhimUfLTj++n&#10;nw+nX99IOoREjQszRN47xMb2nW3ROMN5wGFi3lZepy84EfgBdrwILNpIeLo0nUynOVwcvmED/Ozx&#10;uvMhvhdWk2QU1KOCnbDssAmxDx1CUjZj11KprorKkKagV6/f5N2FiwfgyiBHItE/Nlmx3bZnZltb&#10;HkHM2747guNrieQbFuId82gHPBgDE2+xVMoiiT1blNTWf/3XeYpHleClpEF7FdRgmihRHwyqB8A4&#10;GH4wtoNh9vrGol/HGETHOxMXfFSDWXmrv2CKlikHXMxwZCpoHMyb2Lc4ppCL5bIL2jsvd3V/Ab3n&#10;WNyYe8dTmiRkcMt9hJidxkmgXpWzbui+rkrnSUnt/ee+i3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cbQ4rNAIAAGUEAAAOAAAAAAAAAAEAIAAAAB8BAABkcnMvZTJvRG9jLnhtbFBL&#10;BQYAAAAABgAGAFkBAADFBQAAAAA=&#10;">
              <v:fill on="f" focussize="0,0"/>
              <v:stroke on="f" weight="0.5pt"/>
              <v:imagedata o:title=""/>
              <o:lock v:ext="edit" aspectratio="f"/>
              <v:textbox inset="0mm,0mm,0mm,0mm" style="mso-fit-shape-to-text:t;">
                <w:txbxContent>
                  <w:p w14:paraId="7A3F0C75">
                    <w:pPr>
                      <w:pStyle w:val="8"/>
                    </w:pPr>
                    <w:r>
                      <w:fldChar w:fldCharType="begin"/>
                    </w:r>
                    <w:r>
                      <w:instrText xml:space="preserve"> PAGE  \* MERGEFORMAT </w:instrText>
                    </w:r>
                    <w:r>
                      <w:fldChar w:fldCharType="separate"/>
                    </w:r>
                    <w:r>
                      <w:t>160</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FB4AA">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3" name="文本框 2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45532">
                          <w:pPr>
                            <w:pStyle w:val="8"/>
                          </w:pPr>
                          <w:r>
                            <w:fldChar w:fldCharType="begin"/>
                          </w:r>
                          <w:r>
                            <w:instrText xml:space="preserve"> PAGE  \* MERGEFORMAT </w:instrText>
                          </w:r>
                          <w:r>
                            <w:fldChar w:fldCharType="separate"/>
                          </w:r>
                          <w:r>
                            <w:t>163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v3FU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dPLmih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4K/cVTUCAABlBAAADgAAAAAAAAABACAAAAAfAQAAZHJzL2Uyb0RvYy54bWxQ&#10;SwUGAAAAAAYABgBZAQAAxgUAAAAA&#10;">
              <v:fill on="f" focussize="0,0"/>
              <v:stroke on="f" weight="0.5pt"/>
              <v:imagedata o:title=""/>
              <o:lock v:ext="edit" aspectratio="f"/>
              <v:textbox inset="0mm,0mm,0mm,0mm" style="mso-fit-shape-to-text:t;">
                <w:txbxContent>
                  <w:p w14:paraId="79945532">
                    <w:pPr>
                      <w:pStyle w:val="8"/>
                    </w:pPr>
                    <w:r>
                      <w:fldChar w:fldCharType="begin"/>
                    </w:r>
                    <w:r>
                      <w:instrText xml:space="preserve"> PAGE  \* MERGEFORMAT </w:instrText>
                    </w:r>
                    <w:r>
                      <w:fldChar w:fldCharType="separate"/>
                    </w:r>
                    <w:r>
                      <w:t>163</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A319">
    <w:pPr>
      <w:spacing w:line="220" w:lineRule="auto"/>
      <w:ind w:left="415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6" name="文本框 2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F5A6F4">
                          <w:pPr>
                            <w:pStyle w:val="8"/>
                          </w:pPr>
                          <w:r>
                            <w:fldChar w:fldCharType="begin"/>
                          </w:r>
                          <w:r>
                            <w:instrText xml:space="preserve"> PAGE  \* MERGEFORMAT </w:instrText>
                          </w:r>
                          <w:r>
                            <w:fldChar w:fldCharType="separate"/>
                          </w:r>
                          <w:r>
                            <w:t>166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Toq9Y0AgAAZQ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cnbKSWaKZT88uP7&#10;5efD5dc3Eg8hUW39HJE7i9jQvDMNGmc49ziMzJvCqfgFJwI/BD5fBRZNIDxemk1msxQuDt+wAX7y&#10;eN06H94Lo0g0MupQwVZYdtr60IUOITGbNptKyraKUpM6o9PXb9L2wtUDcKmRI5LoHhut0Oybntne&#10;5GcQc6brDm/5pkLyLfPhnjm0Ax6MgQl3WAppkMT0FiWlcV//dR7jUSV4KanRXhnVmCZK5AeN6gEw&#10;DIYbjP1g6KO6NejXMQbR8tbEBRfkYBbOqC+YolXMARfTHJkyGgbzNnQtjinkYrVqg47WVYeyu4De&#10;syxs9c7ymCYK6e3qGCBmq3EUqFOl1w3d11apn5TY3n/u26jHv8P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k6KvWNAIAAGUEAAAOAAAAAAAAAAEAIAAAAB8BAABkcnMvZTJvRG9jLnhtbFBL&#10;BQYAAAAABgAGAFkBAADFBQAAAAA=&#10;">
              <v:fill on="f" focussize="0,0"/>
              <v:stroke on="f" weight="0.5pt"/>
              <v:imagedata o:title=""/>
              <o:lock v:ext="edit" aspectratio="f"/>
              <v:textbox inset="0mm,0mm,0mm,0mm" style="mso-fit-shape-to-text:t;">
                <w:txbxContent>
                  <w:p w14:paraId="4FF5A6F4">
                    <w:pPr>
                      <w:pStyle w:val="8"/>
                    </w:pPr>
                    <w:r>
                      <w:fldChar w:fldCharType="begin"/>
                    </w:r>
                    <w:r>
                      <w:instrText xml:space="preserve"> PAGE  \* MERGEFORMAT </w:instrText>
                    </w:r>
                    <w:r>
                      <w:fldChar w:fldCharType="separate"/>
                    </w:r>
                    <w:r>
                      <w:t>166</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006BD">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0" name="文本框 2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30BA57">
                          <w:pPr>
                            <w:pStyle w:val="8"/>
                          </w:pPr>
                          <w:r>
                            <w:fldChar w:fldCharType="begin"/>
                          </w:r>
                          <w:r>
                            <w:instrText xml:space="preserve"> PAGE  \* MERGEFORMAT </w:instrText>
                          </w:r>
                          <w:r>
                            <w:fldChar w:fldCharType="separate"/>
                          </w:r>
                          <w:r>
                            <w:t>170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64PSM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m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64PSMzAgAAZQQAAA4AAAAAAAAAAQAgAAAAHwEAAGRycy9lMm9Eb2MueG1sUEsF&#10;BgAAAAAGAAYAWQEAAMQFAAAAAA==&#10;">
              <v:fill on="f" focussize="0,0"/>
              <v:stroke on="f" weight="0.5pt"/>
              <v:imagedata o:title=""/>
              <o:lock v:ext="edit" aspectratio="f"/>
              <v:textbox inset="0mm,0mm,0mm,0mm" style="mso-fit-shape-to-text:t;">
                <w:txbxContent>
                  <w:p w14:paraId="6930BA57">
                    <w:pPr>
                      <w:pStyle w:val="8"/>
                    </w:pPr>
                    <w:r>
                      <w:fldChar w:fldCharType="begin"/>
                    </w:r>
                    <w:r>
                      <w:instrText xml:space="preserve"> PAGE  \* MERGEFORMAT </w:instrText>
                    </w:r>
                    <w:r>
                      <w:fldChar w:fldCharType="separate"/>
                    </w:r>
                    <w:r>
                      <w:t>170</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6782B">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4" name="文本框 2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45FA7">
                          <w:pPr>
                            <w:pStyle w:val="8"/>
                          </w:pPr>
                          <w:r>
                            <w:fldChar w:fldCharType="begin"/>
                          </w:r>
                          <w:r>
                            <w:instrText xml:space="preserve"> PAGE  \* MERGEFORMAT </w:instrText>
                          </w:r>
                          <w:r>
                            <w:fldChar w:fldCharType="separate"/>
                          </w:r>
                          <w:r>
                            <w:t>174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FD1Dw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RQ9Q8NAIAAGUEAAAOAAAAAAAAAAEAIAAAAB8BAABkcnMvZTJvRG9jLnhtbFBL&#10;BQYAAAAABgAGAFkBAADFBQAAAAA=&#10;">
              <v:fill on="f" focussize="0,0"/>
              <v:stroke on="f" weight="0.5pt"/>
              <v:imagedata o:title=""/>
              <o:lock v:ext="edit" aspectratio="f"/>
              <v:textbox inset="0mm,0mm,0mm,0mm" style="mso-fit-shape-to-text:t;">
                <w:txbxContent>
                  <w:p w14:paraId="7CC45FA7">
                    <w:pPr>
                      <w:pStyle w:val="8"/>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47BE3">
    <w:pPr>
      <w:spacing w:line="220" w:lineRule="auto"/>
      <w:ind w:left="44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5" name="文本框 2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1F55E">
                          <w:pPr>
                            <w:pStyle w:val="8"/>
                          </w:pPr>
                          <w:r>
                            <w:fldChar w:fldCharType="begin"/>
                          </w:r>
                          <w:r>
                            <w:instrText xml:space="preserve"> PAGE  \* MERGEFORMAT </w:instrText>
                          </w:r>
                          <w:r>
                            <w:fldChar w:fldCharType="separate"/>
                          </w:r>
                          <w:r>
                            <w:t>175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SqA0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ZFSWGaZT8/OP7&#10;+efv869vJB1CotqFOSIfHGJj8842aJzhPOAwMW9Kr9MXnAj8EPh0EVg0kfB0aTadzcZwcfiGDfCz&#10;p+vOh/heWE2SkVOPCrbCsuM2xC50CEnZjN1IpdoqKkPqnF6/vRq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6/0qgNAIAAGUEAAAOAAAAAAAAAAEAIAAAAB8BAABkcnMvZTJvRG9jLnhtbFBL&#10;BQYAAAAABgAGAFkBAADFBQAAAAA=&#10;">
              <v:fill on="f" focussize="0,0"/>
              <v:stroke on="f" weight="0.5pt"/>
              <v:imagedata o:title=""/>
              <o:lock v:ext="edit" aspectratio="f"/>
              <v:textbox inset="0mm,0mm,0mm,0mm" style="mso-fit-shape-to-text:t;">
                <w:txbxContent>
                  <w:p w14:paraId="6C41F55E">
                    <w:pPr>
                      <w:pStyle w:val="8"/>
                    </w:pPr>
                    <w:r>
                      <w:fldChar w:fldCharType="begin"/>
                    </w:r>
                    <w:r>
                      <w:instrText xml:space="preserve"> PAGE  \* MERGEFORMAT </w:instrText>
                    </w:r>
                    <w:r>
                      <w:fldChar w:fldCharType="separate"/>
                    </w:r>
                    <w:r>
                      <w:t>175</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DFC57">
    <w:pPr>
      <w:spacing w:line="220" w:lineRule="auto"/>
      <w:ind w:left="444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6" name="文本框 2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B9658">
                          <w:pPr>
                            <w:pStyle w:val="8"/>
                          </w:pPr>
                          <w:r>
                            <w:fldChar w:fldCharType="begin"/>
                          </w:r>
                          <w:r>
                            <w:instrText xml:space="preserve"> PAGE  \* MERGEFORMAT </w:instrText>
                          </w:r>
                          <w:r>
                            <w:fldChar w:fldCharType="separate"/>
                          </w:r>
                          <w:r>
                            <w:t>176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Y9mN40AgAAZ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uczSgzTKPnl+7fL&#10;j1+Xn19JOoREtQsLRD44xMbmrW3QOMN5wGFi3pRepy84Efgh8PkqsGgi4enSfDqfj+Hi8A0b4GeP&#10;150P8Z2wmiQjpx4VbIVlp12IXegQkrIZu5VKtVVUhtQ5nb1+M24vXD0AVwY5EonuscmKzb7pme1t&#10;cQYxb7vuCI5vJZLvWIj3zKMd8GAMTLzDUiqLJLa3KKms//Kv8xSPKsFLSY32yqnBNFGi3htUD4Bx&#10;MPxg7AfDHPWtRb9OMIiOtyYu+KgGs/RWf8YUrVMOuJjhyJTTOJi3sWtxTCEX63UbdHReHqruAnrP&#10;sbgzD46nNEnI4NbHCDFbjZNAnSq9bui+tkr9pKT2/nPfRj3+HV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PZjeNAIAAGUEAAAOAAAAAAAAAAEAIAAAAB8BAABkcnMvZTJvRG9jLnhtbFBL&#10;BQYAAAAABgAGAFkBAADFBQAAAAA=&#10;">
              <v:fill on="f" focussize="0,0"/>
              <v:stroke on="f" weight="0.5pt"/>
              <v:imagedata o:title=""/>
              <o:lock v:ext="edit" aspectratio="f"/>
              <v:textbox inset="0mm,0mm,0mm,0mm" style="mso-fit-shape-to-text:t;">
                <w:txbxContent>
                  <w:p w14:paraId="29DB9658">
                    <w:pPr>
                      <w:pStyle w:val="8"/>
                    </w:pPr>
                    <w:r>
                      <w:fldChar w:fldCharType="begin"/>
                    </w:r>
                    <w:r>
                      <w:instrText xml:space="preserve"> PAGE  \* MERGEFORMAT </w:instrText>
                    </w:r>
                    <w:r>
                      <w:fldChar w:fldCharType="separate"/>
                    </w:r>
                    <w:r>
                      <w:t>176</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76CDB">
    <w:pPr>
      <w:spacing w:line="220" w:lineRule="auto"/>
      <w:ind w:left="444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7" name="文本框 2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B6892F">
                          <w:pPr>
                            <w:pStyle w:val="8"/>
                          </w:pPr>
                          <w:r>
                            <w:fldChar w:fldCharType="begin"/>
                          </w:r>
                          <w:r>
                            <w:instrText xml:space="preserve"> PAGE  \* MERGEFORMAT </w:instrText>
                          </w:r>
                          <w:r>
                            <w:fldChar w:fldCharType="separate"/>
                          </w:r>
                          <w:r>
                            <w:t>177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2BBkI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9S4lhGiU//fh+&#10;+vlw+vWNpENI1LgwQ+S9Q2xs39kWjTOcBxwm5m3ldfqCE4EfAh8vAos2Ep4uTSfTaQ4Xh2/YAD97&#10;vO58iO+F1SQZBfWoYCcsO2xC7EOHkJTN2LVUqquiMqQp6NXrN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tgQZCNAIAAGUEAAAOAAAAAAAAAAEAIAAAAB8BAABkcnMvZTJvRG9jLnhtbFBL&#10;BQYAAAAABgAGAFkBAADFBQAAAAA=&#10;">
              <v:fill on="f" focussize="0,0"/>
              <v:stroke on="f" weight="0.5pt"/>
              <v:imagedata o:title=""/>
              <o:lock v:ext="edit" aspectratio="f"/>
              <v:textbox inset="0mm,0mm,0mm,0mm" style="mso-fit-shape-to-text:t;">
                <w:txbxContent>
                  <w:p w14:paraId="7FB6892F">
                    <w:pPr>
                      <w:pStyle w:val="8"/>
                    </w:pPr>
                    <w:r>
                      <w:fldChar w:fldCharType="begin"/>
                    </w:r>
                    <w:r>
                      <w:instrText xml:space="preserve"> PAGE  \* MERGEFORMAT </w:instrText>
                    </w:r>
                    <w:r>
                      <w:fldChar w:fldCharType="separate"/>
                    </w:r>
                    <w:r>
                      <w:t>177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358CC">
    <w:pPr>
      <w:spacing w:line="220"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0" name="文本框 2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28881">
                          <w:pPr>
                            <w:pStyle w:val="8"/>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ylZg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fQxDCNkl++f7v8&#10;+HX5+ZWkQ0hUuzBH5M4hNjZvbYPGGc4DDhPzpvQ6fcGJwA+w81Vg0UTC06XZdDYbw8XhGzbAzx6v&#10;Ox/iO2E1SUZOPSrYCstO2xC70CEkZTN2I5Vqq6gMqXN68/rNuL1w9QBcGeRIJLrHJis2+6ZntrfF&#10;GcS87bojOL6RSL5lIT4wj3bAgzEw8R5LqSyS2N6ipLL+y7/OUzyqBC8lNdorpwbTRIl6b1A9AMbB&#10;8IOxHwxz1HcW/TrBIDremrjgoxrM0lv9GVO0SjngYoYjU07jYN7FrsUxhVysVm3Q0Xl5qLoL6D3H&#10;4tbsHE9pkpDBrY4RYrYaJ4E6VXrd0H1tlfpJSe39576Nevw7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eylZgzAgAAZQQAAA4AAAAAAAAAAQAgAAAAHwEAAGRycy9lMm9Eb2MueG1sUEsF&#10;BgAAAAAGAAYAWQEAAMQFAAAAAA==&#10;">
              <v:fill on="f" focussize="0,0"/>
              <v:stroke on="f" weight="0.5pt"/>
              <v:imagedata o:title=""/>
              <o:lock v:ext="edit" aspectratio="f"/>
              <v:textbox inset="0mm,0mm,0mm,0mm" style="mso-fit-shape-to-text:t;">
                <w:txbxContent>
                  <w:p w14:paraId="1D528881">
                    <w:pPr>
                      <w:pStyle w:val="8"/>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58D6B">
    <w:pPr>
      <w:spacing w:line="220" w:lineRule="auto"/>
      <w:ind w:left="406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8" name="文本框 2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386065">
                          <w:pPr>
                            <w:pStyle w:val="8"/>
                          </w:pPr>
                          <w:r>
                            <w:fldChar w:fldCharType="begin"/>
                          </w:r>
                          <w:r>
                            <w:instrText xml:space="preserve"> PAGE  \* MERGEFORMAT </w:instrText>
                          </w:r>
                          <w:r>
                            <w:fldChar w:fldCharType="separate"/>
                          </w:r>
                          <w:r>
                            <w:t>178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O7hwyAgAAZ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czFF4zhZJfvn+7&#10;/Ph1+fmVxENI1Fg/R+TOIja0b02LxhnOPQ4j87Z0Kn7BicAPgc9XgUUbCI+XZgAcw8XhGzbAzx6v&#10;W+fDO2EUiUZOHSqYhGWnrQ9d6BASs2mzqaVMVZSaNDm9ef1mnC5cPQCXGjkiie6x0Qrtvu2Z7U1x&#10;BjFnuu7wlm9qJN8yHx6YQzvgwRiYcI+llAZJTG9RUhn35V/nMR5VgpeSBu2VU41pokS+16geAMNg&#10;uMHYD4Y+qjuDfp1gEC1PJi64IAezdEZ9xhStYg64mObIlNMwmHeha3FMIRerVQo6Wlcfqu4Ces+y&#10;sNU7y2OaKKS3q2OAmEnjKFCnSq8bui9VqZ+U2N5/7lPU499h+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E7uHDICAABlBAAADgAAAAAAAAABACAAAAAfAQAAZHJzL2Uyb0RvYy54bWxQSwUG&#10;AAAAAAYABgBZAQAAwwUAAAAA&#10;">
              <v:fill on="f" focussize="0,0"/>
              <v:stroke on="f" weight="0.5pt"/>
              <v:imagedata o:title=""/>
              <o:lock v:ext="edit" aspectratio="f"/>
              <v:textbox inset="0mm,0mm,0mm,0mm" style="mso-fit-shape-to-text:t;">
                <w:txbxContent>
                  <w:p w14:paraId="3B386065">
                    <w:pPr>
                      <w:pStyle w:val="8"/>
                    </w:pPr>
                    <w:r>
                      <w:fldChar w:fldCharType="begin"/>
                    </w:r>
                    <w:r>
                      <w:instrText xml:space="preserve"> PAGE  \* MERGEFORMAT </w:instrText>
                    </w:r>
                    <w:r>
                      <w:fldChar w:fldCharType="separate"/>
                    </w:r>
                    <w:r>
                      <w:t>178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4F086">
    <w:pPr>
      <w:spacing w:line="223" w:lineRule="auto"/>
      <w:ind w:left="40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2" name="文本框 2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E9575">
                          <w:pPr>
                            <w:pStyle w:val="8"/>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M2Xo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dTSgzTKPnl+7fL&#10;j1+Xn19JOoREtQtzRO4cYmPz1jZonOE84DAxb0qv0xecCPwQ+HwVWDSR8HRpNp3NxnBx+IYN8LPH&#10;686H+E5YTZKRU48KtsKy0zbELnQISdmM3Uil2ioqQ+qc3rx+M24vXD0AVwY5EonuscmKzb7pme1t&#10;cQYxb7vuCI5vJJJvWYgPzKMd8GAMTLzHUiqLJLa3KKms//Kv8xSPKsFLSY32yqnBNFGi3htUD4Bx&#10;MPxg7AfDHPWdRb9OMIiOtyYu+KgGs/RWf8YUrVIOuJjhyJTTOJh3sWtxTCEXq1UbdHReHqruAnrP&#10;sbg1O8dTmiRkcKtjhJitxkmgTpVeN3RfW6V+UlJ7/7lvox7/D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DM2XozAgAAZQQAAA4AAAAAAAAAAQAgAAAAHwEAAGRycy9lMm9Eb2MueG1sUEsF&#10;BgAAAAAGAAYAWQEAAMQFAAAAAA==&#10;">
              <v:fill on="f" focussize="0,0"/>
              <v:stroke on="f" weight="0.5pt"/>
              <v:imagedata o:title=""/>
              <o:lock v:ext="edit" aspectratio="f"/>
              <v:textbox inset="0mm,0mm,0mm,0mm" style="mso-fit-shape-to-text:t;">
                <w:txbxContent>
                  <w:p w14:paraId="24BE9575">
                    <w:pPr>
                      <w:pStyle w:val="8"/>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7ED0F">
    <w:pPr>
      <w:spacing w:line="223" w:lineRule="auto"/>
      <w:ind w:left="40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F380A">
                          <w:pPr>
                            <w:pStyle w:val="8"/>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twR+Y0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PJFSWGaZT8/OP7&#10;+efv869vJB1CotqFOSIfHGJj8842aJzhPOAwMW9Kr9MXnAj8EPh0EVg0kfB0aTadzcZwcfiGDfCz&#10;p+vOh/heWE2SkVOPCrbCsuM2xC50CEnZjN1IpdoqKkPqnF5fvR23Fy4egCuDHIlE99hkxWbX9Mx2&#10;tjiBmLdddwTHNxLJtyzEe+bRDngwBibeYSmVRRLbW5RU1n/913mKR5XgpaRGe+XUYJooUR8MqgfA&#10;OBh+MHaDYQ761qJfJxhEx1sTF3xUg1l6q79gilYpB1zMcGTKaRzM29i1OKaQi9WqDTo4L/dVdwG9&#10;51jcmgfHU5okZHCrQ4SYrcZJoE6VXjd0X1ulflJSe/+5b6Oe/g7LR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LcEfmNAIAAGUEAAAOAAAAAAAAAAEAIAAAAB8BAABkcnMvZTJvRG9jLnhtbFBL&#10;BQYAAAAABgAGAFkBAADFBQAAAAA=&#10;">
              <v:fill on="f" focussize="0,0"/>
              <v:stroke on="f" weight="0.5pt"/>
              <v:imagedata o:title=""/>
              <o:lock v:ext="edit" aspectratio="f"/>
              <v:textbox inset="0mm,0mm,0mm,0mm" style="mso-fit-shape-to-text:t;">
                <w:txbxContent>
                  <w:p w14:paraId="0EDF380A">
                    <w:pPr>
                      <w:pStyle w:val="8"/>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197DD">
    <w:pPr>
      <w:spacing w:line="220" w:lineRule="auto"/>
      <w:ind w:left="40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4" name="文本框 2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249F57">
                          <w:pPr>
                            <w:pStyle w:val="8"/>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JfIc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SXyHNAIAAGUEAAAOAAAAAAAAAAEAIAAAAB8BAABkcnMvZTJvRG9jLnhtbFBL&#10;BQYAAAAABgAGAFkBAADFBQAAAAA=&#10;">
              <v:fill on="f" focussize="0,0"/>
              <v:stroke on="f" weight="0.5pt"/>
              <v:imagedata o:title=""/>
              <o:lock v:ext="edit" aspectratio="f"/>
              <v:textbox inset="0mm,0mm,0mm,0mm" style="mso-fit-shape-to-text:t;">
                <w:txbxContent>
                  <w:p w14:paraId="6E249F57">
                    <w:pPr>
                      <w:pStyle w:val="8"/>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8178C">
    <w:pPr>
      <w:spacing w:line="100" w:lineRule="auto"/>
      <w:rPr>
        <w:rFonts w:ascii="Arial"/>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F23BF">
    <w:pPr>
      <w:spacing w:line="100" w:lineRule="auto"/>
      <w:rPr>
        <w:rFonts w:ascii="Arial"/>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CEFB3">
    <w:pPr>
      <w:spacing w:line="100" w:lineRule="auto"/>
      <w:rPr>
        <w:rFonts w:ascii="Arial"/>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254AD">
    <w:pPr>
      <w:spacing w:line="100" w:lineRule="auto"/>
      <w:rPr>
        <w:rFonts w:ascii="Arial"/>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35000">
    <w:pPr>
      <w:pStyle w:val="9"/>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8F4BB">
    <w:pPr>
      <w:pStyle w:val="9"/>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2D44A">
    <w:pPr>
      <w:pStyle w:val="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9A05C">
    <w:pPr>
      <w:spacing w:line="100" w:lineRule="auto"/>
      <w:rPr>
        <w:rFonts w:ascii="Arial"/>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87B14">
    <w:pPr>
      <w:pStyle w:val="9"/>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B426C">
    <w:pPr>
      <w:spacing w:line="100" w:lineRule="auto"/>
      <w:rPr>
        <w:rFonts w:ascii="Arial"/>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3A772">
    <w:pPr>
      <w:spacing w:line="100"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BF53D">
    <w:pPr>
      <w:pStyle w:val="9"/>
      <w:pBdr>
        <w:bottom w:val="none" w:color="auto" w:sz="0" w:space="1"/>
      </w:pBd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77F5B">
    <w:pPr>
      <w:spacing w:line="100" w:lineRule="auto"/>
      <w:rPr>
        <w:rFonts w:ascii="Arial"/>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9F993">
    <w:pPr>
      <w:spacing w:line="100" w:lineRule="auto"/>
      <w:rPr>
        <w:rFonts w:ascii="Arial"/>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6E536">
    <w:pPr>
      <w:pStyle w:val="9"/>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CC548">
    <w:pPr>
      <w:spacing w:line="100" w:lineRule="auto"/>
      <w:rPr>
        <w:rFonts w:ascii="Arial"/>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22E80">
    <w:pPr>
      <w:pStyle w:val="9"/>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C3F33">
    <w:pPr>
      <w:spacing w:line="100" w:lineRule="auto"/>
      <w:rPr>
        <w:rFonts w:ascii="Arial"/>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20A86">
    <w:pPr>
      <w:pStyle w:val="9"/>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37035">
    <w:pPr>
      <w:spacing w:line="100" w:lineRule="auto"/>
      <w:rPr>
        <w:rFonts w:ascii="Arial"/>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DC00F">
    <w:pPr>
      <w:spacing w:line="100" w:lineRule="auto"/>
      <w:rPr>
        <w:rFonts w:ascii="Arial"/>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F01FB">
    <w:pPr>
      <w:spacing w:line="100"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95AB6">
    <w:pPr>
      <w:pStyle w:val="9"/>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0EA80">
    <w:pPr>
      <w:spacing w:line="100" w:lineRule="auto"/>
      <w:rPr>
        <w:rFonts w:ascii="Arial"/>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0A223">
    <w:pPr>
      <w:spacing w:line="100" w:lineRule="auto"/>
      <w:rPr>
        <w:rFonts w:ascii="Arial"/>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6BBF1">
    <w:pPr>
      <w:spacing w:line="100" w:lineRule="auto"/>
      <w:rPr>
        <w:rFonts w:ascii="Arial"/>
        <w:sz w:val="2"/>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145F">
    <w:pPr>
      <w:pStyle w:val="9"/>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18290">
    <w:pPr>
      <w:spacing w:line="100" w:lineRule="auto"/>
      <w:rPr>
        <w:rFonts w:ascii="Arial"/>
        <w:sz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95EF8">
    <w:pPr>
      <w:pStyle w:val="9"/>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64DC7">
    <w:pPr>
      <w:spacing w:line="100" w:lineRule="auto"/>
      <w:rPr>
        <w:rFonts w:ascii="Arial"/>
        <w:sz w:val="2"/>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5E23A">
    <w:pPr>
      <w:pStyle w:val="9"/>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628BA">
    <w:pPr>
      <w:pStyle w:val="9"/>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11635">
    <w:pPr>
      <w:spacing w:line="100"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A86C1">
    <w:pPr>
      <w:pStyle w:val="9"/>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BDEDE">
    <w:pPr>
      <w:spacing w:line="100" w:lineRule="auto"/>
      <w:rPr>
        <w:rFonts w:ascii="Arial"/>
        <w:sz w:val="2"/>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77D50">
    <w:pPr>
      <w:pStyle w:val="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7ABDF">
    <w:pPr>
      <w:spacing w:line="100" w:lineRule="auto"/>
      <w:rPr>
        <w:rFonts w:ascii="Arial"/>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C487B">
    <w:pPr>
      <w:spacing w:line="100" w:lineRule="auto"/>
      <w:rPr>
        <w:rFonts w:ascii="Arial"/>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DDCA0">
    <w:pPr>
      <w:spacing w:line="100" w:lineRule="auto"/>
      <w:rPr>
        <w:rFonts w:ascii="Arial"/>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CB2C8">
    <w:pPr>
      <w:pStyle w:val="9"/>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60555">
    <w:pPr>
      <w:spacing w:line="100"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C6478A"/>
    <w:multiLevelType w:val="singleLevel"/>
    <w:tmpl w:val="0DC6478A"/>
    <w:lvl w:ilvl="0" w:tentative="0">
      <w:start w:val="1"/>
      <w:numFmt w:val="chineseCounting"/>
      <w:suff w:val="nothing"/>
      <w:lvlText w:val="%1、"/>
      <w:lvlJc w:val="left"/>
      <w:rPr>
        <w:rFonts w:hint="eastAsia"/>
      </w:rPr>
    </w:lvl>
  </w:abstractNum>
  <w:abstractNum w:abstractNumId="1">
    <w:nsid w:val="2C2D8786"/>
    <w:multiLevelType w:val="singleLevel"/>
    <w:tmpl w:val="2C2D8786"/>
    <w:lvl w:ilvl="0" w:tentative="0">
      <w:start w:val="7"/>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07402CA"/>
    <w:rsid w:val="008953F8"/>
    <w:rsid w:val="008B1170"/>
    <w:rsid w:val="013C06BC"/>
    <w:rsid w:val="01AA7D1B"/>
    <w:rsid w:val="01CB3BA5"/>
    <w:rsid w:val="020000B3"/>
    <w:rsid w:val="02300221"/>
    <w:rsid w:val="02BF556A"/>
    <w:rsid w:val="030B79F1"/>
    <w:rsid w:val="03140A3C"/>
    <w:rsid w:val="03406F06"/>
    <w:rsid w:val="03575C81"/>
    <w:rsid w:val="03646934"/>
    <w:rsid w:val="03785A7D"/>
    <w:rsid w:val="038E286B"/>
    <w:rsid w:val="03B42306"/>
    <w:rsid w:val="04211571"/>
    <w:rsid w:val="04654A37"/>
    <w:rsid w:val="04D550AF"/>
    <w:rsid w:val="05045825"/>
    <w:rsid w:val="058C7E64"/>
    <w:rsid w:val="061B2F96"/>
    <w:rsid w:val="063F77C8"/>
    <w:rsid w:val="06590829"/>
    <w:rsid w:val="069B7C96"/>
    <w:rsid w:val="06BA2DC8"/>
    <w:rsid w:val="0784404A"/>
    <w:rsid w:val="07927587"/>
    <w:rsid w:val="080F6B2A"/>
    <w:rsid w:val="08181E21"/>
    <w:rsid w:val="081E0B1B"/>
    <w:rsid w:val="089332B7"/>
    <w:rsid w:val="0928162E"/>
    <w:rsid w:val="09304FAA"/>
    <w:rsid w:val="098B2BA1"/>
    <w:rsid w:val="09F67AC4"/>
    <w:rsid w:val="0A2C39C3"/>
    <w:rsid w:val="0B9E4E24"/>
    <w:rsid w:val="0BC41477"/>
    <w:rsid w:val="0BC53C49"/>
    <w:rsid w:val="0BC96FF0"/>
    <w:rsid w:val="0C18109A"/>
    <w:rsid w:val="0C261997"/>
    <w:rsid w:val="0C547201"/>
    <w:rsid w:val="0C6242E0"/>
    <w:rsid w:val="0CBD0CC7"/>
    <w:rsid w:val="0D2E44C0"/>
    <w:rsid w:val="0D9E05DC"/>
    <w:rsid w:val="0DFC18FF"/>
    <w:rsid w:val="0E5E7EC3"/>
    <w:rsid w:val="0E77573E"/>
    <w:rsid w:val="0EC44EEE"/>
    <w:rsid w:val="0F39778B"/>
    <w:rsid w:val="0F5C232E"/>
    <w:rsid w:val="0F6E755A"/>
    <w:rsid w:val="0F7A0D2D"/>
    <w:rsid w:val="0FDF3286"/>
    <w:rsid w:val="101F18D4"/>
    <w:rsid w:val="10613A0A"/>
    <w:rsid w:val="11323E5A"/>
    <w:rsid w:val="11BD75F7"/>
    <w:rsid w:val="11D1584B"/>
    <w:rsid w:val="11F81F1A"/>
    <w:rsid w:val="120314AE"/>
    <w:rsid w:val="12373F9F"/>
    <w:rsid w:val="124A2743"/>
    <w:rsid w:val="12664571"/>
    <w:rsid w:val="126D1E74"/>
    <w:rsid w:val="12CB18A0"/>
    <w:rsid w:val="132B7C1A"/>
    <w:rsid w:val="13394A5B"/>
    <w:rsid w:val="13DD6D1E"/>
    <w:rsid w:val="14065285"/>
    <w:rsid w:val="142B400B"/>
    <w:rsid w:val="142B6A9A"/>
    <w:rsid w:val="148443FC"/>
    <w:rsid w:val="149C34F4"/>
    <w:rsid w:val="14AA1ABA"/>
    <w:rsid w:val="14F11A91"/>
    <w:rsid w:val="150D43F1"/>
    <w:rsid w:val="15567BEB"/>
    <w:rsid w:val="157C4041"/>
    <w:rsid w:val="157D1577"/>
    <w:rsid w:val="15AE34DE"/>
    <w:rsid w:val="15B80793"/>
    <w:rsid w:val="15FB1B6C"/>
    <w:rsid w:val="16133262"/>
    <w:rsid w:val="162776F9"/>
    <w:rsid w:val="163C3C41"/>
    <w:rsid w:val="16985257"/>
    <w:rsid w:val="16AF043B"/>
    <w:rsid w:val="171C4DC0"/>
    <w:rsid w:val="17BE35DC"/>
    <w:rsid w:val="17E86A50"/>
    <w:rsid w:val="17FE0021"/>
    <w:rsid w:val="1890769A"/>
    <w:rsid w:val="18B20619"/>
    <w:rsid w:val="18B52DD6"/>
    <w:rsid w:val="19353F17"/>
    <w:rsid w:val="193E726F"/>
    <w:rsid w:val="198D243A"/>
    <w:rsid w:val="19F37EA5"/>
    <w:rsid w:val="1A1520AE"/>
    <w:rsid w:val="1A2C356C"/>
    <w:rsid w:val="1A345F7C"/>
    <w:rsid w:val="1A407870"/>
    <w:rsid w:val="1A75281D"/>
    <w:rsid w:val="1A974E89"/>
    <w:rsid w:val="1AC20505"/>
    <w:rsid w:val="1B1C7F55"/>
    <w:rsid w:val="1BAD248A"/>
    <w:rsid w:val="1C4D015E"/>
    <w:rsid w:val="1C630856"/>
    <w:rsid w:val="1C8C3BB7"/>
    <w:rsid w:val="1CB52DC3"/>
    <w:rsid w:val="1CDD0B4D"/>
    <w:rsid w:val="1D081FED"/>
    <w:rsid w:val="1D1B5ACD"/>
    <w:rsid w:val="1D204952"/>
    <w:rsid w:val="1DD75AD9"/>
    <w:rsid w:val="1E0C16EA"/>
    <w:rsid w:val="1E707900"/>
    <w:rsid w:val="1ED61CF8"/>
    <w:rsid w:val="1F2B5BA0"/>
    <w:rsid w:val="1F525822"/>
    <w:rsid w:val="1F9279CD"/>
    <w:rsid w:val="1F9A0F77"/>
    <w:rsid w:val="200307FA"/>
    <w:rsid w:val="20802726"/>
    <w:rsid w:val="20A756FA"/>
    <w:rsid w:val="20E7303F"/>
    <w:rsid w:val="20F85F56"/>
    <w:rsid w:val="21386E2B"/>
    <w:rsid w:val="21814378"/>
    <w:rsid w:val="22105521"/>
    <w:rsid w:val="222F1E4B"/>
    <w:rsid w:val="225B2C40"/>
    <w:rsid w:val="22AC263C"/>
    <w:rsid w:val="22E5250A"/>
    <w:rsid w:val="233D23C7"/>
    <w:rsid w:val="23843AD1"/>
    <w:rsid w:val="2391062C"/>
    <w:rsid w:val="23D902C0"/>
    <w:rsid w:val="23F334DF"/>
    <w:rsid w:val="24457704"/>
    <w:rsid w:val="244A4D1A"/>
    <w:rsid w:val="24764035"/>
    <w:rsid w:val="24D26ABE"/>
    <w:rsid w:val="253C1DA3"/>
    <w:rsid w:val="25987D07"/>
    <w:rsid w:val="259C77F7"/>
    <w:rsid w:val="262475DA"/>
    <w:rsid w:val="2629095F"/>
    <w:rsid w:val="26760048"/>
    <w:rsid w:val="26993D37"/>
    <w:rsid w:val="26C568DA"/>
    <w:rsid w:val="26EA7A50"/>
    <w:rsid w:val="271C2272"/>
    <w:rsid w:val="275814FC"/>
    <w:rsid w:val="285759A5"/>
    <w:rsid w:val="28D626D3"/>
    <w:rsid w:val="28E84B02"/>
    <w:rsid w:val="28EC412E"/>
    <w:rsid w:val="29D07A70"/>
    <w:rsid w:val="29FD4993"/>
    <w:rsid w:val="2A326424"/>
    <w:rsid w:val="2A4915D0"/>
    <w:rsid w:val="2A663F30"/>
    <w:rsid w:val="2A775C05"/>
    <w:rsid w:val="2AB51923"/>
    <w:rsid w:val="2B193698"/>
    <w:rsid w:val="2B6F45C6"/>
    <w:rsid w:val="2B7D59D5"/>
    <w:rsid w:val="2BD55811"/>
    <w:rsid w:val="2BDD2291"/>
    <w:rsid w:val="2BEA62D4"/>
    <w:rsid w:val="2C3C5960"/>
    <w:rsid w:val="2C923702"/>
    <w:rsid w:val="2CC24862"/>
    <w:rsid w:val="2D8A43D9"/>
    <w:rsid w:val="2E100F1A"/>
    <w:rsid w:val="2E2E026D"/>
    <w:rsid w:val="2E3511E0"/>
    <w:rsid w:val="2E4427DA"/>
    <w:rsid w:val="2E5D564A"/>
    <w:rsid w:val="2FAA4A1E"/>
    <w:rsid w:val="2FE13904"/>
    <w:rsid w:val="30110DE2"/>
    <w:rsid w:val="305F1B4D"/>
    <w:rsid w:val="306B16EA"/>
    <w:rsid w:val="309A2B85"/>
    <w:rsid w:val="309A4933"/>
    <w:rsid w:val="30A5056A"/>
    <w:rsid w:val="30D37E45"/>
    <w:rsid w:val="31104BF6"/>
    <w:rsid w:val="312B5ED3"/>
    <w:rsid w:val="31341444"/>
    <w:rsid w:val="31480833"/>
    <w:rsid w:val="32026C34"/>
    <w:rsid w:val="32CF55BD"/>
    <w:rsid w:val="33462B51"/>
    <w:rsid w:val="33C46F74"/>
    <w:rsid w:val="33E16D1D"/>
    <w:rsid w:val="33F95E15"/>
    <w:rsid w:val="343313EF"/>
    <w:rsid w:val="348F0527"/>
    <w:rsid w:val="34977F25"/>
    <w:rsid w:val="34C603ED"/>
    <w:rsid w:val="34FD73D2"/>
    <w:rsid w:val="351677C5"/>
    <w:rsid w:val="35245113"/>
    <w:rsid w:val="35353BF4"/>
    <w:rsid w:val="355F439E"/>
    <w:rsid w:val="35D37B7A"/>
    <w:rsid w:val="36341386"/>
    <w:rsid w:val="36791FB9"/>
    <w:rsid w:val="36845F97"/>
    <w:rsid w:val="36DE12F2"/>
    <w:rsid w:val="36E96615"/>
    <w:rsid w:val="379B7EB4"/>
    <w:rsid w:val="379F3EED"/>
    <w:rsid w:val="37C16C4A"/>
    <w:rsid w:val="3819384F"/>
    <w:rsid w:val="38286CC9"/>
    <w:rsid w:val="382A0C93"/>
    <w:rsid w:val="38C9061D"/>
    <w:rsid w:val="390F7E89"/>
    <w:rsid w:val="39316051"/>
    <w:rsid w:val="39534219"/>
    <w:rsid w:val="39671A73"/>
    <w:rsid w:val="39745863"/>
    <w:rsid w:val="39CE38A0"/>
    <w:rsid w:val="3A2D05C6"/>
    <w:rsid w:val="3A814E3D"/>
    <w:rsid w:val="3AB7403B"/>
    <w:rsid w:val="3ACD1DA9"/>
    <w:rsid w:val="3ADE02F2"/>
    <w:rsid w:val="3AFD61EB"/>
    <w:rsid w:val="3B733902"/>
    <w:rsid w:val="3B862944"/>
    <w:rsid w:val="3BB52F69"/>
    <w:rsid w:val="3BD52D4A"/>
    <w:rsid w:val="3BDF3482"/>
    <w:rsid w:val="3C720E5A"/>
    <w:rsid w:val="3C917532"/>
    <w:rsid w:val="3C9A4920"/>
    <w:rsid w:val="3D45031D"/>
    <w:rsid w:val="3D783084"/>
    <w:rsid w:val="3D9646D4"/>
    <w:rsid w:val="3E1D4DF6"/>
    <w:rsid w:val="3E680921"/>
    <w:rsid w:val="3EF47905"/>
    <w:rsid w:val="3F604F9A"/>
    <w:rsid w:val="3F700B9C"/>
    <w:rsid w:val="4004626D"/>
    <w:rsid w:val="40736F4F"/>
    <w:rsid w:val="414A6E99"/>
    <w:rsid w:val="41654AEA"/>
    <w:rsid w:val="41BF069E"/>
    <w:rsid w:val="41F83BB0"/>
    <w:rsid w:val="42614D21"/>
    <w:rsid w:val="426D1DE9"/>
    <w:rsid w:val="428471F1"/>
    <w:rsid w:val="430345BA"/>
    <w:rsid w:val="432307B8"/>
    <w:rsid w:val="43442755"/>
    <w:rsid w:val="43562BAD"/>
    <w:rsid w:val="43AF029E"/>
    <w:rsid w:val="43C31896"/>
    <w:rsid w:val="4427077C"/>
    <w:rsid w:val="445D5F4C"/>
    <w:rsid w:val="446E2B4E"/>
    <w:rsid w:val="44AE7902"/>
    <w:rsid w:val="44EF1C2A"/>
    <w:rsid w:val="44EF6789"/>
    <w:rsid w:val="44FF7003"/>
    <w:rsid w:val="455A0BC2"/>
    <w:rsid w:val="4587657B"/>
    <w:rsid w:val="45AA6F6F"/>
    <w:rsid w:val="46081EE8"/>
    <w:rsid w:val="46144D30"/>
    <w:rsid w:val="461657B5"/>
    <w:rsid w:val="465273DB"/>
    <w:rsid w:val="465313B5"/>
    <w:rsid w:val="465F5514"/>
    <w:rsid w:val="46B92722"/>
    <w:rsid w:val="47112CBB"/>
    <w:rsid w:val="471825FE"/>
    <w:rsid w:val="472D6E53"/>
    <w:rsid w:val="47AB6FCE"/>
    <w:rsid w:val="480E2755"/>
    <w:rsid w:val="483D4C99"/>
    <w:rsid w:val="484A3DA7"/>
    <w:rsid w:val="484F16A2"/>
    <w:rsid w:val="48895562"/>
    <w:rsid w:val="48A24875"/>
    <w:rsid w:val="48BB0DAA"/>
    <w:rsid w:val="48FB078F"/>
    <w:rsid w:val="49197859"/>
    <w:rsid w:val="49AB775A"/>
    <w:rsid w:val="49FC71F6"/>
    <w:rsid w:val="4A7F6A22"/>
    <w:rsid w:val="4A857FAB"/>
    <w:rsid w:val="4A8B21F5"/>
    <w:rsid w:val="4ABB259D"/>
    <w:rsid w:val="4B524F13"/>
    <w:rsid w:val="4B7047B7"/>
    <w:rsid w:val="4BB87F0C"/>
    <w:rsid w:val="4BD44D46"/>
    <w:rsid w:val="4C003D8D"/>
    <w:rsid w:val="4C1A4723"/>
    <w:rsid w:val="4C262BF1"/>
    <w:rsid w:val="4C7B5D2E"/>
    <w:rsid w:val="4CA426C4"/>
    <w:rsid w:val="4D1C38C8"/>
    <w:rsid w:val="4D6437E8"/>
    <w:rsid w:val="4D825DF2"/>
    <w:rsid w:val="4D857F0A"/>
    <w:rsid w:val="4E2875CB"/>
    <w:rsid w:val="4E726A98"/>
    <w:rsid w:val="4E8835CF"/>
    <w:rsid w:val="4EAF077C"/>
    <w:rsid w:val="4EB558DB"/>
    <w:rsid w:val="4EFE613B"/>
    <w:rsid w:val="4F0040A4"/>
    <w:rsid w:val="4F477BE7"/>
    <w:rsid w:val="4F927998"/>
    <w:rsid w:val="4FA74FBE"/>
    <w:rsid w:val="4FEA0811"/>
    <w:rsid w:val="504D50C7"/>
    <w:rsid w:val="508F56DF"/>
    <w:rsid w:val="517A37CC"/>
    <w:rsid w:val="51CD2963"/>
    <w:rsid w:val="51E62679"/>
    <w:rsid w:val="522679F4"/>
    <w:rsid w:val="52412A09"/>
    <w:rsid w:val="529945F3"/>
    <w:rsid w:val="52E31D12"/>
    <w:rsid w:val="52ED0DE3"/>
    <w:rsid w:val="534529CD"/>
    <w:rsid w:val="53917E05"/>
    <w:rsid w:val="53A92F5C"/>
    <w:rsid w:val="53F01C7A"/>
    <w:rsid w:val="54260108"/>
    <w:rsid w:val="544669FD"/>
    <w:rsid w:val="544F2A4A"/>
    <w:rsid w:val="546E385E"/>
    <w:rsid w:val="548F531B"/>
    <w:rsid w:val="54EA7388"/>
    <w:rsid w:val="55084794"/>
    <w:rsid w:val="554E3DBB"/>
    <w:rsid w:val="55752B46"/>
    <w:rsid w:val="55873FBF"/>
    <w:rsid w:val="55C92021"/>
    <w:rsid w:val="55E97640"/>
    <w:rsid w:val="55EC2C79"/>
    <w:rsid w:val="56073F6A"/>
    <w:rsid w:val="566F60C4"/>
    <w:rsid w:val="56764C4B"/>
    <w:rsid w:val="56BA722E"/>
    <w:rsid w:val="56D402F0"/>
    <w:rsid w:val="570E5ABC"/>
    <w:rsid w:val="57346FE0"/>
    <w:rsid w:val="57566F57"/>
    <w:rsid w:val="576F1DC6"/>
    <w:rsid w:val="57B41ECF"/>
    <w:rsid w:val="57C02622"/>
    <w:rsid w:val="57F4005C"/>
    <w:rsid w:val="57FF139C"/>
    <w:rsid w:val="586C4558"/>
    <w:rsid w:val="586E02D0"/>
    <w:rsid w:val="58AD0DF8"/>
    <w:rsid w:val="58D1558C"/>
    <w:rsid w:val="58EE3AE1"/>
    <w:rsid w:val="59102873"/>
    <w:rsid w:val="592310BA"/>
    <w:rsid w:val="598E4111"/>
    <w:rsid w:val="599B6EA3"/>
    <w:rsid w:val="5A0E3B19"/>
    <w:rsid w:val="5A186745"/>
    <w:rsid w:val="5A1B2858"/>
    <w:rsid w:val="5A2A3176"/>
    <w:rsid w:val="5A6000EC"/>
    <w:rsid w:val="5AD03DF2"/>
    <w:rsid w:val="5AFC1BC3"/>
    <w:rsid w:val="5B3A6B8F"/>
    <w:rsid w:val="5B4B66A7"/>
    <w:rsid w:val="5B5C08B4"/>
    <w:rsid w:val="5B726329"/>
    <w:rsid w:val="5BA34C85"/>
    <w:rsid w:val="5BAA161F"/>
    <w:rsid w:val="5BB4249E"/>
    <w:rsid w:val="5BDE4F91"/>
    <w:rsid w:val="5BF15A6A"/>
    <w:rsid w:val="5BFB3FFB"/>
    <w:rsid w:val="5C351108"/>
    <w:rsid w:val="5C3E7FB9"/>
    <w:rsid w:val="5CBF10FA"/>
    <w:rsid w:val="5CF1327E"/>
    <w:rsid w:val="5CF96747"/>
    <w:rsid w:val="5D92680F"/>
    <w:rsid w:val="5DAB78D0"/>
    <w:rsid w:val="5DB26EB1"/>
    <w:rsid w:val="5DF63241"/>
    <w:rsid w:val="5E082F75"/>
    <w:rsid w:val="5E304C5E"/>
    <w:rsid w:val="5F0279C4"/>
    <w:rsid w:val="5F1F1842"/>
    <w:rsid w:val="5F55217A"/>
    <w:rsid w:val="5F6A29BF"/>
    <w:rsid w:val="5F7E1979"/>
    <w:rsid w:val="5F893D55"/>
    <w:rsid w:val="5FBF5B4F"/>
    <w:rsid w:val="606326E4"/>
    <w:rsid w:val="607F065F"/>
    <w:rsid w:val="60DE52CA"/>
    <w:rsid w:val="615F2C09"/>
    <w:rsid w:val="618361EC"/>
    <w:rsid w:val="61CD42B9"/>
    <w:rsid w:val="620344FC"/>
    <w:rsid w:val="62257C51"/>
    <w:rsid w:val="622B0EAD"/>
    <w:rsid w:val="623C143F"/>
    <w:rsid w:val="62546789"/>
    <w:rsid w:val="62C85E72"/>
    <w:rsid w:val="63022EE2"/>
    <w:rsid w:val="63072F03"/>
    <w:rsid w:val="630A5BB9"/>
    <w:rsid w:val="630C0108"/>
    <w:rsid w:val="6320666B"/>
    <w:rsid w:val="634B7B8C"/>
    <w:rsid w:val="6364795D"/>
    <w:rsid w:val="636F7BF7"/>
    <w:rsid w:val="637923B0"/>
    <w:rsid w:val="638E7A78"/>
    <w:rsid w:val="63A64DC2"/>
    <w:rsid w:val="63AE3EB9"/>
    <w:rsid w:val="63C80FC1"/>
    <w:rsid w:val="63F200B4"/>
    <w:rsid w:val="648C045C"/>
    <w:rsid w:val="64C71494"/>
    <w:rsid w:val="64F2384B"/>
    <w:rsid w:val="64FE478A"/>
    <w:rsid w:val="651F307E"/>
    <w:rsid w:val="65262BC4"/>
    <w:rsid w:val="65BC08CD"/>
    <w:rsid w:val="65E87914"/>
    <w:rsid w:val="65F63CF3"/>
    <w:rsid w:val="65FF2E17"/>
    <w:rsid w:val="660B3602"/>
    <w:rsid w:val="66575262"/>
    <w:rsid w:val="667C3DE2"/>
    <w:rsid w:val="66967370"/>
    <w:rsid w:val="66A72C8A"/>
    <w:rsid w:val="66FE6CC3"/>
    <w:rsid w:val="67062C97"/>
    <w:rsid w:val="672B4B80"/>
    <w:rsid w:val="67B13B59"/>
    <w:rsid w:val="67C65A33"/>
    <w:rsid w:val="68BD7CD5"/>
    <w:rsid w:val="6908207B"/>
    <w:rsid w:val="69845BA5"/>
    <w:rsid w:val="69A52636"/>
    <w:rsid w:val="69D46313"/>
    <w:rsid w:val="69E77EE2"/>
    <w:rsid w:val="6A0A597F"/>
    <w:rsid w:val="6AA32DCE"/>
    <w:rsid w:val="6B0A38F5"/>
    <w:rsid w:val="6B106FC5"/>
    <w:rsid w:val="6B3C1E8D"/>
    <w:rsid w:val="6BEC358E"/>
    <w:rsid w:val="6C4D46FD"/>
    <w:rsid w:val="6D0B1BA5"/>
    <w:rsid w:val="6D1174AB"/>
    <w:rsid w:val="6DEA1D4F"/>
    <w:rsid w:val="6E292877"/>
    <w:rsid w:val="6E423939"/>
    <w:rsid w:val="6E461E74"/>
    <w:rsid w:val="6E983DB3"/>
    <w:rsid w:val="6EAB577F"/>
    <w:rsid w:val="6ED76777"/>
    <w:rsid w:val="6F3040D9"/>
    <w:rsid w:val="6F3237D5"/>
    <w:rsid w:val="6F4709FD"/>
    <w:rsid w:val="6F6A75EB"/>
    <w:rsid w:val="6FAD1286"/>
    <w:rsid w:val="6FC82564"/>
    <w:rsid w:val="700510C2"/>
    <w:rsid w:val="705C33D8"/>
    <w:rsid w:val="70CB40BA"/>
    <w:rsid w:val="7137174F"/>
    <w:rsid w:val="72952BD1"/>
    <w:rsid w:val="72AE7D36"/>
    <w:rsid w:val="731A6C33"/>
    <w:rsid w:val="73591E51"/>
    <w:rsid w:val="735D2066"/>
    <w:rsid w:val="74004C7F"/>
    <w:rsid w:val="74412A7B"/>
    <w:rsid w:val="74C01A5C"/>
    <w:rsid w:val="74D769FD"/>
    <w:rsid w:val="74FF6D12"/>
    <w:rsid w:val="75105270"/>
    <w:rsid w:val="752F14FE"/>
    <w:rsid w:val="753873BD"/>
    <w:rsid w:val="75502DDF"/>
    <w:rsid w:val="757F20E7"/>
    <w:rsid w:val="7580099D"/>
    <w:rsid w:val="75973F1C"/>
    <w:rsid w:val="75B77C33"/>
    <w:rsid w:val="75BB5D14"/>
    <w:rsid w:val="75F145C2"/>
    <w:rsid w:val="773F40BA"/>
    <w:rsid w:val="7798281C"/>
    <w:rsid w:val="779A7F08"/>
    <w:rsid w:val="77BA09E4"/>
    <w:rsid w:val="780600CD"/>
    <w:rsid w:val="780A371A"/>
    <w:rsid w:val="783F0EE9"/>
    <w:rsid w:val="789631FF"/>
    <w:rsid w:val="789B25C4"/>
    <w:rsid w:val="79946D25"/>
    <w:rsid w:val="7A747570"/>
    <w:rsid w:val="7A7C5E16"/>
    <w:rsid w:val="7AC57DCC"/>
    <w:rsid w:val="7ADF6716"/>
    <w:rsid w:val="7AF74A0F"/>
    <w:rsid w:val="7B1838E2"/>
    <w:rsid w:val="7B1B7E67"/>
    <w:rsid w:val="7B2469CE"/>
    <w:rsid w:val="7B737828"/>
    <w:rsid w:val="7B767318"/>
    <w:rsid w:val="7BC736D0"/>
    <w:rsid w:val="7BD55115"/>
    <w:rsid w:val="7C5D4691"/>
    <w:rsid w:val="7C6D4277"/>
    <w:rsid w:val="7C7020FB"/>
    <w:rsid w:val="7CEC1640"/>
    <w:rsid w:val="7D016812"/>
    <w:rsid w:val="7D1E37C3"/>
    <w:rsid w:val="7E1F5A45"/>
    <w:rsid w:val="7E364319"/>
    <w:rsid w:val="7E8F2BCB"/>
    <w:rsid w:val="7E926B6F"/>
    <w:rsid w:val="7EA877E8"/>
    <w:rsid w:val="7EB4748B"/>
    <w:rsid w:val="7ECB0543"/>
    <w:rsid w:val="7ED3764A"/>
    <w:rsid w:val="7EE767C9"/>
    <w:rsid w:val="7F8A239A"/>
    <w:rsid w:val="7FFA20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semiHidden/>
    <w:qFormat/>
    <w:uiPriority w:val="0"/>
  </w:style>
  <w:style w:type="table" w:default="1" w:styleId="11">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style>
  <w:style w:type="paragraph" w:styleId="5">
    <w:name w:val="Body Text 3"/>
    <w:basedOn w:val="1"/>
    <w:qFormat/>
    <w:uiPriority w:val="0"/>
    <w:rPr>
      <w:rFonts w:ascii="宋体"/>
      <w:sz w:val="24"/>
      <w:szCs w:val="20"/>
    </w:rPr>
  </w:style>
  <w:style w:type="paragraph" w:styleId="6">
    <w:name w:val="Body Text"/>
    <w:basedOn w:val="1"/>
    <w:semiHidden/>
    <w:qFormat/>
    <w:uiPriority w:val="0"/>
    <w:rPr>
      <w:rFonts w:ascii="黑体" w:hAnsi="黑体" w:eastAsia="黑体" w:cs="黑体"/>
      <w:sz w:val="31"/>
      <w:szCs w:val="31"/>
      <w:lang w:val="en-US" w:eastAsia="en-US" w:bidi="ar-SA"/>
    </w:rPr>
  </w:style>
  <w:style w:type="paragraph" w:styleId="7">
    <w:name w:val="List 2"/>
    <w:basedOn w:val="1"/>
    <w:qFormat/>
    <w:uiPriority w:val="0"/>
    <w:pPr>
      <w:ind w:left="100" w:leftChars="200" w:hanging="200" w:hangingChars="200"/>
    </w:pPr>
    <w:rPr>
      <w:rFonts w:ascii="Times New Roman" w:hAnsi="Times New Roman" w:eastAsia="宋体" w:cs="Times New Roman"/>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kinsoku w:val="0"/>
      <w:autoSpaceDE w:val="0"/>
      <w:autoSpaceDN w:val="0"/>
      <w:adjustRightInd w:val="0"/>
      <w:snapToGrid w:val="0"/>
      <w:spacing w:before="0" w:beforeAutospacing="0" w:after="0" w:afterAutospacing="0"/>
      <w:ind w:left="0" w:right="0"/>
      <w:jc w:val="left"/>
      <w:textAlignment w:val="baseline"/>
    </w:pPr>
    <w:rPr>
      <w:rFonts w:hint="default" w:ascii="Arial" w:hAnsi="Arial" w:cs="Arial"/>
      <w:snapToGrid/>
      <w:color w:val="000000"/>
      <w:kern w:val="0"/>
      <w:sz w:val="24"/>
      <w:szCs w:val="24"/>
      <w:lang w:val="en-US" w:eastAsia="zh-CN" w:bidi="ar"/>
    </w:rPr>
  </w:style>
  <w:style w:type="character" w:styleId="13">
    <w:name w:val="Strong"/>
    <w:basedOn w:val="12"/>
    <w:qFormat/>
    <w:uiPriority w:val="0"/>
    <w:rPr>
      <w:b/>
    </w:rPr>
  </w:style>
  <w:style w:type="character" w:styleId="14">
    <w:name w:val="FollowedHyperlink"/>
    <w:basedOn w:val="12"/>
    <w:qFormat/>
    <w:uiPriority w:val="0"/>
    <w:rPr>
      <w:color w:val="333333"/>
      <w:u w:val="none"/>
    </w:rPr>
  </w:style>
  <w:style w:type="character" w:styleId="15">
    <w:name w:val="Emphasis"/>
    <w:basedOn w:val="12"/>
    <w:qFormat/>
    <w:uiPriority w:val="0"/>
  </w:style>
  <w:style w:type="character" w:styleId="16">
    <w:name w:val="Hyperlink"/>
    <w:basedOn w:val="12"/>
    <w:qFormat/>
    <w:uiPriority w:val="0"/>
    <w:rPr>
      <w:color w:val="333333"/>
      <w:u w:val="none"/>
    </w:rPr>
  </w:style>
  <w:style w:type="character" w:styleId="17">
    <w:name w:val="HTML Code"/>
    <w:basedOn w:val="12"/>
    <w:qFormat/>
    <w:uiPriority w:val="0"/>
    <w:rPr>
      <w:rFonts w:ascii="Courier New" w:hAnsi="Courier New"/>
      <w:sz w:val="20"/>
      <w:bdr w:val="none" w:color="auto" w:sz="0" w:space="0"/>
    </w:rPr>
  </w:style>
  <w:style w:type="table" w:customStyle="1" w:styleId="18">
    <w:name w:val="Table Normal"/>
    <w:basedOn w:val="11"/>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21"/>
      <w:szCs w:val="21"/>
      <w:lang w:val="en-US" w:eastAsia="en-US" w:bidi="ar-SA"/>
    </w:rPr>
  </w:style>
  <w:style w:type="paragraph" w:customStyle="1" w:styleId="20">
    <w:name w:val="正文1"/>
    <w:basedOn w:val="1"/>
    <w:next w:val="1"/>
    <w:qFormat/>
    <w:uiPriority w:val="0"/>
    <w:pPr>
      <w:widowControl w:val="0"/>
      <w:spacing w:before="120" w:line="360" w:lineRule="auto"/>
      <w:ind w:left="420" w:firstLine="527"/>
      <w:jc w:val="both"/>
    </w:pPr>
    <w:rPr>
      <w:rFonts w:ascii="宋体" w:hAnsi="宋体"/>
      <w:kern w:val="2"/>
    </w:rPr>
  </w:style>
  <w:style w:type="character" w:customStyle="1" w:styleId="21">
    <w:name w:val="onetleft"/>
    <w:basedOn w:val="12"/>
    <w:qFormat/>
    <w:uiPriority w:val="0"/>
    <w:rPr>
      <w:rFonts w:ascii="微软雅黑" w:hAnsi="微软雅黑" w:eastAsia="微软雅黑" w:cs="微软雅黑"/>
      <w:sz w:val="24"/>
      <w:szCs w:val="24"/>
      <w:bdr w:val="single" w:color="496AB4" w:sz="18" w:space="0"/>
    </w:rPr>
  </w:style>
  <w:style w:type="character" w:customStyle="1" w:styleId="22">
    <w:name w:val="onetleft1"/>
    <w:basedOn w:val="12"/>
    <w:qFormat/>
    <w:uiPriority w:val="0"/>
    <w:rPr>
      <w:b/>
      <w:bCs/>
      <w:sz w:val="21"/>
      <w:szCs w:val="21"/>
    </w:rPr>
  </w:style>
  <w:style w:type="character" w:customStyle="1" w:styleId="23">
    <w:name w:val="onetleft2"/>
    <w:basedOn w:val="12"/>
    <w:qFormat/>
    <w:uiPriority w:val="0"/>
    <w:rPr>
      <w:b/>
      <w:bCs/>
      <w:sz w:val="16"/>
      <w:szCs w:val="16"/>
    </w:rPr>
  </w:style>
  <w:style w:type="character" w:customStyle="1" w:styleId="24">
    <w:name w:val="sign"/>
    <w:basedOn w:val="12"/>
    <w:qFormat/>
    <w:uiPriority w:val="0"/>
    <w:rPr>
      <w:color w:val="CC6600"/>
    </w:rPr>
  </w:style>
  <w:style w:type="character" w:customStyle="1" w:styleId="25">
    <w:name w:val="pageall"/>
    <w:basedOn w:val="12"/>
    <w:qFormat/>
    <w:uiPriority w:val="0"/>
  </w:style>
  <w:style w:type="character" w:customStyle="1" w:styleId="26">
    <w:name w:val="graycolor"/>
    <w:basedOn w:val="12"/>
    <w:qFormat/>
    <w:uiPriority w:val="0"/>
    <w:rPr>
      <w:color w:val="999999"/>
    </w:rPr>
  </w:style>
  <w:style w:type="character" w:customStyle="1" w:styleId="27">
    <w:name w:val="biddername"/>
    <w:basedOn w:val="12"/>
    <w:qFormat/>
    <w:uiPriority w:val="0"/>
    <w:rPr>
      <w:color w:val="949494"/>
    </w:rPr>
  </w:style>
  <w:style w:type="character" w:customStyle="1" w:styleId="28">
    <w:name w:val="biddername1"/>
    <w:basedOn w:val="12"/>
    <w:qFormat/>
    <w:uiPriority w:val="0"/>
    <w:rPr>
      <w:color w:val="949494"/>
    </w:rPr>
  </w:style>
  <w:style w:type="character" w:customStyle="1" w:styleId="29">
    <w:name w:val="disabled2"/>
    <w:basedOn w:val="12"/>
    <w:qFormat/>
    <w:uiPriority w:val="0"/>
    <w:rPr>
      <w:color w:val="DFDFDF"/>
      <w:bdr w:val="single" w:color="DFDFDF" w:sz="6" w:space="0"/>
      <w:shd w:val="clear" w:fill="FFFFFF"/>
    </w:rPr>
  </w:style>
  <w:style w:type="character" w:customStyle="1" w:styleId="30">
    <w:name w:val="disabled3"/>
    <w:basedOn w:val="12"/>
    <w:qFormat/>
    <w:uiPriority w:val="0"/>
    <w:rPr>
      <w:color w:val="999999"/>
      <w:bdr w:val="single" w:color="999999" w:sz="6" w:space="0"/>
      <w:shd w:val="clear" w:fill="FFFFFF"/>
    </w:rPr>
  </w:style>
  <w:style w:type="character" w:customStyle="1" w:styleId="31">
    <w:name w:val="number"/>
    <w:basedOn w:val="12"/>
    <w:qFormat/>
    <w:uiPriority w:val="0"/>
  </w:style>
  <w:style w:type="character" w:customStyle="1" w:styleId="32">
    <w:name w:val="first-child"/>
    <w:basedOn w:val="12"/>
    <w:qFormat/>
    <w:uiPriority w:val="0"/>
  </w:style>
  <w:style w:type="character" w:customStyle="1" w:styleId="33">
    <w:name w:val="curr"/>
    <w:basedOn w:val="12"/>
    <w:qFormat/>
    <w:uiPriority w:val="0"/>
    <w:rPr>
      <w:bdr w:val="single" w:color="1184FF" w:sz="6" w:space="0"/>
      <w:shd w:val="clear" w:fill="1184FF"/>
    </w:rPr>
  </w:style>
  <w:style w:type="character" w:customStyle="1" w:styleId="34">
    <w:name w:val="curr1"/>
    <w:basedOn w:val="12"/>
    <w:qFormat/>
    <w:uiPriority w:val="0"/>
    <w:rPr>
      <w:color w:val="FFFFFF"/>
    </w:rPr>
  </w:style>
  <w:style w:type="character" w:customStyle="1" w:styleId="35">
    <w:name w:val="curr2"/>
    <w:basedOn w:val="12"/>
    <w:qFormat/>
    <w:uiPriority w:val="0"/>
    <w:rPr>
      <w:color w:val="FFFFFF"/>
      <w:bdr w:val="single" w:color="2E82FF" w:sz="6" w:space="0"/>
      <w:shd w:val="clear" w:fill="2E82FF"/>
    </w:rPr>
  </w:style>
  <w:style w:type="character" w:customStyle="1" w:styleId="36">
    <w:name w:val="curr3"/>
    <w:basedOn w:val="12"/>
    <w:qFormat/>
    <w:uiPriority w:val="0"/>
    <w:rPr>
      <w:bdr w:val="single" w:color="FF6000" w:sz="6" w:space="0"/>
      <w:shd w:val="clear" w:fill="FF6000"/>
    </w:rPr>
  </w:style>
  <w:style w:type="character" w:customStyle="1" w:styleId="37">
    <w:name w:val="agencylinenone"/>
    <w:basedOn w:val="12"/>
    <w:qFormat/>
    <w:uiPriority w:val="0"/>
  </w:style>
  <w:style w:type="character" w:customStyle="1" w:styleId="38">
    <w:name w:val="agencylinenone1"/>
    <w:basedOn w:val="12"/>
    <w:qFormat/>
    <w:uiPriority w:val="0"/>
  </w:style>
  <w:style w:type="character" w:customStyle="1" w:styleId="39">
    <w:name w:val="agencylinenone2"/>
    <w:basedOn w:val="12"/>
    <w:qFormat/>
    <w:uiPriority w:val="0"/>
  </w:style>
  <w:style w:type="character" w:customStyle="1" w:styleId="40">
    <w:name w:val="text"/>
    <w:basedOn w:val="12"/>
    <w:qFormat/>
    <w:uiPriority w:val="0"/>
    <w:rPr>
      <w:b/>
      <w:bCs/>
      <w:color w:val="0E4C72"/>
      <w:sz w:val="19"/>
      <w:szCs w:val="19"/>
    </w:rPr>
  </w:style>
  <w:style w:type="character" w:customStyle="1" w:styleId="41">
    <w:name w:val="layui-layer-tabnow"/>
    <w:basedOn w:val="12"/>
    <w:qFormat/>
    <w:uiPriority w:val="0"/>
    <w:rPr>
      <w:bdr w:val="single" w:color="CCCCCC" w:sz="6" w:space="0"/>
      <w:shd w:val="clear" w:fill="FFFFFF"/>
    </w:rPr>
  </w:style>
  <w:style w:type="character" w:customStyle="1" w:styleId="42">
    <w:name w:val="hover23"/>
    <w:basedOn w:val="12"/>
    <w:qFormat/>
    <w:uiPriority w:val="0"/>
    <w:rPr>
      <w:shd w:val="clear" w:fill="F3F3F3"/>
    </w:rPr>
  </w:style>
  <w:style w:type="character" w:customStyle="1" w:styleId="43">
    <w:name w:val="hover24"/>
    <w:basedOn w:val="12"/>
    <w:qFormat/>
    <w:uiPriority w:val="0"/>
    <w:rPr>
      <w:sz w:val="19"/>
      <w:szCs w:val="19"/>
    </w:rPr>
  </w:style>
  <w:style w:type="character" w:customStyle="1" w:styleId="44">
    <w:name w:val="hover25"/>
    <w:basedOn w:val="12"/>
    <w:qFormat/>
    <w:uiPriority w:val="0"/>
    <w:rPr>
      <w:shd w:val="clear" w:fill="F3F3F3"/>
    </w:rPr>
  </w:style>
  <w:style w:type="character" w:customStyle="1" w:styleId="45">
    <w:name w:val="bold1"/>
    <w:basedOn w:val="12"/>
    <w:qFormat/>
    <w:uiPriority w:val="0"/>
    <w:rPr>
      <w:b/>
      <w:bCs/>
    </w:rPr>
  </w:style>
  <w:style w:type="character" w:customStyle="1" w:styleId="46">
    <w:name w:val="number1"/>
    <w:basedOn w:val="12"/>
    <w:qFormat/>
    <w:uiPriority w:val="0"/>
  </w:style>
  <w:style w:type="character" w:customStyle="1" w:styleId="47">
    <w:name w:val="first-child1"/>
    <w:basedOn w:val="12"/>
    <w:qFormat/>
    <w:uiPriority w:val="0"/>
  </w:style>
  <w:style w:type="character" w:customStyle="1" w:styleId="48">
    <w:name w:val="hover22"/>
    <w:basedOn w:val="12"/>
    <w:qFormat/>
    <w:uiPriority w:val="0"/>
    <w:rPr>
      <w:shd w:val="clear" w:fill="F3F3F3"/>
    </w:rPr>
  </w:style>
  <w:style w:type="character" w:customStyle="1" w:styleId="49">
    <w:name w:val="onetleft3"/>
    <w:basedOn w:val="12"/>
    <w:qFormat/>
    <w:uiPriority w:val="0"/>
    <w:rPr>
      <w:b/>
      <w:bCs/>
      <w:sz w:val="21"/>
      <w:szCs w:val="21"/>
    </w:rPr>
  </w:style>
  <w:style w:type="character" w:customStyle="1" w:styleId="50">
    <w:name w:val="disabled"/>
    <w:basedOn w:val="12"/>
    <w:uiPriority w:val="0"/>
    <w:rPr>
      <w:color w:val="999999"/>
      <w:bdr w:val="single" w:color="999999" w:sz="6" w:space="0"/>
      <w:shd w:val="clear" w:fill="FFFFFF"/>
    </w:rPr>
  </w:style>
  <w:style w:type="character" w:customStyle="1" w:styleId="51">
    <w:name w:val="disabled1"/>
    <w:basedOn w:val="12"/>
    <w:uiPriority w:val="0"/>
    <w:rPr>
      <w:color w:val="DFDFDF"/>
      <w:bdr w:val="single" w:color="DFDFDF" w:sz="6" w:space="0"/>
      <w:shd w:val="clear" w:fill="FFFFFF"/>
    </w:rPr>
  </w:style>
  <w:style w:type="character" w:customStyle="1" w:styleId="52">
    <w:name w:val="l-btn-text"/>
    <w:basedOn w:val="12"/>
    <w:uiPriority w:val="0"/>
    <w:rPr>
      <w:sz w:val="18"/>
      <w:szCs w:val="18"/>
      <w:bdr w:val="none" w:color="auto" w:sz="0" w:space="0"/>
    </w:rPr>
  </w:style>
  <w:style w:type="character" w:customStyle="1" w:styleId="53">
    <w:name w:val="l-btn-text1"/>
    <w:basedOn w:val="12"/>
    <w:uiPriority w:val="0"/>
  </w:style>
  <w:style w:type="character" w:customStyle="1" w:styleId="54">
    <w:name w:val="l-btn-icon-right"/>
    <w:basedOn w:val="12"/>
    <w:uiPriority w:val="0"/>
    <w:rPr>
      <w:bdr w:val="none" w:color="auto" w:sz="0" w:space="0"/>
    </w:rPr>
  </w:style>
  <w:style w:type="character" w:customStyle="1" w:styleId="55">
    <w:name w:val="l-btn-left2"/>
    <w:basedOn w:val="12"/>
    <w:uiPriority w:val="0"/>
  </w:style>
  <w:style w:type="character" w:customStyle="1" w:styleId="56">
    <w:name w:val="l-btn-left3"/>
    <w:basedOn w:val="12"/>
    <w:uiPriority w:val="0"/>
    <w:rPr>
      <w:bdr w:val="none" w:color="auto" w:sz="0" w:space="0"/>
    </w:rPr>
  </w:style>
  <w:style w:type="character" w:customStyle="1" w:styleId="57">
    <w:name w:val="l-btn-left4"/>
    <w:basedOn w:val="12"/>
    <w:uiPriority w:val="0"/>
    <w:rPr>
      <w:bdr w:val="none" w:color="auto" w:sz="0" w:space="0"/>
    </w:rPr>
  </w:style>
  <w:style w:type="character" w:customStyle="1" w:styleId="58">
    <w:name w:val="l-btn-left5"/>
    <w:basedOn w:val="12"/>
    <w:uiPriority w:val="0"/>
    <w:rPr>
      <w:bdr w:val="none" w:color="auto" w:sz="0" w:space="0"/>
    </w:rPr>
  </w:style>
  <w:style w:type="character" w:customStyle="1" w:styleId="59">
    <w:name w:val="l-btn-left6"/>
    <w:basedOn w:val="12"/>
    <w:uiPriority w:val="0"/>
  </w:style>
  <w:style w:type="character" w:customStyle="1" w:styleId="60">
    <w:name w:val="l-btn-empty"/>
    <w:basedOn w:val="12"/>
    <w:uiPriority w:val="0"/>
    <w:rPr>
      <w:bdr w:val="none" w:color="auto" w:sz="0" w:space="0"/>
    </w:rPr>
  </w:style>
  <w:style w:type="character" w:customStyle="1" w:styleId="61">
    <w:name w:val="l-btn-left"/>
    <w:basedOn w:val="12"/>
    <w:uiPriority w:val="0"/>
  </w:style>
  <w:style w:type="character" w:customStyle="1" w:styleId="62">
    <w:name w:val="l-btn-left1"/>
    <w:basedOn w:val="12"/>
    <w:uiPriority w:val="0"/>
    <w:rPr>
      <w:bdr w:val="none" w:color="auto" w:sz="0" w:space="0"/>
    </w:rPr>
  </w:style>
  <w:style w:type="character" w:customStyle="1" w:styleId="63">
    <w:name w:val="l-btn-text2"/>
    <w:basedOn w:val="12"/>
    <w:uiPriority w:val="0"/>
  </w:style>
  <w:style w:type="character" w:customStyle="1" w:styleId="64">
    <w:name w:val="l-btn-text3"/>
    <w:basedOn w:val="12"/>
    <w:uiPriority w:val="0"/>
    <w:rPr>
      <w:sz w:val="18"/>
      <w:szCs w:val="18"/>
      <w:bdr w:val="none" w:color="auto" w:sz="0" w:space="0"/>
    </w:rPr>
  </w:style>
</w:styles>
</file>

<file path=word/_rels/document.xml.rels><?xml version="1.0" encoding="UTF-8" standalone="yes"?>
<Relationships xmlns="http://schemas.openxmlformats.org/package/2006/relationships"><Relationship Id="rId99" Type="http://schemas.openxmlformats.org/officeDocument/2006/relationships/header" Target="header39.xml"/><Relationship Id="rId98" Type="http://schemas.openxmlformats.org/officeDocument/2006/relationships/footer" Target="footer56.xml"/><Relationship Id="rId97" Type="http://schemas.openxmlformats.org/officeDocument/2006/relationships/header" Target="header38.xml"/><Relationship Id="rId96" Type="http://schemas.openxmlformats.org/officeDocument/2006/relationships/footer" Target="footer55.xml"/><Relationship Id="rId95" Type="http://schemas.openxmlformats.org/officeDocument/2006/relationships/header" Target="header37.xml"/><Relationship Id="rId94" Type="http://schemas.openxmlformats.org/officeDocument/2006/relationships/footer" Target="footer54.xml"/><Relationship Id="rId93" Type="http://schemas.openxmlformats.org/officeDocument/2006/relationships/header" Target="header36.xml"/><Relationship Id="rId92" Type="http://schemas.openxmlformats.org/officeDocument/2006/relationships/footer" Target="footer53.xml"/><Relationship Id="rId91" Type="http://schemas.openxmlformats.org/officeDocument/2006/relationships/header" Target="header35.xml"/><Relationship Id="rId90" Type="http://schemas.openxmlformats.org/officeDocument/2006/relationships/footer" Target="footer52.xml"/><Relationship Id="rId9" Type="http://schemas.openxmlformats.org/officeDocument/2006/relationships/footer" Target="footer3.xml"/><Relationship Id="rId89" Type="http://schemas.openxmlformats.org/officeDocument/2006/relationships/header" Target="header34.xml"/><Relationship Id="rId88" Type="http://schemas.openxmlformats.org/officeDocument/2006/relationships/footer" Target="footer51.xml"/><Relationship Id="rId87" Type="http://schemas.openxmlformats.org/officeDocument/2006/relationships/footer" Target="footer50.xml"/><Relationship Id="rId86" Type="http://schemas.openxmlformats.org/officeDocument/2006/relationships/footer" Target="footer49.xml"/><Relationship Id="rId85" Type="http://schemas.openxmlformats.org/officeDocument/2006/relationships/footer" Target="footer48.xml"/><Relationship Id="rId84" Type="http://schemas.openxmlformats.org/officeDocument/2006/relationships/footer" Target="footer47.xml"/><Relationship Id="rId83" Type="http://schemas.openxmlformats.org/officeDocument/2006/relationships/footer" Target="footer46.xml"/><Relationship Id="rId82" Type="http://schemas.openxmlformats.org/officeDocument/2006/relationships/header" Target="header33.xml"/><Relationship Id="rId81" Type="http://schemas.openxmlformats.org/officeDocument/2006/relationships/footer" Target="footer45.xml"/><Relationship Id="rId80" Type="http://schemas.openxmlformats.org/officeDocument/2006/relationships/footer" Target="footer44.xml"/><Relationship Id="rId8" Type="http://schemas.openxmlformats.org/officeDocument/2006/relationships/footer" Target="footer2.xml"/><Relationship Id="rId79" Type="http://schemas.openxmlformats.org/officeDocument/2006/relationships/footer" Target="footer43.xml"/><Relationship Id="rId78" Type="http://schemas.openxmlformats.org/officeDocument/2006/relationships/footer" Target="footer42.xml"/><Relationship Id="rId77" Type="http://schemas.openxmlformats.org/officeDocument/2006/relationships/footer" Target="footer41.xml"/><Relationship Id="rId76" Type="http://schemas.openxmlformats.org/officeDocument/2006/relationships/header" Target="header32.xml"/><Relationship Id="rId75" Type="http://schemas.openxmlformats.org/officeDocument/2006/relationships/footer" Target="footer40.xml"/><Relationship Id="rId74" Type="http://schemas.openxmlformats.org/officeDocument/2006/relationships/header" Target="header31.xml"/><Relationship Id="rId73" Type="http://schemas.openxmlformats.org/officeDocument/2006/relationships/footer" Target="footer39.xml"/><Relationship Id="rId72" Type="http://schemas.openxmlformats.org/officeDocument/2006/relationships/header" Target="header30.xml"/><Relationship Id="rId71" Type="http://schemas.openxmlformats.org/officeDocument/2006/relationships/footer" Target="footer38.xml"/><Relationship Id="rId70" Type="http://schemas.openxmlformats.org/officeDocument/2006/relationships/header" Target="header29.xml"/><Relationship Id="rId7" Type="http://schemas.openxmlformats.org/officeDocument/2006/relationships/footer" Target="footer1.xml"/><Relationship Id="rId69" Type="http://schemas.openxmlformats.org/officeDocument/2006/relationships/footer" Target="footer37.xml"/><Relationship Id="rId68" Type="http://schemas.openxmlformats.org/officeDocument/2006/relationships/footer" Target="footer36.xml"/><Relationship Id="rId67" Type="http://schemas.openxmlformats.org/officeDocument/2006/relationships/header" Target="header28.xml"/><Relationship Id="rId66" Type="http://schemas.openxmlformats.org/officeDocument/2006/relationships/footer" Target="footer35.xml"/><Relationship Id="rId65" Type="http://schemas.openxmlformats.org/officeDocument/2006/relationships/footer" Target="footer34.xml"/><Relationship Id="rId64" Type="http://schemas.openxmlformats.org/officeDocument/2006/relationships/header" Target="header27.xml"/><Relationship Id="rId63" Type="http://schemas.openxmlformats.org/officeDocument/2006/relationships/footer" Target="footer33.xml"/><Relationship Id="rId62" Type="http://schemas.openxmlformats.org/officeDocument/2006/relationships/header" Target="header26.xml"/><Relationship Id="rId61" Type="http://schemas.openxmlformats.org/officeDocument/2006/relationships/footer" Target="footer32.xml"/><Relationship Id="rId60" Type="http://schemas.openxmlformats.org/officeDocument/2006/relationships/header" Target="header25.xml"/><Relationship Id="rId6" Type="http://schemas.openxmlformats.org/officeDocument/2006/relationships/header" Target="header2.xml"/><Relationship Id="rId59" Type="http://schemas.openxmlformats.org/officeDocument/2006/relationships/footer" Target="footer31.xml"/><Relationship Id="rId58" Type="http://schemas.openxmlformats.org/officeDocument/2006/relationships/header" Target="header24.xml"/><Relationship Id="rId57" Type="http://schemas.openxmlformats.org/officeDocument/2006/relationships/footer" Target="footer30.xml"/><Relationship Id="rId56" Type="http://schemas.openxmlformats.org/officeDocument/2006/relationships/footer" Target="footer29.xml"/><Relationship Id="rId55" Type="http://schemas.openxmlformats.org/officeDocument/2006/relationships/footer" Target="footer28.xml"/><Relationship Id="rId54" Type="http://schemas.openxmlformats.org/officeDocument/2006/relationships/footer" Target="footer27.xml"/><Relationship Id="rId53" Type="http://schemas.openxmlformats.org/officeDocument/2006/relationships/footer" Target="footer26.xml"/><Relationship Id="rId52" Type="http://schemas.openxmlformats.org/officeDocument/2006/relationships/header" Target="header23.xml"/><Relationship Id="rId51" Type="http://schemas.openxmlformats.org/officeDocument/2006/relationships/footer" Target="footer25.xml"/><Relationship Id="rId50" Type="http://schemas.openxmlformats.org/officeDocument/2006/relationships/footer" Target="footer24.xml"/><Relationship Id="rId5" Type="http://schemas.openxmlformats.org/officeDocument/2006/relationships/header" Target="header1.xml"/><Relationship Id="rId49" Type="http://schemas.openxmlformats.org/officeDocument/2006/relationships/header" Target="header22.xml"/><Relationship Id="rId48" Type="http://schemas.openxmlformats.org/officeDocument/2006/relationships/footer" Target="footer23.xml"/><Relationship Id="rId47" Type="http://schemas.openxmlformats.org/officeDocument/2006/relationships/header" Target="header21.xml"/><Relationship Id="rId46" Type="http://schemas.openxmlformats.org/officeDocument/2006/relationships/footer" Target="footer22.xml"/><Relationship Id="rId45" Type="http://schemas.openxmlformats.org/officeDocument/2006/relationships/header" Target="header20.xml"/><Relationship Id="rId44" Type="http://schemas.openxmlformats.org/officeDocument/2006/relationships/footer" Target="footer21.xml"/><Relationship Id="rId43" Type="http://schemas.openxmlformats.org/officeDocument/2006/relationships/header" Target="header19.xml"/><Relationship Id="rId42" Type="http://schemas.openxmlformats.org/officeDocument/2006/relationships/footer" Target="footer20.xml"/><Relationship Id="rId41" Type="http://schemas.openxmlformats.org/officeDocument/2006/relationships/header" Target="header18.xml"/><Relationship Id="rId40" Type="http://schemas.openxmlformats.org/officeDocument/2006/relationships/footer" Target="footer19.xml"/><Relationship Id="rId4" Type="http://schemas.openxmlformats.org/officeDocument/2006/relationships/endnotes" Target="endnotes.xml"/><Relationship Id="rId39" Type="http://schemas.openxmlformats.org/officeDocument/2006/relationships/header" Target="header17.xml"/><Relationship Id="rId38" Type="http://schemas.openxmlformats.org/officeDocument/2006/relationships/footer" Target="footer18.xml"/><Relationship Id="rId37" Type="http://schemas.openxmlformats.org/officeDocument/2006/relationships/header" Target="header16.xml"/><Relationship Id="rId36" Type="http://schemas.openxmlformats.org/officeDocument/2006/relationships/footer" Target="footer17.xml"/><Relationship Id="rId35" Type="http://schemas.openxmlformats.org/officeDocument/2006/relationships/header" Target="header15.xml"/><Relationship Id="rId34" Type="http://schemas.openxmlformats.org/officeDocument/2006/relationships/footer" Target="footer16.xml"/><Relationship Id="rId33" Type="http://schemas.openxmlformats.org/officeDocument/2006/relationships/header" Target="header14.xml"/><Relationship Id="rId32" Type="http://schemas.openxmlformats.org/officeDocument/2006/relationships/footer" Target="footer15.xml"/><Relationship Id="rId31" Type="http://schemas.openxmlformats.org/officeDocument/2006/relationships/footer" Target="footer14.xml"/><Relationship Id="rId30" Type="http://schemas.openxmlformats.org/officeDocument/2006/relationships/header" Target="header13.xml"/><Relationship Id="rId3" Type="http://schemas.openxmlformats.org/officeDocument/2006/relationships/footnotes" Target="footnotes.xml"/><Relationship Id="rId29" Type="http://schemas.openxmlformats.org/officeDocument/2006/relationships/footer" Target="footer13.xml"/><Relationship Id="rId28" Type="http://schemas.openxmlformats.org/officeDocument/2006/relationships/header" Target="header12.xml"/><Relationship Id="rId27" Type="http://schemas.openxmlformats.org/officeDocument/2006/relationships/footer" Target="footer12.xml"/><Relationship Id="rId26" Type="http://schemas.openxmlformats.org/officeDocument/2006/relationships/header" Target="header11.xml"/><Relationship Id="rId25" Type="http://schemas.openxmlformats.org/officeDocument/2006/relationships/footer" Target="footer11.xml"/><Relationship Id="rId24" Type="http://schemas.openxmlformats.org/officeDocument/2006/relationships/header" Target="header10.xml"/><Relationship Id="rId23" Type="http://schemas.openxmlformats.org/officeDocument/2006/relationships/footer" Target="footer10.xml"/><Relationship Id="rId22" Type="http://schemas.openxmlformats.org/officeDocument/2006/relationships/header" Target="header9.xml"/><Relationship Id="rId21" Type="http://schemas.openxmlformats.org/officeDocument/2006/relationships/footer" Target="foot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5" Type="http://schemas.openxmlformats.org/officeDocument/2006/relationships/fontTable" Target="fontTable.xml"/><Relationship Id="rId114" Type="http://schemas.openxmlformats.org/officeDocument/2006/relationships/numbering" Target="numbering.xml"/><Relationship Id="rId113" Type="http://schemas.openxmlformats.org/officeDocument/2006/relationships/customXml" Target="../customXml/item1.xml"/><Relationship Id="rId112" Type="http://schemas.openxmlformats.org/officeDocument/2006/relationships/image" Target="media/image6.png"/><Relationship Id="rId111" Type="http://schemas.openxmlformats.org/officeDocument/2006/relationships/image" Target="media/image5.jpeg"/><Relationship Id="rId110" Type="http://schemas.openxmlformats.org/officeDocument/2006/relationships/image" Target="media/image4.png"/><Relationship Id="rId11" Type="http://schemas.openxmlformats.org/officeDocument/2006/relationships/footer" Target="footer4.xml"/><Relationship Id="rId109" Type="http://schemas.openxmlformats.org/officeDocument/2006/relationships/image" Target="media/image3.jpeg"/><Relationship Id="rId108" Type="http://schemas.openxmlformats.org/officeDocument/2006/relationships/image" Target="media/image2.jpeg"/><Relationship Id="rId107" Type="http://schemas.openxmlformats.org/officeDocument/2006/relationships/image" Target="media/image1.jpeg"/><Relationship Id="rId106" Type="http://schemas.openxmlformats.org/officeDocument/2006/relationships/theme" Target="theme/theme1.xml"/><Relationship Id="rId105" Type="http://schemas.openxmlformats.org/officeDocument/2006/relationships/footer" Target="footer60.xml"/><Relationship Id="rId104" Type="http://schemas.openxmlformats.org/officeDocument/2006/relationships/header" Target="header41.xml"/><Relationship Id="rId103" Type="http://schemas.openxmlformats.org/officeDocument/2006/relationships/footer" Target="footer59.xml"/><Relationship Id="rId102" Type="http://schemas.openxmlformats.org/officeDocument/2006/relationships/footer" Target="footer58.xml"/><Relationship Id="rId101" Type="http://schemas.openxmlformats.org/officeDocument/2006/relationships/header" Target="header40.xml"/><Relationship Id="rId100" Type="http://schemas.openxmlformats.org/officeDocument/2006/relationships/footer" Target="footer57.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178</Pages>
  <Words>94502</Words>
  <Characters>100351</Characters>
  <Lines>1</Lines>
  <Paragraphs>1</Paragraphs>
  <TotalTime>5</TotalTime>
  <ScaleCrop>false</ScaleCrop>
  <LinksUpToDate>false</LinksUpToDate>
  <CharactersWithSpaces>107108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2025-09-04T11:45:00Z</dcterms:created>
  <dc:creator>Administrator</dc:creator>
  <cp:lastModifiedBy>代理</cp:lastModifiedBy>
  <cp:lastPrinted>2026-08-03T00:23:00Z</cp:lastPrinted>
  <dcterms:modified xsi:type="dcterms:W3CDTF">2026-08-14T00:58:16Z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2025-09-04T11:46:43Z</vt:filetime>
  </property>
  <property fmtid="{D5CDD505-2E9C-101B-9397-08002B2CF9AE}" pid="4" name="KSOTemplateDocerSaveRecord">
    <vt:lpwstr>eyJoZGlkIjoiOTc5MDNjMmIyODczM2YwMGZkZTNjYWY1NjIxZTY5YjciLCJ1c2VySWQiOiI1MDM3MjkwOTMifQ==</vt:lpwstr>
  </property>
  <property fmtid="{D5CDD505-2E9C-101B-9397-08002B2CF9AE}" pid="5" name="KSOProductBuildVer">
    <vt:lpwstr>2052-12.1.0.28043</vt:lpwstr>
  </property>
  <property fmtid="{D5CDD505-2E9C-101B-9397-08002B2CF9AE}" pid="6" name="ICV">
    <vt:lpwstr>7496F5BFB78842449C620CCB525018F1_13</vt:lpwstr>
  </property>
</Properties>
</file>